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C6C93" w:rsidRDefault="00CC6C93">
      <w:pPr>
        <w:widowControl/>
        <w:spacing w:before="100" w:beforeAutospacing="1" w:after="100" w:afterAutospacing="1"/>
        <w:jc w:val="center"/>
        <w:rPr>
          <w:rFonts w:ascii="宋体" w:hAnsi="宋体" w:hint="eastAsia"/>
          <w:b/>
          <w:kern w:val="0"/>
          <w:sz w:val="44"/>
          <w:szCs w:val="44"/>
        </w:rPr>
      </w:pPr>
    </w:p>
    <w:p w:rsidR="00CC6C93" w:rsidRDefault="00CC6C93">
      <w:pPr>
        <w:widowControl/>
        <w:spacing w:before="100" w:beforeAutospacing="1" w:after="100" w:afterAutospacing="1"/>
        <w:jc w:val="center"/>
        <w:rPr>
          <w:rFonts w:ascii="宋体" w:hAnsi="宋体" w:hint="eastAsia"/>
          <w:b/>
          <w:kern w:val="0"/>
          <w:sz w:val="44"/>
          <w:szCs w:val="44"/>
        </w:rPr>
      </w:pPr>
    </w:p>
    <w:p w:rsidR="00CC6C93" w:rsidRDefault="00CC6C93">
      <w:pPr>
        <w:widowControl/>
        <w:spacing w:before="100" w:beforeAutospacing="1" w:after="100" w:afterAutospacing="1"/>
        <w:jc w:val="center"/>
        <w:rPr>
          <w:rFonts w:ascii="宋体" w:hAnsi="宋体" w:hint="eastAsia"/>
          <w:b/>
          <w:kern w:val="0"/>
          <w:sz w:val="44"/>
          <w:szCs w:val="44"/>
        </w:rPr>
      </w:pPr>
    </w:p>
    <w:p w:rsidR="00CC6C93" w:rsidRDefault="00CC6C93">
      <w:pPr>
        <w:widowControl/>
        <w:spacing w:before="100" w:beforeAutospacing="1" w:after="100" w:afterAutospacing="1"/>
        <w:jc w:val="center"/>
        <w:rPr>
          <w:rFonts w:ascii="宋体" w:hAnsi="宋体" w:hint="eastAsia"/>
          <w:b/>
          <w:kern w:val="0"/>
          <w:sz w:val="44"/>
          <w:szCs w:val="44"/>
        </w:rPr>
      </w:pPr>
    </w:p>
    <w:p w:rsidR="00CC6C93" w:rsidRDefault="00E3767C">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78550C">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住房和城乡建设局2026年部门预算公开</w:t>
      </w:r>
    </w:p>
    <w:p w:rsidR="00CC6C93" w:rsidRDefault="00E3767C">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CC6C93" w:rsidRDefault="00E3767C">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CC6C93" w:rsidRDefault="00CC6C93">
      <w:pPr>
        <w:jc w:val="center"/>
        <w:rPr>
          <w:sz w:val="36"/>
          <w:szCs w:val="36"/>
        </w:rPr>
      </w:pPr>
    </w:p>
    <w:p w:rsidR="00CC6C93" w:rsidRDefault="00E3767C">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CC6C93" w:rsidRDefault="00E3767C">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CC6C93" w:rsidRDefault="00E3767C">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住房和城乡建设局2026年收支预算情况的总体说明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住房和城乡建设局2026年收入预算情况说明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住房和城乡建设局2026年支出预算情况说明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住房和城乡建设局2026年财政拨款收支预算情况的总体说明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住房和城乡建设局2026年一般公共预算当年拨款情况说明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住房和城乡建设局2026年一般公共预算基本支出情况说明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住房和城乡建设局2026年一般公共预算项目支出情况说明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住房和城乡建设局2026年政府性基金预算拨款情况说明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住房和城乡建设局2026年国有资本经营预算拨款情况说明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住房和城乡建设局2026年财政拨款“三公”经费预算情况说明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住房和城乡建设局2026年财政拨款委托业务费支出情况说明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住房和城乡建设局2026年上年结转结余预算情况说明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CC6C93" w:rsidRDefault="00E3767C">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CC6C93" w:rsidRDefault="00E3767C">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CC6C93" w:rsidRDefault="00CC6C93">
      <w:pPr>
        <w:jc w:val="center"/>
        <w:rPr>
          <w:sz w:val="30"/>
          <w:szCs w:val="30"/>
        </w:rPr>
      </w:pPr>
    </w:p>
    <w:p w:rsidR="00CC6C93" w:rsidRDefault="00E3767C">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1、承担保障城镇低收入家庭住房的责任。拟定廉租住房规划及政策，会同有关单位积极争取国家和自治区有关保障性住房资金，组织实施各类保障性项目。编制住房保障发展规划和年度计划并监督实施。</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2、承担推进住房制度改革的责任。指导住房建设和住房制度改革，拟定全县住房建设规划并指导实施。</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承担规范住房和城乡建设管理秩序的责任。制定自治县住房和城乡建设规范性文件。依法组织编制和实施城乡规划，拟定城乡规划的政策和规章制度，负责城市总体规划和城镇体系规划的审查报批和监督实施；参与土地利用总体规划审查；指导城市地下空间的开发和利用。</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承担建立科学规范的住房和城乡建设地方标准体系的责任。组织拟订住房和城乡建设的地方性标准，落实自治区、地区建设项目可行性研究评价方法、经济参数、建设标准和工程造价的管理制度，拟订公共服务设施（不含通信设施）建设标准并监督执行，指导监督各类工程建设标准定额实施和工程造价计价。</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承担规范房地产市场秩序、监督管理房地产市场的责任。会同配合有关单位组织拟订房地产市场监管政策并监督执行；指导城镇土地使用权有偿转让和开发利用工作；提出房地产业发展规划和产业政策，负责拟定房地产开发、房屋销售、房屋权属登记、房屋租赁、房屋面积管理、房地产估价与经纪管理、物业管理、房屋征收拆迁等规章制度并监督执行。</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监督管理全县建筑市场，规范各方主体行为。拟定工程建设、建筑业、设计咨询业的行业发展、产业政策并监督执行；组织实施房屋建筑和市政工程项目招投标活动的监督执法；负责勘察、设计、施工、工程监理法律法规规章执行的监督指导。</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拟定县城建设的政策、规划并指导实施；负责县城公用事业特许经营、供水、供气、供热和城镇镇容环境卫生、园林绿化法律法规规章执行综合行政管理；指导城镇市政公用设施建设、安全和应急管理；拟定全县风景名胜区的发展规划、政策并指导实施，负责风景名胜区的审查报批和监督管理工作；会同文物主管单位负责历史文化名城（镇、村）的保护和监督管理有关工作。</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8、承担规划和指导全县村镇建设的责任。拟定村庄和小城镇建设政策并指导实施，指导村镇规划编制、农村住房建设和安全及危房改造，指导村庄和小城镇人居生态环境的改善工作，指导地区重点（示范）镇的建设。</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9、承担建筑工程质量安全监管的责任。负责建筑工程质量、建筑安全生产和竣工验收备案的法律法规规章执行的监督指导，组织或参与工程重大质量、安全事故的调查处理，拟定自治县建筑业、工程设计咨询业的技术政策并指导实施。</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10、综合管理城乡建设抗震减灾工作。负责城乡安居富民工程建设的指导监督；对全县各类房屋建筑及其附属设施和城镇市政工程的抗震设计规范的实施进行监督检查；指导震后重建工作。</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11、承担推进建筑节能减排的责任。会同有关单位落实建筑节能的政策、规划并监督实施，负责建筑节能法律法规规章的监督指导；落实住房和城乡建设科技发展规划和经济政策，组织实施建设行业技术创新与成果推广应用；组织实施建设节能等科技示范项目。</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12、开展住房和城乡建设方面的援疆交流与合作。</w:t>
      </w:r>
    </w:p>
    <w:p w:rsidR="00CC6C93" w:rsidRDefault="00E3767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13、承办县委、县政府交办的其他事项。</w:t>
      </w:r>
    </w:p>
    <w:p w:rsidR="00CC6C93" w:rsidRDefault="00E3767C">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CC6C93" w:rsidRDefault="00E3767C">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78550C">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住房和城乡建设局</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CC6C93" w:rsidRDefault="00E3767C">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CC6C93" w:rsidRDefault="00E3767C">
      <w:pPr>
        <w:widowControl/>
        <w:jc w:val="left"/>
        <w:rPr>
          <w:rFonts w:ascii="宋体" w:hAnsi="宋体" w:hint="eastAsia"/>
          <w:bCs/>
          <w:kern w:val="0"/>
          <w:sz w:val="20"/>
          <w:szCs w:val="20"/>
        </w:rPr>
      </w:pPr>
      <w:r>
        <w:rPr>
          <w:rFonts w:ascii="宋体" w:hAnsi="宋体" w:hint="eastAsia"/>
          <w:bCs/>
          <w:kern w:val="0"/>
          <w:sz w:val="20"/>
          <w:szCs w:val="20"/>
        </w:rPr>
        <w:t>表1</w:t>
      </w:r>
    </w:p>
    <w:p w:rsidR="00CC6C93" w:rsidRDefault="00E3767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CC6C93">
        <w:trPr>
          <w:trHeight w:val="170"/>
          <w:jc w:val="center"/>
        </w:trPr>
        <w:tc>
          <w:tcPr>
            <w:tcW w:w="8789" w:type="dxa"/>
            <w:noWrap/>
            <w:vAlign w:val="bottom"/>
          </w:tcPr>
          <w:p w:rsidR="00CC6C93" w:rsidRDefault="00E3767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r>
              <w:rPr>
                <w:rFonts w:ascii="仿宋_GB2312" w:eastAsia="仿宋_GB2312" w:hAnsi="宋体" w:cs="宋体"/>
                <w:kern w:val="0"/>
                <w:sz w:val="24"/>
              </w:rPr>
              <w:t xml:space="preserve"> </w:t>
            </w:r>
          </w:p>
        </w:tc>
        <w:tc>
          <w:tcPr>
            <w:tcW w:w="1342" w:type="dxa"/>
            <w:noWrap/>
            <w:vAlign w:val="bottom"/>
          </w:tcPr>
          <w:p w:rsidR="00CC6C93" w:rsidRDefault="00E3767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CC6C93">
        <w:trPr>
          <w:trHeight w:val="454"/>
          <w:jc w:val="center"/>
        </w:trPr>
        <w:tc>
          <w:tcPr>
            <w:tcW w:w="5247" w:type="dxa"/>
            <w:gridSpan w:val="2"/>
            <w:tcBorders>
              <w:top w:val="single" w:sz="4" w:space="0" w:color="auto"/>
            </w:tcBorders>
            <w:noWrap/>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CC6C93">
        <w:trPr>
          <w:trHeight w:hRule="exact" w:val="613"/>
          <w:jc w:val="center"/>
        </w:trPr>
        <w:tc>
          <w:tcPr>
            <w:tcW w:w="3114"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2643.67</w:t>
            </w: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2643.67</w:t>
            </w: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2643.67</w:t>
            </w: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386.90</w:t>
            </w: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217.51</w:t>
            </w: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52.31</w:t>
            </w: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27030.80</w:t>
            </w: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31130.50</w:t>
            </w: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31130.50</w:t>
            </w: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25141.07</w:t>
            </w: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97.22</w:t>
            </w: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5989.43</w:t>
            </w: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CC6C93" w:rsidRDefault="00E3767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5989.43</w:t>
            </w:r>
          </w:p>
        </w:tc>
      </w:tr>
      <w:tr w:rsidR="00CC6C93">
        <w:trPr>
          <w:trHeight w:hRule="exact" w:val="312"/>
          <w:jc w:val="center"/>
        </w:trPr>
        <w:tc>
          <w:tcPr>
            <w:tcW w:w="3114" w:type="dxa"/>
            <w:vAlign w:val="center"/>
          </w:tcPr>
          <w:p w:rsidR="00CC6C93" w:rsidRDefault="00CC6C93">
            <w:pPr>
              <w:widowControl/>
              <w:spacing w:line="300" w:lineRule="exact"/>
              <w:jc w:val="left"/>
              <w:rPr>
                <w:rFonts w:ascii="仿宋_GB2312" w:eastAsia="仿宋_GB2312" w:hAnsiTheme="minorEastAsia" w:cs="宋体" w:hint="eastAsia"/>
                <w:kern w:val="0"/>
                <w:sz w:val="18"/>
                <w:szCs w:val="18"/>
              </w:rPr>
            </w:pPr>
          </w:p>
        </w:tc>
        <w:tc>
          <w:tcPr>
            <w:tcW w:w="2133" w:type="dxa"/>
          </w:tcPr>
          <w:p w:rsidR="00CC6C93" w:rsidRDefault="00CC6C9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CC6C93">
            <w:pPr>
              <w:widowControl/>
              <w:spacing w:line="300" w:lineRule="exact"/>
              <w:jc w:val="left"/>
              <w:rPr>
                <w:rFonts w:ascii="仿宋_GB2312" w:eastAsia="仿宋_GB2312" w:hAnsiTheme="minorEastAsia" w:cs="宋体" w:hint="eastAsia"/>
                <w:kern w:val="0"/>
                <w:sz w:val="18"/>
                <w:szCs w:val="18"/>
              </w:rPr>
            </w:pPr>
          </w:p>
        </w:tc>
        <w:tc>
          <w:tcPr>
            <w:tcW w:w="2133" w:type="dxa"/>
          </w:tcPr>
          <w:p w:rsidR="00CC6C93" w:rsidRDefault="00CC6C9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CC6C93">
            <w:pPr>
              <w:widowControl/>
              <w:spacing w:line="300" w:lineRule="exact"/>
              <w:jc w:val="left"/>
              <w:rPr>
                <w:rFonts w:ascii="仿宋_GB2312" w:eastAsia="仿宋_GB2312" w:hAnsiTheme="minorEastAsia" w:cs="宋体" w:hint="eastAsia"/>
                <w:kern w:val="0"/>
                <w:sz w:val="18"/>
                <w:szCs w:val="18"/>
              </w:rPr>
            </w:pPr>
          </w:p>
        </w:tc>
        <w:tc>
          <w:tcPr>
            <w:tcW w:w="2133" w:type="dxa"/>
          </w:tcPr>
          <w:p w:rsidR="00CC6C93" w:rsidRDefault="00E3767C">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CC6C93">
            <w:pPr>
              <w:widowControl/>
              <w:spacing w:line="300" w:lineRule="exact"/>
              <w:jc w:val="left"/>
              <w:rPr>
                <w:rFonts w:ascii="仿宋_GB2312" w:eastAsia="仿宋_GB2312" w:hAnsiTheme="minorEastAsia" w:cs="宋体" w:hint="eastAsia"/>
                <w:kern w:val="0"/>
                <w:sz w:val="18"/>
                <w:szCs w:val="18"/>
              </w:rPr>
            </w:pP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312"/>
          <w:jc w:val="center"/>
        </w:trPr>
        <w:tc>
          <w:tcPr>
            <w:tcW w:w="3114" w:type="dxa"/>
            <w:vAlign w:val="center"/>
          </w:tcPr>
          <w:p w:rsidR="00CC6C93" w:rsidRDefault="00CC6C93">
            <w:pPr>
              <w:widowControl/>
              <w:spacing w:line="300" w:lineRule="exact"/>
              <w:jc w:val="left"/>
              <w:rPr>
                <w:rFonts w:ascii="仿宋_GB2312" w:eastAsia="仿宋_GB2312" w:hAnsiTheme="minorEastAsia" w:cs="宋体" w:hint="eastAsia"/>
                <w:kern w:val="0"/>
                <w:sz w:val="18"/>
                <w:szCs w:val="18"/>
              </w:rPr>
            </w:pPr>
          </w:p>
        </w:tc>
        <w:tc>
          <w:tcPr>
            <w:tcW w:w="2133"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CC6C93" w:rsidRDefault="00E3767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CC6C93" w:rsidRDefault="00CC6C93">
            <w:pPr>
              <w:widowControl/>
              <w:spacing w:line="300" w:lineRule="exact"/>
              <w:jc w:val="right"/>
              <w:rPr>
                <w:rFonts w:ascii="仿宋_GB2312" w:eastAsia="仿宋_GB2312" w:hAnsiTheme="minorEastAsia" w:cs="宋体" w:hint="eastAsia"/>
                <w:kern w:val="0"/>
                <w:sz w:val="18"/>
                <w:szCs w:val="18"/>
              </w:rPr>
            </w:pPr>
          </w:p>
        </w:tc>
      </w:tr>
      <w:tr w:rsidR="00CC6C93">
        <w:trPr>
          <w:trHeight w:hRule="exact" w:val="557"/>
          <w:jc w:val="center"/>
        </w:trPr>
        <w:tc>
          <w:tcPr>
            <w:tcW w:w="3114" w:type="dxa"/>
            <w:vAlign w:val="center"/>
          </w:tcPr>
          <w:p w:rsidR="00CC6C93" w:rsidRDefault="00E3767C">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CC6C93" w:rsidRDefault="00E3767C">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33774.17</w:t>
            </w:r>
          </w:p>
        </w:tc>
        <w:tc>
          <w:tcPr>
            <w:tcW w:w="2755" w:type="dxa"/>
            <w:noWrap/>
            <w:vAlign w:val="center"/>
          </w:tcPr>
          <w:p w:rsidR="00CC6C93" w:rsidRDefault="00E3767C">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CC6C93" w:rsidRDefault="00E3767C">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33774.17</w:t>
            </w:r>
          </w:p>
        </w:tc>
      </w:tr>
    </w:tbl>
    <w:p w:rsidR="00CC6C93" w:rsidRDefault="00CC6C93">
      <w:pPr>
        <w:widowControl/>
        <w:spacing w:line="20" w:lineRule="exact"/>
        <w:jc w:val="left"/>
        <w:rPr>
          <w:rFonts w:ascii="黑体" w:eastAsia="黑体" w:hAnsi="黑体" w:hint="eastAsia"/>
          <w:b/>
          <w:kern w:val="0"/>
          <w:sz w:val="30"/>
          <w:szCs w:val="30"/>
        </w:rPr>
        <w:sectPr w:rsidR="00CC6C93">
          <w:footerReference w:type="even" r:id="rId8"/>
          <w:footerReference w:type="default" r:id="rId9"/>
          <w:pgSz w:w="11906" w:h="16838"/>
          <w:pgMar w:top="1134" w:right="1134" w:bottom="1134" w:left="1134" w:header="851" w:footer="992" w:gutter="0"/>
          <w:cols w:space="425"/>
          <w:docGrid w:type="lines" w:linePitch="312"/>
        </w:sectPr>
      </w:pPr>
    </w:p>
    <w:p w:rsidR="00CC6C93" w:rsidRDefault="00E3767C">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CC6C93" w:rsidRDefault="00E3767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CC6C93">
        <w:trPr>
          <w:trHeight w:val="246"/>
          <w:jc w:val="center"/>
        </w:trPr>
        <w:tc>
          <w:tcPr>
            <w:tcW w:w="13608" w:type="dxa"/>
            <w:vAlign w:val="bottom"/>
          </w:tcPr>
          <w:p w:rsidR="00CC6C93" w:rsidRDefault="00E3767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8" w:type="dxa"/>
          </w:tcPr>
          <w:p w:rsidR="00CC6C93" w:rsidRDefault="00E3767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CC6C93">
        <w:trPr>
          <w:trHeight w:val="741"/>
          <w:tblHeader/>
          <w:jc w:val="center"/>
        </w:trPr>
        <w:tc>
          <w:tcPr>
            <w:tcW w:w="2122" w:type="dxa"/>
            <w:gridSpan w:val="3"/>
            <w:tcBorders>
              <w:top w:val="single" w:sz="4" w:space="0" w:color="auto"/>
            </w:tcBorders>
            <w:vAlign w:val="center"/>
          </w:tcPr>
          <w:p w:rsidR="00CC6C93" w:rsidRDefault="00E3767C">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CC6C93" w:rsidRDefault="00E3767C">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CC6C93" w:rsidRDefault="00E3767C">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CC6C93" w:rsidRDefault="00E3767C">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CC6C93" w:rsidRDefault="00E3767C">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CC6C93" w:rsidRDefault="00E3767C">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CC6C93">
        <w:trPr>
          <w:trHeight w:val="847"/>
          <w:tblHeader/>
          <w:jc w:val="center"/>
        </w:trPr>
        <w:tc>
          <w:tcPr>
            <w:tcW w:w="704"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CC6C93" w:rsidRDefault="00CC6C93">
            <w:pPr>
              <w:rPr>
                <w:rFonts w:asciiTheme="minorEastAsia" w:eastAsiaTheme="minorEastAsia" w:hAnsiTheme="minorEastAsia" w:cs="宋体" w:hint="eastAsia"/>
                <w:b/>
                <w:color w:val="000000"/>
                <w:sz w:val="20"/>
                <w:szCs w:val="20"/>
              </w:rPr>
            </w:pPr>
          </w:p>
        </w:tc>
        <w:tc>
          <w:tcPr>
            <w:tcW w:w="1843" w:type="dxa"/>
            <w:vMerge/>
            <w:vAlign w:val="center"/>
          </w:tcPr>
          <w:p w:rsidR="00CC6C93" w:rsidRDefault="00CC6C93">
            <w:pPr>
              <w:rPr>
                <w:rFonts w:asciiTheme="minorEastAsia" w:eastAsiaTheme="minorEastAsia" w:hAnsiTheme="minorEastAsia" w:cs="宋体" w:hint="eastAsia"/>
                <w:b/>
                <w:color w:val="000000"/>
                <w:sz w:val="20"/>
                <w:szCs w:val="20"/>
              </w:rPr>
            </w:pPr>
          </w:p>
        </w:tc>
        <w:tc>
          <w:tcPr>
            <w:tcW w:w="1559"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CC6C93" w:rsidRDefault="00CC6C93">
            <w:pPr>
              <w:jc w:val="center"/>
              <w:rPr>
                <w:rFonts w:asciiTheme="minorEastAsia" w:eastAsiaTheme="minorEastAsia" w:hAnsiTheme="minorEastAsia" w:cs="宋体" w:hint="eastAsia"/>
                <w:b/>
                <w:color w:val="000000"/>
                <w:sz w:val="20"/>
                <w:szCs w:val="20"/>
              </w:rPr>
            </w:pPr>
          </w:p>
        </w:tc>
        <w:tc>
          <w:tcPr>
            <w:tcW w:w="708" w:type="dxa"/>
            <w:vMerge/>
          </w:tcPr>
          <w:p w:rsidR="00CC6C93" w:rsidRDefault="00CC6C93">
            <w:pPr>
              <w:jc w:val="center"/>
              <w:rPr>
                <w:rFonts w:asciiTheme="minorEastAsia" w:eastAsiaTheme="minorEastAsia" w:hAnsiTheme="minorEastAsia" w:cs="宋体" w:hint="eastAsia"/>
                <w:b/>
                <w:color w:val="000000"/>
                <w:sz w:val="20"/>
                <w:szCs w:val="20"/>
              </w:rPr>
            </w:pPr>
          </w:p>
        </w:tc>
        <w:tc>
          <w:tcPr>
            <w:tcW w:w="709" w:type="dxa"/>
            <w:vMerge/>
          </w:tcPr>
          <w:p w:rsidR="00CC6C93" w:rsidRDefault="00CC6C93">
            <w:pPr>
              <w:jc w:val="center"/>
              <w:rPr>
                <w:rFonts w:asciiTheme="minorEastAsia" w:eastAsiaTheme="minorEastAsia" w:hAnsiTheme="minorEastAsia" w:cs="宋体" w:hint="eastAsia"/>
                <w:b/>
                <w:color w:val="000000"/>
                <w:sz w:val="20"/>
                <w:szCs w:val="20"/>
              </w:rPr>
            </w:pPr>
          </w:p>
        </w:tc>
        <w:tc>
          <w:tcPr>
            <w:tcW w:w="709" w:type="dxa"/>
            <w:vMerge/>
          </w:tcPr>
          <w:p w:rsidR="00CC6C93" w:rsidRDefault="00CC6C93">
            <w:pPr>
              <w:jc w:val="center"/>
              <w:rPr>
                <w:rFonts w:asciiTheme="minorEastAsia" w:eastAsiaTheme="minorEastAsia" w:hAnsiTheme="minorEastAsia" w:cs="宋体" w:hint="eastAsia"/>
                <w:b/>
                <w:color w:val="000000"/>
                <w:sz w:val="20"/>
                <w:szCs w:val="20"/>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文化旅游体育与传媒支出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386.90</w:t>
            </w:r>
          </w:p>
        </w:tc>
        <w:tc>
          <w:tcPr>
            <w:tcW w:w="155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386.90</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文化和旅游</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386.90</w:t>
            </w:r>
          </w:p>
        </w:tc>
        <w:tc>
          <w:tcPr>
            <w:tcW w:w="155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386.90</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其他文化和旅游支出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386.90</w:t>
            </w:r>
          </w:p>
        </w:tc>
        <w:tc>
          <w:tcPr>
            <w:tcW w:w="155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386.90</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217.51</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215.47</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215.47</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2.04</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217.51</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215.47</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215.47</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2.04</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44.58</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42.54</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42.54</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2.04</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115.29</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115.29</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115.29</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57.64</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57.64</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57.64</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52.31</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52.31</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52.31</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52.31</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52.31</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52.31</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49.62</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49.62</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49.62</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2.69</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2.69</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2.69</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212</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城乡社区支出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27030.80</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2278.67</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2278.67</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24752.13</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212</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城乡社区管理事务</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893.12</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880.99</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880.99</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12.13</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212</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179.20</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176.67</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176.67</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2.53</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212</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城管执法</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713.92</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704.32</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704.32</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9.60</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212</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城乡社区公共设施</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26137.68</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1397.68</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1397.68</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24740.00</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212</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小城镇基础设施建设</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26137.68</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1397.68</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1397.68</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24740.00</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97.22</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97.22</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97.22</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97.22</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97.22</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97.22</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97.22</w:t>
            </w:r>
          </w:p>
        </w:tc>
        <w:tc>
          <w:tcPr>
            <w:tcW w:w="155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97.22</w:t>
            </w:r>
          </w:p>
        </w:tc>
        <w:tc>
          <w:tcPr>
            <w:tcW w:w="850"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97.22</w:t>
            </w: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5989.43</w:t>
            </w:r>
          </w:p>
        </w:tc>
        <w:tc>
          <w:tcPr>
            <w:tcW w:w="155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5989.43</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其他政府性基金及对应专项债务收入安排的支出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5989.43</w:t>
            </w:r>
          </w:p>
        </w:tc>
        <w:tc>
          <w:tcPr>
            <w:tcW w:w="155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5989.43</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CC6C93" w:rsidRDefault="00E3767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其他地方自行试点项目收益专项债券收入安排的支出</w:t>
            </w:r>
          </w:p>
        </w:tc>
        <w:tc>
          <w:tcPr>
            <w:tcW w:w="1843"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5989.43</w:t>
            </w:r>
          </w:p>
        </w:tc>
        <w:tc>
          <w:tcPr>
            <w:tcW w:w="155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0"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851"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8" w:type="dxa"/>
            <w:vAlign w:val="center"/>
          </w:tcPr>
          <w:p w:rsidR="00CC6C93" w:rsidRDefault="00CC6C93">
            <w:pPr>
              <w:jc w:val="center"/>
              <w:rPr>
                <w:rFonts w:ascii="仿宋_GB2312" w:eastAsia="仿宋_GB2312" w:hAnsiTheme="minorEastAsia" w:cs="宋体" w:hint="eastAsia"/>
                <w:color w:val="000000" w:themeColor="text1"/>
                <w:sz w:val="18"/>
                <w:szCs w:val="18"/>
              </w:rPr>
            </w:pPr>
          </w:p>
        </w:tc>
        <w:tc>
          <w:tcPr>
            <w:tcW w:w="709" w:type="dxa"/>
            <w:vAlign w:val="center"/>
          </w:tcPr>
          <w:p w:rsidR="00CC6C93" w:rsidRDefault="00E3767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5989.43</w:t>
            </w:r>
          </w:p>
        </w:tc>
        <w:tc>
          <w:tcPr>
            <w:tcW w:w="709" w:type="dxa"/>
            <w:vAlign w:val="center"/>
          </w:tcPr>
          <w:p w:rsidR="00CC6C93" w:rsidRDefault="00CC6C93">
            <w:pPr>
              <w:jc w:val="center"/>
              <w:rPr>
                <w:rFonts w:ascii="仿宋_GB2312" w:eastAsia="仿宋_GB2312" w:hAnsiTheme="minorEastAsia" w:cs="宋体" w:hint="eastAsia"/>
                <w:color w:val="000000" w:themeColor="text1"/>
                <w:sz w:val="18"/>
                <w:szCs w:val="18"/>
              </w:rPr>
            </w:pPr>
          </w:p>
        </w:tc>
      </w:tr>
      <w:tr w:rsidR="00CC6C93">
        <w:trPr>
          <w:trHeight w:val="847"/>
          <w:jc w:val="center"/>
        </w:trPr>
        <w:tc>
          <w:tcPr>
            <w:tcW w:w="704" w:type="dxa"/>
            <w:vAlign w:val="center"/>
          </w:tcPr>
          <w:p w:rsidR="00CC6C93" w:rsidRDefault="00CC6C93">
            <w:pPr>
              <w:jc w:val="center"/>
              <w:rPr>
                <w:rFonts w:ascii="仿宋_GB2312" w:eastAsia="仿宋_GB2312" w:hAnsiTheme="minorEastAsia" w:hint="eastAsia"/>
                <w:b/>
                <w:color w:val="000000"/>
                <w:sz w:val="20"/>
                <w:szCs w:val="20"/>
              </w:rPr>
            </w:pPr>
          </w:p>
        </w:tc>
        <w:tc>
          <w:tcPr>
            <w:tcW w:w="709" w:type="dxa"/>
            <w:vAlign w:val="center"/>
          </w:tcPr>
          <w:p w:rsidR="00CC6C93" w:rsidRDefault="00CC6C93">
            <w:pPr>
              <w:jc w:val="center"/>
              <w:rPr>
                <w:rFonts w:ascii="仿宋_GB2312" w:eastAsia="仿宋_GB2312" w:hAnsiTheme="minorEastAsia" w:hint="eastAsia"/>
                <w:b/>
                <w:color w:val="000000"/>
                <w:sz w:val="20"/>
                <w:szCs w:val="20"/>
              </w:rPr>
            </w:pPr>
          </w:p>
        </w:tc>
        <w:tc>
          <w:tcPr>
            <w:tcW w:w="709" w:type="dxa"/>
            <w:vAlign w:val="center"/>
          </w:tcPr>
          <w:p w:rsidR="00CC6C93" w:rsidRDefault="00CC6C93">
            <w:pPr>
              <w:jc w:val="center"/>
              <w:rPr>
                <w:rFonts w:ascii="仿宋_GB2312" w:eastAsia="仿宋_GB2312" w:hAnsiTheme="minorEastAsia" w:hint="eastAsia"/>
                <w:b/>
                <w:color w:val="000000"/>
                <w:sz w:val="20"/>
                <w:szCs w:val="20"/>
              </w:rPr>
            </w:pPr>
          </w:p>
        </w:tc>
        <w:tc>
          <w:tcPr>
            <w:tcW w:w="1559"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33774.17</w:t>
            </w:r>
          </w:p>
        </w:tc>
        <w:tc>
          <w:tcPr>
            <w:tcW w:w="1559"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2643.67</w:t>
            </w:r>
          </w:p>
        </w:tc>
        <w:tc>
          <w:tcPr>
            <w:tcW w:w="850"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2643.67</w:t>
            </w:r>
          </w:p>
        </w:tc>
        <w:tc>
          <w:tcPr>
            <w:tcW w:w="851" w:type="dxa"/>
            <w:vAlign w:val="center"/>
          </w:tcPr>
          <w:p w:rsidR="00CC6C93" w:rsidRDefault="00CC6C93">
            <w:pPr>
              <w:jc w:val="center"/>
              <w:rPr>
                <w:rFonts w:ascii="仿宋_GB2312" w:eastAsia="仿宋_GB2312" w:hAnsiTheme="minorEastAsia" w:cs="宋体" w:hint="eastAsia"/>
                <w:b/>
                <w:color w:val="000000"/>
                <w:sz w:val="20"/>
                <w:szCs w:val="20"/>
              </w:rPr>
            </w:pPr>
          </w:p>
        </w:tc>
        <w:tc>
          <w:tcPr>
            <w:tcW w:w="850" w:type="dxa"/>
            <w:vAlign w:val="center"/>
          </w:tcPr>
          <w:p w:rsidR="00CC6C93" w:rsidRDefault="00CC6C93">
            <w:pPr>
              <w:jc w:val="center"/>
              <w:rPr>
                <w:rFonts w:ascii="仿宋_GB2312" w:eastAsia="仿宋_GB2312" w:hAnsiTheme="minorEastAsia" w:cs="宋体" w:hint="eastAsia"/>
                <w:b/>
                <w:color w:val="000000"/>
                <w:sz w:val="20"/>
                <w:szCs w:val="20"/>
              </w:rPr>
            </w:pPr>
          </w:p>
        </w:tc>
        <w:tc>
          <w:tcPr>
            <w:tcW w:w="851" w:type="dxa"/>
            <w:vAlign w:val="center"/>
          </w:tcPr>
          <w:p w:rsidR="00CC6C93" w:rsidRDefault="00CC6C93">
            <w:pPr>
              <w:jc w:val="center"/>
              <w:rPr>
                <w:rFonts w:ascii="仿宋_GB2312" w:eastAsia="仿宋_GB2312" w:hAnsiTheme="minorEastAsia" w:cs="宋体" w:hint="eastAsia"/>
                <w:b/>
                <w:color w:val="000000"/>
                <w:sz w:val="20"/>
                <w:szCs w:val="20"/>
              </w:rPr>
            </w:pPr>
          </w:p>
        </w:tc>
        <w:tc>
          <w:tcPr>
            <w:tcW w:w="850" w:type="dxa"/>
            <w:vAlign w:val="center"/>
          </w:tcPr>
          <w:p w:rsidR="00CC6C93" w:rsidRDefault="00CC6C93">
            <w:pPr>
              <w:jc w:val="center"/>
              <w:rPr>
                <w:rFonts w:ascii="仿宋_GB2312" w:eastAsia="仿宋_GB2312" w:hAnsiTheme="minorEastAsia" w:cs="宋体" w:hint="eastAsia"/>
                <w:b/>
                <w:color w:val="000000"/>
                <w:sz w:val="20"/>
                <w:szCs w:val="20"/>
              </w:rPr>
            </w:pPr>
          </w:p>
        </w:tc>
        <w:tc>
          <w:tcPr>
            <w:tcW w:w="851" w:type="dxa"/>
            <w:vAlign w:val="center"/>
          </w:tcPr>
          <w:p w:rsidR="00CC6C93" w:rsidRDefault="00CC6C93">
            <w:pPr>
              <w:jc w:val="center"/>
              <w:rPr>
                <w:rFonts w:ascii="仿宋_GB2312" w:eastAsia="仿宋_GB2312" w:hAnsiTheme="minorEastAsia" w:cs="宋体" w:hint="eastAsia"/>
                <w:b/>
                <w:color w:val="000000"/>
                <w:sz w:val="20"/>
                <w:szCs w:val="20"/>
              </w:rPr>
            </w:pPr>
          </w:p>
        </w:tc>
        <w:tc>
          <w:tcPr>
            <w:tcW w:w="709" w:type="dxa"/>
            <w:vAlign w:val="center"/>
          </w:tcPr>
          <w:p w:rsidR="00CC6C93" w:rsidRDefault="00CC6C93">
            <w:pPr>
              <w:jc w:val="center"/>
              <w:rPr>
                <w:rFonts w:ascii="仿宋_GB2312" w:eastAsia="仿宋_GB2312" w:hAnsiTheme="minorEastAsia" w:cs="宋体" w:hint="eastAsia"/>
                <w:b/>
                <w:color w:val="000000"/>
                <w:sz w:val="20"/>
                <w:szCs w:val="20"/>
              </w:rPr>
            </w:pPr>
          </w:p>
        </w:tc>
        <w:tc>
          <w:tcPr>
            <w:tcW w:w="708" w:type="dxa"/>
            <w:vAlign w:val="center"/>
          </w:tcPr>
          <w:p w:rsidR="00CC6C93" w:rsidRDefault="00CC6C93">
            <w:pPr>
              <w:jc w:val="center"/>
              <w:rPr>
                <w:rFonts w:ascii="仿宋_GB2312" w:eastAsia="仿宋_GB2312" w:hAnsiTheme="minorEastAsia" w:cs="宋体" w:hint="eastAsia"/>
                <w:b/>
                <w:color w:val="000000"/>
                <w:sz w:val="20"/>
                <w:szCs w:val="20"/>
              </w:rPr>
            </w:pPr>
          </w:p>
        </w:tc>
        <w:tc>
          <w:tcPr>
            <w:tcW w:w="709" w:type="dxa"/>
            <w:vAlign w:val="center"/>
          </w:tcPr>
          <w:p w:rsidR="00CC6C93" w:rsidRDefault="00E3767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31130.50</w:t>
            </w:r>
          </w:p>
        </w:tc>
        <w:tc>
          <w:tcPr>
            <w:tcW w:w="709" w:type="dxa"/>
            <w:vAlign w:val="center"/>
          </w:tcPr>
          <w:p w:rsidR="00CC6C93" w:rsidRDefault="00CC6C93">
            <w:pPr>
              <w:jc w:val="center"/>
              <w:rPr>
                <w:rFonts w:ascii="仿宋_GB2312" w:eastAsia="仿宋_GB2312" w:hAnsiTheme="minorEastAsia" w:cs="宋体" w:hint="eastAsia"/>
                <w:b/>
                <w:color w:val="000000"/>
                <w:sz w:val="20"/>
                <w:szCs w:val="20"/>
              </w:rPr>
            </w:pPr>
          </w:p>
        </w:tc>
      </w:tr>
    </w:tbl>
    <w:p w:rsidR="00CC6C93" w:rsidRDefault="00CC6C93">
      <w:pPr>
        <w:widowControl/>
        <w:spacing w:line="20" w:lineRule="exact"/>
        <w:jc w:val="left"/>
        <w:rPr>
          <w:rFonts w:ascii="宋体" w:hAnsi="宋体" w:hint="eastAsia"/>
          <w:bCs/>
          <w:kern w:val="0"/>
          <w:sz w:val="20"/>
          <w:szCs w:val="20"/>
        </w:rPr>
        <w:sectPr w:rsidR="00CC6C93">
          <w:pgSz w:w="16838" w:h="11906" w:orient="landscape"/>
          <w:pgMar w:top="1134" w:right="1134" w:bottom="1134" w:left="1134" w:header="851" w:footer="992" w:gutter="0"/>
          <w:cols w:space="425"/>
          <w:docGrid w:type="lines" w:linePitch="312"/>
        </w:sectPr>
      </w:pPr>
    </w:p>
    <w:p w:rsidR="00CC6C93" w:rsidRDefault="00E3767C">
      <w:pPr>
        <w:widowControl/>
        <w:jc w:val="left"/>
        <w:rPr>
          <w:rFonts w:ascii="宋体" w:hAnsi="宋体" w:hint="eastAsia"/>
          <w:bCs/>
          <w:kern w:val="0"/>
          <w:sz w:val="20"/>
          <w:szCs w:val="20"/>
        </w:rPr>
      </w:pPr>
      <w:r>
        <w:rPr>
          <w:rFonts w:ascii="宋体" w:hAnsi="宋体" w:hint="eastAsia"/>
          <w:bCs/>
          <w:kern w:val="0"/>
          <w:sz w:val="20"/>
          <w:szCs w:val="20"/>
        </w:rPr>
        <w:t>表3</w:t>
      </w:r>
    </w:p>
    <w:p w:rsidR="00CC6C93" w:rsidRDefault="00E3767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CC6C93">
        <w:trPr>
          <w:trHeight w:val="170"/>
          <w:jc w:val="center"/>
        </w:trPr>
        <w:tc>
          <w:tcPr>
            <w:tcW w:w="8647" w:type="dxa"/>
            <w:vAlign w:val="center"/>
          </w:tcPr>
          <w:p w:rsidR="00CC6C93" w:rsidRDefault="00E3767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8" w:type="dxa"/>
            <w:vAlign w:val="center"/>
          </w:tcPr>
          <w:p w:rsidR="00CC6C93" w:rsidRDefault="00E3767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CC6C93">
        <w:trPr>
          <w:trHeight w:val="340"/>
          <w:tblHeader/>
          <w:jc w:val="center"/>
        </w:trPr>
        <w:tc>
          <w:tcPr>
            <w:tcW w:w="5524" w:type="dxa"/>
            <w:gridSpan w:val="4"/>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CC6C93">
        <w:trPr>
          <w:trHeight w:val="482"/>
          <w:tblHeader/>
          <w:jc w:val="center"/>
        </w:trPr>
        <w:tc>
          <w:tcPr>
            <w:tcW w:w="2014" w:type="dxa"/>
            <w:gridSpan w:val="3"/>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CC6C93">
        <w:trPr>
          <w:trHeight w:val="403"/>
          <w:tblHeader/>
          <w:jc w:val="center"/>
        </w:trPr>
        <w:tc>
          <w:tcPr>
            <w:tcW w:w="596"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文化旅游体育与传媒支出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386.90</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386.90</w:t>
            </w: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文化和旅游</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386.90</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386.90</w:t>
            </w: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其他文化和旅游支出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386.90</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386.90</w:t>
            </w: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217.51</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217.51</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217.51</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217.51</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44.58</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44.58</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115.29</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115.29</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57.64</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57.64</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52.31</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52.31</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52.31</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52.31</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49.62</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49.62</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2.69</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2.69</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城乡社区支出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27030.80</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893.12</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26137.68</w:t>
            </w: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城乡社区管理事务</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893.12</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893.12</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179.20</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179.20</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城管执法</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713.92</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713.92</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城乡社区公共设施</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26137.68</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26137.68</w:t>
            </w: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小城镇基础设施建设</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26137.68</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26137.68</w:t>
            </w: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97.22</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97.22</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97.22</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97.22</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97.22</w:t>
            </w: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97.22</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5989.43</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5989.43</w:t>
            </w: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CC6C93" w:rsidRDefault="00CC6C9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其他政府性基金及对应专项债务收入安排的支出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5989.43</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5989.43</w:t>
            </w:r>
          </w:p>
        </w:tc>
      </w:tr>
      <w:tr w:rsidR="00CC6C93">
        <w:trPr>
          <w:trHeight w:val="403"/>
          <w:jc w:val="center"/>
        </w:trPr>
        <w:tc>
          <w:tcPr>
            <w:tcW w:w="596"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CC6C93" w:rsidRDefault="00E3767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其他地方自行试点项目收益专项债券收入安排的支出</w:t>
            </w:r>
          </w:p>
        </w:tc>
        <w:tc>
          <w:tcPr>
            <w:tcW w:w="1984"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5989.43</w:t>
            </w:r>
          </w:p>
        </w:tc>
        <w:tc>
          <w:tcPr>
            <w:tcW w:w="1276" w:type="dxa"/>
            <w:vAlign w:val="center"/>
          </w:tcPr>
          <w:p w:rsidR="00CC6C93" w:rsidRDefault="00CC6C9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CC6C93" w:rsidRDefault="00E3767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5989.43</w:t>
            </w:r>
          </w:p>
        </w:tc>
      </w:tr>
      <w:tr w:rsidR="00CC6C93">
        <w:trPr>
          <w:trHeight w:val="403"/>
          <w:jc w:val="center"/>
        </w:trPr>
        <w:tc>
          <w:tcPr>
            <w:tcW w:w="596" w:type="dxa"/>
            <w:vAlign w:val="center"/>
          </w:tcPr>
          <w:p w:rsidR="00CC6C93" w:rsidRDefault="00CC6C93">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CC6C93" w:rsidRDefault="00CC6C93">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CC6C93" w:rsidRDefault="00CC6C93">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CC6C93" w:rsidRDefault="00E3767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33774.17</w:t>
            </w:r>
          </w:p>
        </w:tc>
        <w:tc>
          <w:tcPr>
            <w:tcW w:w="1276" w:type="dxa"/>
            <w:vAlign w:val="center"/>
          </w:tcPr>
          <w:p w:rsidR="00CC6C93" w:rsidRDefault="00E3767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1260.16</w:t>
            </w:r>
          </w:p>
        </w:tc>
        <w:tc>
          <w:tcPr>
            <w:tcW w:w="1276" w:type="dxa"/>
            <w:vAlign w:val="center"/>
          </w:tcPr>
          <w:p w:rsidR="00CC6C93" w:rsidRDefault="00E3767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32514.01</w:t>
            </w:r>
          </w:p>
        </w:tc>
      </w:tr>
    </w:tbl>
    <w:p w:rsidR="00CC6C93" w:rsidRDefault="00E3767C">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CC6C93" w:rsidRDefault="00E3767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CC6C93">
        <w:trPr>
          <w:trHeight w:val="170"/>
          <w:jc w:val="center"/>
        </w:trPr>
        <w:tc>
          <w:tcPr>
            <w:tcW w:w="8647" w:type="dxa"/>
            <w:noWrap/>
            <w:vAlign w:val="bottom"/>
          </w:tcPr>
          <w:p w:rsidR="00CC6C93" w:rsidRDefault="00E3767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8" w:type="dxa"/>
            <w:vAlign w:val="bottom"/>
          </w:tcPr>
          <w:p w:rsidR="00CC6C93" w:rsidRDefault="00E3767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CC6C93">
        <w:trPr>
          <w:trHeight w:val="434"/>
          <w:tblHeader/>
          <w:jc w:val="center"/>
        </w:trPr>
        <w:tc>
          <w:tcPr>
            <w:tcW w:w="3397" w:type="dxa"/>
            <w:gridSpan w:val="2"/>
            <w:tcBorders>
              <w:top w:val="single" w:sz="4" w:space="0" w:color="auto"/>
            </w:tcBorders>
            <w:noWrap/>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CC6C93">
        <w:trPr>
          <w:trHeight w:val="757"/>
          <w:tblHeader/>
          <w:jc w:val="center"/>
        </w:trPr>
        <w:tc>
          <w:tcPr>
            <w:tcW w:w="2122"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CC6C93">
        <w:trPr>
          <w:trHeight w:hRule="exact" w:val="312"/>
          <w:jc w:val="center"/>
        </w:trPr>
        <w:tc>
          <w:tcPr>
            <w:tcW w:w="2122"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2643.67</w:t>
            </w: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E3767C">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2643.67</w:t>
            </w: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E3767C">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E3767C">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215.47</w:t>
            </w:r>
          </w:p>
        </w:tc>
        <w:tc>
          <w:tcPr>
            <w:tcW w:w="1276"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215.47</w:t>
            </w: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52.31</w:t>
            </w:r>
          </w:p>
        </w:tc>
        <w:tc>
          <w:tcPr>
            <w:tcW w:w="1276"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52.31</w:t>
            </w: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2278.67</w:t>
            </w:r>
          </w:p>
        </w:tc>
        <w:tc>
          <w:tcPr>
            <w:tcW w:w="1276"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2278.67</w:t>
            </w: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97.22</w:t>
            </w:r>
          </w:p>
        </w:tc>
        <w:tc>
          <w:tcPr>
            <w:tcW w:w="1276" w:type="dxa"/>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97.22</w:t>
            </w: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312"/>
          <w:jc w:val="center"/>
        </w:trPr>
        <w:tc>
          <w:tcPr>
            <w:tcW w:w="2122" w:type="dxa"/>
            <w:noWrap/>
            <w:vAlign w:val="center"/>
          </w:tcPr>
          <w:p w:rsidR="00CC6C93" w:rsidRDefault="00CC6C93">
            <w:pPr>
              <w:widowControl/>
              <w:jc w:val="left"/>
              <w:rPr>
                <w:rFonts w:ascii="仿宋_GB2312" w:eastAsia="仿宋_GB2312" w:hAnsiTheme="minorEastAsia" w:cs="宋体" w:hint="eastAsia"/>
                <w:kern w:val="0"/>
                <w:sz w:val="18"/>
                <w:szCs w:val="18"/>
              </w:rPr>
            </w:pPr>
          </w:p>
        </w:tc>
        <w:tc>
          <w:tcPr>
            <w:tcW w:w="1275"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CC6C93" w:rsidRDefault="00E3767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c>
          <w:tcPr>
            <w:tcW w:w="1276" w:type="dxa"/>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hRule="exact" w:val="645"/>
          <w:jc w:val="center"/>
        </w:trPr>
        <w:tc>
          <w:tcPr>
            <w:tcW w:w="2122"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CC6C93" w:rsidRDefault="00E3767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2643.67</w:t>
            </w:r>
          </w:p>
        </w:tc>
        <w:tc>
          <w:tcPr>
            <w:tcW w:w="2694"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CC6C93" w:rsidRDefault="00E3767C">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2643.67</w:t>
            </w:r>
          </w:p>
        </w:tc>
        <w:tc>
          <w:tcPr>
            <w:tcW w:w="1276" w:type="dxa"/>
            <w:vAlign w:val="center"/>
          </w:tcPr>
          <w:p w:rsidR="00CC6C93" w:rsidRDefault="00E3767C">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2643.67</w:t>
            </w:r>
          </w:p>
        </w:tc>
        <w:tc>
          <w:tcPr>
            <w:tcW w:w="1276" w:type="dxa"/>
            <w:vAlign w:val="center"/>
          </w:tcPr>
          <w:p w:rsidR="00CC6C93" w:rsidRDefault="00CC6C93">
            <w:pPr>
              <w:widowControl/>
              <w:jc w:val="right"/>
              <w:rPr>
                <w:rFonts w:ascii="仿宋_GB2312" w:eastAsia="仿宋_GB2312" w:hAnsiTheme="minorEastAsia" w:cs="宋体" w:hint="eastAsia"/>
                <w:b/>
                <w:bCs/>
                <w:kern w:val="0"/>
                <w:sz w:val="20"/>
                <w:szCs w:val="20"/>
              </w:rPr>
            </w:pPr>
          </w:p>
        </w:tc>
        <w:tc>
          <w:tcPr>
            <w:tcW w:w="1276" w:type="dxa"/>
            <w:vAlign w:val="center"/>
          </w:tcPr>
          <w:p w:rsidR="00CC6C93" w:rsidRDefault="00CC6C93">
            <w:pPr>
              <w:widowControl/>
              <w:jc w:val="right"/>
              <w:rPr>
                <w:rFonts w:ascii="仿宋_GB2312" w:eastAsia="仿宋_GB2312" w:hAnsiTheme="minorEastAsia" w:cs="宋体" w:hint="eastAsia"/>
                <w:b/>
                <w:bCs/>
                <w:kern w:val="0"/>
                <w:sz w:val="20"/>
                <w:szCs w:val="20"/>
              </w:rPr>
            </w:pPr>
          </w:p>
        </w:tc>
      </w:tr>
    </w:tbl>
    <w:p w:rsidR="00CC6C93" w:rsidRDefault="00E3767C">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CC6C93" w:rsidRDefault="00E3767C">
      <w:pPr>
        <w:widowControl/>
        <w:jc w:val="left"/>
        <w:rPr>
          <w:rFonts w:ascii="宋体" w:hAnsi="宋体" w:hint="eastAsia"/>
          <w:bCs/>
          <w:kern w:val="0"/>
          <w:sz w:val="20"/>
          <w:szCs w:val="20"/>
        </w:rPr>
      </w:pPr>
      <w:r>
        <w:rPr>
          <w:rFonts w:ascii="宋体" w:hAnsi="宋体" w:hint="eastAsia"/>
          <w:bCs/>
          <w:kern w:val="0"/>
          <w:sz w:val="20"/>
          <w:szCs w:val="20"/>
        </w:rPr>
        <w:t>表5</w:t>
      </w:r>
    </w:p>
    <w:p w:rsidR="00CC6C93" w:rsidRDefault="00E3767C">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CC6C93">
        <w:trPr>
          <w:trHeight w:val="170"/>
          <w:jc w:val="center"/>
        </w:trPr>
        <w:tc>
          <w:tcPr>
            <w:tcW w:w="8505" w:type="dxa"/>
            <w:noWrap/>
            <w:vAlign w:val="bottom"/>
          </w:tcPr>
          <w:p w:rsidR="00CC6C93" w:rsidRDefault="00E3767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8" w:type="dxa"/>
            <w:vAlign w:val="bottom"/>
          </w:tcPr>
          <w:p w:rsidR="00CC6C93" w:rsidRDefault="00E3767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CC6C93">
        <w:trPr>
          <w:trHeight w:val="483"/>
          <w:tblHeader/>
          <w:jc w:val="center"/>
        </w:trPr>
        <w:tc>
          <w:tcPr>
            <w:tcW w:w="5382" w:type="dxa"/>
            <w:gridSpan w:val="4"/>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CC6C93">
        <w:trPr>
          <w:trHeight w:val="510"/>
          <w:tblHeader/>
          <w:jc w:val="center"/>
        </w:trPr>
        <w:tc>
          <w:tcPr>
            <w:tcW w:w="2236" w:type="dxa"/>
            <w:gridSpan w:val="3"/>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CC6C93">
        <w:trPr>
          <w:trHeight w:val="416"/>
          <w:tblHeader/>
          <w:jc w:val="center"/>
        </w:trPr>
        <w:tc>
          <w:tcPr>
            <w:tcW w:w="758"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215.47</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215.47</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215.47</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215.47</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42.54</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42.54</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115.29</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115.29</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57.64</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57.64</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52.31</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52.31</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52.31</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52.31</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49.62</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49.62</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城乡社区支出</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2278.67</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880.99</w:t>
            </w:r>
          </w:p>
        </w:tc>
        <w:tc>
          <w:tcPr>
            <w:tcW w:w="1701"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1397.68</w:t>
            </w: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城乡社区管理事务</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880.99</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880.99</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176.67</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176.67</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城管执法</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704.32</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704.32</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城乡社区公共设施</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1397.68</w:t>
            </w:r>
          </w:p>
        </w:tc>
        <w:tc>
          <w:tcPr>
            <w:tcW w:w="1276"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1701"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1397.68</w:t>
            </w: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小城镇基础设施建设</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1397.68</w:t>
            </w:r>
          </w:p>
        </w:tc>
        <w:tc>
          <w:tcPr>
            <w:tcW w:w="1276"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c>
          <w:tcPr>
            <w:tcW w:w="1701"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1397.68</w:t>
            </w: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97.22</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97.22</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97.22</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97.22</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97.22</w:t>
            </w:r>
          </w:p>
        </w:tc>
        <w:tc>
          <w:tcPr>
            <w:tcW w:w="1276"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97.22</w:t>
            </w:r>
          </w:p>
        </w:tc>
        <w:tc>
          <w:tcPr>
            <w:tcW w:w="1701"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758" w:type="dxa"/>
            <w:vAlign w:val="center"/>
          </w:tcPr>
          <w:p w:rsidR="00CC6C93" w:rsidRDefault="00CC6C93">
            <w:pPr>
              <w:widowControl/>
              <w:jc w:val="center"/>
              <w:rPr>
                <w:rFonts w:ascii="仿宋_GB2312" w:eastAsia="仿宋_GB2312" w:hAnsiTheme="minorEastAsia" w:cs="宋体" w:hint="eastAsia"/>
                <w:kern w:val="0"/>
                <w:sz w:val="20"/>
                <w:szCs w:val="20"/>
              </w:rPr>
            </w:pPr>
          </w:p>
        </w:tc>
        <w:tc>
          <w:tcPr>
            <w:tcW w:w="709" w:type="dxa"/>
            <w:vAlign w:val="center"/>
          </w:tcPr>
          <w:p w:rsidR="00CC6C93" w:rsidRDefault="00CC6C93">
            <w:pPr>
              <w:widowControl/>
              <w:jc w:val="center"/>
              <w:rPr>
                <w:rFonts w:ascii="仿宋_GB2312" w:eastAsia="仿宋_GB2312" w:hAnsiTheme="minorEastAsia" w:cs="宋体" w:hint="eastAsia"/>
                <w:color w:val="000000"/>
                <w:kern w:val="0"/>
                <w:sz w:val="20"/>
                <w:szCs w:val="20"/>
              </w:rPr>
            </w:pPr>
          </w:p>
        </w:tc>
        <w:tc>
          <w:tcPr>
            <w:tcW w:w="769" w:type="dxa"/>
            <w:vAlign w:val="center"/>
          </w:tcPr>
          <w:p w:rsidR="00CC6C93" w:rsidRDefault="00CC6C93">
            <w:pPr>
              <w:widowControl/>
              <w:jc w:val="center"/>
              <w:rPr>
                <w:rFonts w:ascii="仿宋_GB2312" w:eastAsia="仿宋_GB2312" w:hAnsiTheme="minorEastAsia" w:cs="宋体" w:hint="eastAsia"/>
                <w:color w:val="000000"/>
                <w:kern w:val="0"/>
                <w:sz w:val="20"/>
                <w:szCs w:val="20"/>
              </w:rPr>
            </w:pPr>
          </w:p>
        </w:tc>
        <w:tc>
          <w:tcPr>
            <w:tcW w:w="3146"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CC6C93" w:rsidRDefault="00E3767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2643.67</w:t>
            </w:r>
          </w:p>
        </w:tc>
        <w:tc>
          <w:tcPr>
            <w:tcW w:w="1276" w:type="dxa"/>
            <w:vAlign w:val="center"/>
          </w:tcPr>
          <w:p w:rsidR="00CC6C93" w:rsidRDefault="00E3767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1245.99</w:t>
            </w:r>
          </w:p>
        </w:tc>
        <w:tc>
          <w:tcPr>
            <w:tcW w:w="1701" w:type="dxa"/>
            <w:vAlign w:val="center"/>
          </w:tcPr>
          <w:p w:rsidR="00CC6C93" w:rsidRDefault="00E3767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1397.68</w:t>
            </w:r>
          </w:p>
        </w:tc>
      </w:tr>
    </w:tbl>
    <w:p w:rsidR="00CC6C93" w:rsidRDefault="00E3767C">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CC6C93" w:rsidRDefault="00E3767C">
      <w:pPr>
        <w:widowControl/>
        <w:jc w:val="left"/>
        <w:rPr>
          <w:rFonts w:ascii="宋体" w:hAnsi="宋体" w:hint="eastAsia"/>
          <w:bCs/>
          <w:kern w:val="0"/>
          <w:sz w:val="20"/>
          <w:szCs w:val="20"/>
        </w:rPr>
      </w:pPr>
      <w:r>
        <w:rPr>
          <w:rFonts w:ascii="宋体" w:hAnsi="宋体" w:hint="eastAsia"/>
          <w:bCs/>
          <w:kern w:val="0"/>
          <w:sz w:val="20"/>
          <w:szCs w:val="20"/>
        </w:rPr>
        <w:t>表6</w:t>
      </w:r>
    </w:p>
    <w:p w:rsidR="00CC6C93" w:rsidRDefault="00E3767C">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CC6C93">
        <w:trPr>
          <w:trHeight w:val="170"/>
          <w:jc w:val="center"/>
        </w:trPr>
        <w:tc>
          <w:tcPr>
            <w:tcW w:w="8505" w:type="dxa"/>
            <w:noWrap/>
            <w:vAlign w:val="bottom"/>
          </w:tcPr>
          <w:p w:rsidR="00CC6C93" w:rsidRDefault="00E3767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8" w:type="dxa"/>
            <w:vAlign w:val="bottom"/>
          </w:tcPr>
          <w:p w:rsidR="00CC6C93" w:rsidRDefault="00E3767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CC6C93">
        <w:trPr>
          <w:trHeight w:val="390"/>
          <w:tblHeader/>
          <w:jc w:val="center"/>
        </w:trPr>
        <w:tc>
          <w:tcPr>
            <w:tcW w:w="5098" w:type="dxa"/>
            <w:gridSpan w:val="3"/>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CC6C93">
        <w:trPr>
          <w:trHeight w:val="339"/>
          <w:tblHeader/>
          <w:jc w:val="center"/>
        </w:trPr>
        <w:tc>
          <w:tcPr>
            <w:tcW w:w="1980" w:type="dxa"/>
            <w:gridSpan w:val="2"/>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CC6C93">
        <w:trPr>
          <w:trHeight w:val="270"/>
          <w:tblHeader/>
          <w:jc w:val="center"/>
        </w:trPr>
        <w:tc>
          <w:tcPr>
            <w:tcW w:w="988"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1157.87</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1157.87</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218.15</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218.15</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352.30</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352.30</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150.21</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150.21</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110.38</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110.38</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115.29</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115.29</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57.64</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57.64</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49.62</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49.62</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4.37</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4.37</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97.22</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97.22</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42.70</w:t>
            </w:r>
          </w:p>
        </w:tc>
        <w:tc>
          <w:tcPr>
            <w:tcW w:w="1417" w:type="dxa"/>
            <w:vAlign w:val="center"/>
          </w:tcPr>
          <w:p w:rsidR="00CC6C93" w:rsidRDefault="00CC6C9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42.70</w:t>
            </w: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w:t>
            </w:r>
          </w:p>
        </w:tc>
        <w:tc>
          <w:tcPr>
            <w:tcW w:w="1417" w:type="dxa"/>
            <w:vAlign w:val="center"/>
          </w:tcPr>
          <w:p w:rsidR="00CC6C93" w:rsidRDefault="00CC6C9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w:t>
            </w: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0.40</w:t>
            </w:r>
          </w:p>
        </w:tc>
        <w:tc>
          <w:tcPr>
            <w:tcW w:w="1417" w:type="dxa"/>
            <w:vAlign w:val="center"/>
          </w:tcPr>
          <w:p w:rsidR="00CC6C93" w:rsidRDefault="00CC6C9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0.40</w:t>
            </w: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w:t>
            </w:r>
          </w:p>
        </w:tc>
        <w:tc>
          <w:tcPr>
            <w:tcW w:w="1417" w:type="dxa"/>
            <w:vAlign w:val="center"/>
          </w:tcPr>
          <w:p w:rsidR="00CC6C93" w:rsidRDefault="00CC6C9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w:t>
            </w: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w:t>
            </w:r>
          </w:p>
        </w:tc>
        <w:tc>
          <w:tcPr>
            <w:tcW w:w="1417" w:type="dxa"/>
            <w:vAlign w:val="center"/>
          </w:tcPr>
          <w:p w:rsidR="00CC6C93" w:rsidRDefault="00CC6C9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w:t>
            </w: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10.10</w:t>
            </w:r>
          </w:p>
        </w:tc>
        <w:tc>
          <w:tcPr>
            <w:tcW w:w="1417" w:type="dxa"/>
            <w:vAlign w:val="center"/>
          </w:tcPr>
          <w:p w:rsidR="00CC6C93" w:rsidRDefault="00CC6C9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10.10</w:t>
            </w: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7.00</w:t>
            </w:r>
          </w:p>
        </w:tc>
        <w:tc>
          <w:tcPr>
            <w:tcW w:w="1417" w:type="dxa"/>
            <w:vAlign w:val="center"/>
          </w:tcPr>
          <w:p w:rsidR="00CC6C93" w:rsidRDefault="00CC6C9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7.00</w:t>
            </w: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14.80</w:t>
            </w:r>
          </w:p>
        </w:tc>
        <w:tc>
          <w:tcPr>
            <w:tcW w:w="1417" w:type="dxa"/>
            <w:vAlign w:val="center"/>
          </w:tcPr>
          <w:p w:rsidR="00CC6C93" w:rsidRDefault="00CC6C9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14.80</w:t>
            </w: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w:t>
            </w:r>
          </w:p>
        </w:tc>
        <w:tc>
          <w:tcPr>
            <w:tcW w:w="1417" w:type="dxa"/>
            <w:vAlign w:val="center"/>
          </w:tcPr>
          <w:p w:rsidR="00CC6C93" w:rsidRDefault="00CC6C9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w:t>
            </w: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CC6C93" w:rsidRDefault="00CC6C93">
            <w:pPr>
              <w:widowControl/>
              <w:jc w:val="center"/>
              <w:rPr>
                <w:rFonts w:ascii="仿宋_GB2312" w:eastAsia="仿宋_GB2312" w:hAnsiTheme="minorEastAsia" w:cs="宋体" w:hint="eastAsia"/>
                <w:color w:val="000000"/>
                <w:kern w:val="0"/>
                <w:sz w:val="18"/>
                <w:szCs w:val="18"/>
              </w:rPr>
            </w:pP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45.42</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45.42</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41.63</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41.63</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2.88</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2.88</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CC6C93" w:rsidRDefault="00E3767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CC6C93" w:rsidRDefault="00E3767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0.91</w:t>
            </w:r>
          </w:p>
        </w:tc>
        <w:tc>
          <w:tcPr>
            <w:tcW w:w="1417" w:type="dxa"/>
            <w:vAlign w:val="center"/>
          </w:tcPr>
          <w:p w:rsidR="00CC6C93" w:rsidRDefault="00E3767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0.91</w:t>
            </w:r>
          </w:p>
        </w:tc>
        <w:tc>
          <w:tcPr>
            <w:tcW w:w="1418" w:type="dxa"/>
            <w:vAlign w:val="center"/>
          </w:tcPr>
          <w:p w:rsidR="00CC6C93" w:rsidRDefault="00CC6C93">
            <w:pPr>
              <w:widowControl/>
              <w:jc w:val="right"/>
              <w:rPr>
                <w:rFonts w:ascii="仿宋_GB2312" w:eastAsia="仿宋_GB2312" w:hAnsiTheme="minorEastAsia" w:cs="宋体" w:hint="eastAsia"/>
                <w:color w:val="000000"/>
                <w:kern w:val="0"/>
                <w:sz w:val="18"/>
                <w:szCs w:val="18"/>
              </w:rPr>
            </w:pPr>
          </w:p>
        </w:tc>
      </w:tr>
      <w:tr w:rsidR="00CC6C93">
        <w:trPr>
          <w:trHeight w:val="340"/>
          <w:jc w:val="center"/>
        </w:trPr>
        <w:tc>
          <w:tcPr>
            <w:tcW w:w="988" w:type="dxa"/>
            <w:vAlign w:val="center"/>
          </w:tcPr>
          <w:p w:rsidR="00CC6C93" w:rsidRDefault="00CC6C93">
            <w:pPr>
              <w:widowControl/>
              <w:jc w:val="center"/>
              <w:rPr>
                <w:rFonts w:ascii="仿宋_GB2312" w:eastAsia="仿宋_GB2312" w:hAnsiTheme="minorEastAsia" w:cs="宋体" w:hint="eastAsia"/>
                <w:color w:val="000000"/>
                <w:kern w:val="0"/>
                <w:sz w:val="20"/>
                <w:szCs w:val="20"/>
              </w:rPr>
            </w:pPr>
          </w:p>
        </w:tc>
        <w:tc>
          <w:tcPr>
            <w:tcW w:w="992" w:type="dxa"/>
            <w:vAlign w:val="center"/>
          </w:tcPr>
          <w:p w:rsidR="00CC6C93" w:rsidRDefault="00CC6C93">
            <w:pPr>
              <w:widowControl/>
              <w:jc w:val="center"/>
              <w:rPr>
                <w:rFonts w:ascii="仿宋_GB2312" w:eastAsia="仿宋_GB2312" w:hAnsiTheme="minorEastAsia" w:cs="宋体" w:hint="eastAsia"/>
                <w:color w:val="000000"/>
                <w:kern w:val="0"/>
                <w:sz w:val="20"/>
                <w:szCs w:val="20"/>
              </w:rPr>
            </w:pPr>
          </w:p>
        </w:tc>
        <w:tc>
          <w:tcPr>
            <w:tcW w:w="3118" w:type="dxa"/>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CC6C93" w:rsidRDefault="00E3767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1245.99</w:t>
            </w:r>
          </w:p>
        </w:tc>
        <w:tc>
          <w:tcPr>
            <w:tcW w:w="1417" w:type="dxa"/>
            <w:vAlign w:val="center"/>
          </w:tcPr>
          <w:p w:rsidR="00CC6C93" w:rsidRDefault="00E3767C">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1203.29</w:t>
            </w:r>
          </w:p>
        </w:tc>
        <w:tc>
          <w:tcPr>
            <w:tcW w:w="1418" w:type="dxa"/>
            <w:vAlign w:val="center"/>
          </w:tcPr>
          <w:p w:rsidR="00CC6C93" w:rsidRDefault="00E3767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42.70</w:t>
            </w:r>
          </w:p>
        </w:tc>
      </w:tr>
    </w:tbl>
    <w:p w:rsidR="00CC6C93" w:rsidRDefault="00CC6C93">
      <w:pPr>
        <w:widowControl/>
        <w:spacing w:line="20" w:lineRule="exact"/>
        <w:jc w:val="left"/>
        <w:rPr>
          <w:rFonts w:asciiTheme="minorEastAsia" w:eastAsiaTheme="minorEastAsia" w:hAnsiTheme="minorEastAsia" w:cs="宋体" w:hint="eastAsia"/>
          <w:kern w:val="0"/>
          <w:sz w:val="18"/>
          <w:szCs w:val="18"/>
        </w:rPr>
      </w:pPr>
    </w:p>
    <w:p w:rsidR="00CC6C93" w:rsidRDefault="00CC6C93">
      <w:pPr>
        <w:widowControl/>
        <w:spacing w:line="20" w:lineRule="exact"/>
        <w:jc w:val="left"/>
        <w:rPr>
          <w:rFonts w:ascii="宋体" w:hAnsi="宋体" w:hint="eastAsia"/>
          <w:bCs/>
          <w:kern w:val="0"/>
          <w:sz w:val="20"/>
          <w:szCs w:val="20"/>
        </w:rPr>
        <w:sectPr w:rsidR="00CC6C93">
          <w:pgSz w:w="11906" w:h="16838"/>
          <w:pgMar w:top="1134" w:right="1134" w:bottom="1134" w:left="1134" w:header="851" w:footer="992" w:gutter="0"/>
          <w:cols w:space="425"/>
          <w:docGrid w:type="lines" w:linePitch="312"/>
        </w:sectPr>
      </w:pPr>
    </w:p>
    <w:p w:rsidR="00CC6C93" w:rsidRDefault="00E3767C">
      <w:pPr>
        <w:widowControl/>
        <w:jc w:val="left"/>
        <w:rPr>
          <w:rFonts w:ascii="宋体" w:hAnsi="宋体" w:hint="eastAsia"/>
          <w:bCs/>
          <w:kern w:val="0"/>
          <w:sz w:val="20"/>
          <w:szCs w:val="20"/>
        </w:rPr>
      </w:pPr>
      <w:r>
        <w:rPr>
          <w:rFonts w:ascii="宋体" w:hAnsi="宋体" w:hint="eastAsia"/>
          <w:bCs/>
          <w:kern w:val="0"/>
          <w:sz w:val="20"/>
          <w:szCs w:val="20"/>
        </w:rPr>
        <w:t>表7</w:t>
      </w:r>
    </w:p>
    <w:p w:rsidR="00CC6C93" w:rsidRDefault="00E3767C">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CC6C93">
        <w:trPr>
          <w:trHeight w:val="405"/>
          <w:jc w:val="center"/>
        </w:trPr>
        <w:tc>
          <w:tcPr>
            <w:tcW w:w="13467" w:type="dxa"/>
            <w:tcBorders>
              <w:top w:val="nil"/>
              <w:left w:val="nil"/>
              <w:bottom w:val="nil"/>
              <w:right w:val="nil"/>
            </w:tcBorders>
            <w:noWrap/>
            <w:vAlign w:val="bottom"/>
          </w:tcPr>
          <w:p w:rsidR="00CC6C93" w:rsidRDefault="00E3767C">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7" w:type="dxa"/>
            <w:tcBorders>
              <w:top w:val="nil"/>
              <w:left w:val="nil"/>
              <w:bottom w:val="nil"/>
              <w:right w:val="nil"/>
            </w:tcBorders>
            <w:vAlign w:val="bottom"/>
          </w:tcPr>
          <w:p w:rsidR="00CC6C93" w:rsidRDefault="00E3767C">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CC6C93" w:rsidRDefault="00CC6C93">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CC6C93">
        <w:trPr>
          <w:trHeight w:val="630"/>
          <w:tblHeader/>
          <w:jc w:val="center"/>
        </w:trPr>
        <w:tc>
          <w:tcPr>
            <w:tcW w:w="2122" w:type="dxa"/>
            <w:gridSpan w:val="3"/>
            <w:tcBorders>
              <w:top w:val="single" w:sz="4" w:space="0" w:color="auto"/>
            </w:tcBorders>
            <w:noWrap/>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CC6C93" w:rsidRDefault="00E3767C">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CC6C93">
        <w:trPr>
          <w:trHeight w:val="1367"/>
          <w:tblHeader/>
          <w:jc w:val="center"/>
        </w:trPr>
        <w:tc>
          <w:tcPr>
            <w:tcW w:w="704" w:type="dxa"/>
            <w:noWrap/>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CC6C93" w:rsidRDefault="00E3767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2127"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1417"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709"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709"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708"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709"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851"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708"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851"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709"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708"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c>
          <w:tcPr>
            <w:tcW w:w="709" w:type="dxa"/>
            <w:vMerge/>
          </w:tcPr>
          <w:p w:rsidR="00CC6C93" w:rsidRDefault="00CC6C93">
            <w:pPr>
              <w:widowControl/>
              <w:jc w:val="left"/>
              <w:rPr>
                <w:rFonts w:ascii="仿宋_GB2312" w:eastAsia="仿宋_GB2312" w:hAnsiTheme="minorEastAsia" w:cs="宋体" w:hint="eastAsia"/>
                <w:b/>
                <w:bCs/>
                <w:color w:val="000000"/>
                <w:kern w:val="0"/>
                <w:sz w:val="20"/>
                <w:szCs w:val="20"/>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CC6C93">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CC6C93" w:rsidRDefault="00CC6C9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城乡社区支出</w:t>
            </w:r>
          </w:p>
        </w:tc>
        <w:tc>
          <w:tcPr>
            <w:tcW w:w="2127" w:type="dxa"/>
            <w:vAlign w:val="center"/>
          </w:tcPr>
          <w:p w:rsidR="00CC6C93" w:rsidRDefault="00CC6C9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1397.68</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1297.68</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CC6C9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城乡社区公共设施</w:t>
            </w:r>
          </w:p>
        </w:tc>
        <w:tc>
          <w:tcPr>
            <w:tcW w:w="2127" w:type="dxa"/>
            <w:vAlign w:val="center"/>
          </w:tcPr>
          <w:p w:rsidR="00CC6C93" w:rsidRDefault="00CC6C9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1397.68</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1297.68</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塔县住建局环卫车辆燃油费</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76.00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76.00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塔县住建局环卫车辆保险费</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47.20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47.20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塔县住建局环卫车辆维修和保养费</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47.30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47.30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塔县县城路灯照明电费</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蓝天小区14号楼15号楼建设项目</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200.00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石城酒店赔偿款</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520.00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520.00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2026年春季挂灯笼</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6.18</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6.18</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塔什库尔干县县城道路修复项目费用</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80.00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80.00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塔什库尔干县班迪尔乡、提孜那甫乡、塔什库尔干乡、达布达尔乡、科克亚尔乡、塔合曼乡配套基础设施建设项目</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70.00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70.00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塔什库尔干乡边境派出所附属工程建设项目</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塔县蓝天小区14号楼15号楼建设项目</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212</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小城镇基础设施建设</w:t>
            </w:r>
          </w:p>
        </w:tc>
        <w:tc>
          <w:tcPr>
            <w:tcW w:w="212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塔县住建局2026年聘用驾驶员工资</w:t>
            </w:r>
          </w:p>
        </w:tc>
        <w:tc>
          <w:tcPr>
            <w:tcW w:w="1417" w:type="dxa"/>
            <w:vAlign w:val="center"/>
          </w:tcPr>
          <w:p w:rsidR="00CC6C93" w:rsidRDefault="00E3767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101.00</w:t>
            </w: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E3767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101.00</w:t>
            </w: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bCs/>
                <w:color w:val="000000" w:themeColor="text1"/>
                <w:sz w:val="18"/>
                <w:szCs w:val="18"/>
              </w:rPr>
            </w:pPr>
          </w:p>
        </w:tc>
      </w:tr>
      <w:tr w:rsidR="00CC6C93">
        <w:trPr>
          <w:trHeight w:val="482"/>
          <w:jc w:val="center"/>
        </w:trPr>
        <w:tc>
          <w:tcPr>
            <w:tcW w:w="704" w:type="dxa"/>
            <w:vAlign w:val="center"/>
          </w:tcPr>
          <w:p w:rsidR="00CC6C93" w:rsidRDefault="00CC6C93">
            <w:pPr>
              <w:widowControl/>
              <w:jc w:val="center"/>
              <w:outlineLvl w:val="1"/>
              <w:rPr>
                <w:rFonts w:ascii="仿宋_GB2312" w:eastAsia="仿宋_GB2312" w:hAnsiTheme="minorEastAsia" w:hint="eastAsia"/>
                <w:kern w:val="0"/>
                <w:sz w:val="20"/>
                <w:szCs w:val="20"/>
              </w:rPr>
            </w:pPr>
          </w:p>
        </w:tc>
        <w:tc>
          <w:tcPr>
            <w:tcW w:w="709" w:type="dxa"/>
            <w:vAlign w:val="center"/>
          </w:tcPr>
          <w:p w:rsidR="00CC6C93" w:rsidRDefault="00CC6C93">
            <w:pPr>
              <w:widowControl/>
              <w:jc w:val="center"/>
              <w:outlineLvl w:val="1"/>
              <w:rPr>
                <w:rFonts w:ascii="仿宋_GB2312" w:eastAsia="仿宋_GB2312" w:hAnsiTheme="minorEastAsia" w:hint="eastAsia"/>
                <w:kern w:val="0"/>
                <w:sz w:val="20"/>
                <w:szCs w:val="20"/>
              </w:rPr>
            </w:pPr>
          </w:p>
        </w:tc>
        <w:tc>
          <w:tcPr>
            <w:tcW w:w="709" w:type="dxa"/>
            <w:vAlign w:val="center"/>
          </w:tcPr>
          <w:p w:rsidR="00CC6C93" w:rsidRDefault="00CC6C93">
            <w:pPr>
              <w:widowControl/>
              <w:jc w:val="center"/>
              <w:outlineLvl w:val="1"/>
              <w:rPr>
                <w:rFonts w:ascii="仿宋_GB2312" w:eastAsia="仿宋_GB2312" w:hAnsiTheme="minorEastAsia" w:hint="eastAsia"/>
                <w:kern w:val="0"/>
                <w:sz w:val="20"/>
                <w:szCs w:val="20"/>
              </w:rPr>
            </w:pPr>
          </w:p>
        </w:tc>
        <w:tc>
          <w:tcPr>
            <w:tcW w:w="1842" w:type="dxa"/>
            <w:vAlign w:val="center"/>
          </w:tcPr>
          <w:p w:rsidR="00CC6C93" w:rsidRDefault="00CC6C93">
            <w:pPr>
              <w:widowControl/>
              <w:jc w:val="center"/>
              <w:outlineLvl w:val="1"/>
              <w:rPr>
                <w:rFonts w:ascii="仿宋_GB2312" w:eastAsia="仿宋_GB2312" w:hAnsiTheme="minorEastAsia" w:hint="eastAsia"/>
                <w:kern w:val="0"/>
                <w:sz w:val="20"/>
                <w:szCs w:val="20"/>
              </w:rPr>
            </w:pPr>
          </w:p>
        </w:tc>
        <w:tc>
          <w:tcPr>
            <w:tcW w:w="2127" w:type="dxa"/>
            <w:vAlign w:val="center"/>
          </w:tcPr>
          <w:p w:rsidR="00CC6C93" w:rsidRDefault="00E3767C">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CC6C93" w:rsidRDefault="00E3767C">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1397.68</w:t>
            </w:r>
          </w:p>
        </w:tc>
        <w:tc>
          <w:tcPr>
            <w:tcW w:w="709" w:type="dxa"/>
            <w:vAlign w:val="center"/>
          </w:tcPr>
          <w:p w:rsidR="00CC6C93" w:rsidRDefault="00CC6C93">
            <w:pPr>
              <w:widowControl/>
              <w:jc w:val="center"/>
              <w:outlineLvl w:val="1"/>
              <w:rPr>
                <w:rFonts w:ascii="仿宋_GB2312" w:eastAsia="仿宋_GB2312" w:hAnsiTheme="minorEastAsia" w:hint="eastAsia"/>
                <w:b/>
                <w:bCs/>
                <w:kern w:val="0"/>
                <w:sz w:val="20"/>
                <w:szCs w:val="20"/>
              </w:rPr>
            </w:pPr>
          </w:p>
        </w:tc>
        <w:tc>
          <w:tcPr>
            <w:tcW w:w="709" w:type="dxa"/>
            <w:vAlign w:val="center"/>
          </w:tcPr>
          <w:p w:rsidR="00CC6C93" w:rsidRDefault="00E3767C">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1297.68</w:t>
            </w:r>
          </w:p>
        </w:tc>
        <w:tc>
          <w:tcPr>
            <w:tcW w:w="708" w:type="dxa"/>
            <w:vAlign w:val="center"/>
          </w:tcPr>
          <w:p w:rsidR="00CC6C93" w:rsidRDefault="00CC6C93">
            <w:pPr>
              <w:widowControl/>
              <w:jc w:val="center"/>
              <w:outlineLvl w:val="1"/>
              <w:rPr>
                <w:rFonts w:ascii="仿宋_GB2312" w:eastAsia="仿宋_GB2312" w:hAnsiTheme="minorEastAsia" w:hint="eastAsia"/>
                <w:b/>
                <w:bCs/>
                <w:kern w:val="0"/>
                <w:sz w:val="20"/>
                <w:szCs w:val="20"/>
              </w:rPr>
            </w:pPr>
          </w:p>
        </w:tc>
        <w:tc>
          <w:tcPr>
            <w:tcW w:w="709" w:type="dxa"/>
            <w:vAlign w:val="center"/>
          </w:tcPr>
          <w:p w:rsidR="00CC6C93" w:rsidRDefault="00CC6C93">
            <w:pPr>
              <w:widowControl/>
              <w:jc w:val="center"/>
              <w:outlineLvl w:val="1"/>
              <w:rPr>
                <w:rFonts w:ascii="仿宋_GB2312" w:eastAsia="仿宋_GB2312" w:hAnsiTheme="minorEastAsia" w:hint="eastAsia"/>
                <w:b/>
                <w:bCs/>
                <w:kern w:val="0"/>
                <w:sz w:val="20"/>
                <w:szCs w:val="20"/>
              </w:rPr>
            </w:pPr>
          </w:p>
        </w:tc>
        <w:tc>
          <w:tcPr>
            <w:tcW w:w="851" w:type="dxa"/>
            <w:vAlign w:val="center"/>
          </w:tcPr>
          <w:p w:rsidR="00CC6C93" w:rsidRDefault="00E3767C">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100.00</w:t>
            </w:r>
          </w:p>
        </w:tc>
        <w:tc>
          <w:tcPr>
            <w:tcW w:w="708" w:type="dxa"/>
            <w:vAlign w:val="center"/>
          </w:tcPr>
          <w:p w:rsidR="00CC6C93" w:rsidRDefault="00CC6C93">
            <w:pPr>
              <w:widowControl/>
              <w:jc w:val="center"/>
              <w:outlineLvl w:val="1"/>
              <w:rPr>
                <w:rFonts w:ascii="仿宋_GB2312" w:eastAsia="仿宋_GB2312" w:hAnsiTheme="minorEastAsia" w:hint="eastAsia"/>
                <w:b/>
                <w:bCs/>
                <w:kern w:val="0"/>
                <w:sz w:val="20"/>
                <w:szCs w:val="20"/>
              </w:rPr>
            </w:pPr>
          </w:p>
        </w:tc>
        <w:tc>
          <w:tcPr>
            <w:tcW w:w="851" w:type="dxa"/>
            <w:vAlign w:val="center"/>
          </w:tcPr>
          <w:p w:rsidR="00CC6C93" w:rsidRDefault="00CC6C93">
            <w:pPr>
              <w:widowControl/>
              <w:jc w:val="center"/>
              <w:outlineLvl w:val="1"/>
              <w:rPr>
                <w:rFonts w:ascii="仿宋_GB2312" w:eastAsia="仿宋_GB2312" w:hAnsiTheme="minorEastAsia" w:hint="eastAsia"/>
                <w:b/>
                <w:bCs/>
                <w:kern w:val="0"/>
                <w:sz w:val="20"/>
                <w:szCs w:val="20"/>
              </w:rPr>
            </w:pPr>
          </w:p>
        </w:tc>
        <w:tc>
          <w:tcPr>
            <w:tcW w:w="709" w:type="dxa"/>
            <w:vAlign w:val="center"/>
          </w:tcPr>
          <w:p w:rsidR="00CC6C93" w:rsidRDefault="00CC6C93">
            <w:pPr>
              <w:widowControl/>
              <w:jc w:val="center"/>
              <w:outlineLvl w:val="1"/>
              <w:rPr>
                <w:rFonts w:ascii="仿宋_GB2312" w:eastAsia="仿宋_GB2312" w:hAnsiTheme="minorEastAsia" w:hint="eastAsia"/>
                <w:b/>
                <w:bCs/>
                <w:kern w:val="0"/>
                <w:sz w:val="20"/>
                <w:szCs w:val="20"/>
              </w:rPr>
            </w:pPr>
          </w:p>
        </w:tc>
        <w:tc>
          <w:tcPr>
            <w:tcW w:w="708" w:type="dxa"/>
            <w:vAlign w:val="center"/>
          </w:tcPr>
          <w:p w:rsidR="00CC6C93" w:rsidRDefault="00CC6C93">
            <w:pPr>
              <w:widowControl/>
              <w:jc w:val="center"/>
              <w:outlineLvl w:val="1"/>
              <w:rPr>
                <w:rFonts w:ascii="仿宋_GB2312" w:eastAsia="仿宋_GB2312" w:hAnsiTheme="minorEastAsia" w:hint="eastAsia"/>
                <w:b/>
                <w:bCs/>
                <w:kern w:val="0"/>
                <w:sz w:val="20"/>
                <w:szCs w:val="20"/>
              </w:rPr>
            </w:pPr>
          </w:p>
        </w:tc>
        <w:tc>
          <w:tcPr>
            <w:tcW w:w="709" w:type="dxa"/>
            <w:vAlign w:val="center"/>
          </w:tcPr>
          <w:p w:rsidR="00CC6C93" w:rsidRDefault="00CC6C93">
            <w:pPr>
              <w:pStyle w:val="HTML"/>
              <w:shd w:val="clear" w:color="auto" w:fill="FFFFFF"/>
              <w:jc w:val="center"/>
              <w:rPr>
                <w:rFonts w:ascii="仿宋_GB2312" w:eastAsia="仿宋_GB2312" w:hAnsi="Courier New" w:cs="Courier New" w:hint="default"/>
                <w:color w:val="080808"/>
                <w:sz w:val="20"/>
                <w:szCs w:val="20"/>
              </w:rPr>
            </w:pPr>
          </w:p>
        </w:tc>
      </w:tr>
    </w:tbl>
    <w:p w:rsidR="00CC6C93" w:rsidRDefault="00CC6C93">
      <w:pPr>
        <w:widowControl/>
        <w:spacing w:line="20" w:lineRule="exact"/>
        <w:jc w:val="left"/>
        <w:rPr>
          <w:rFonts w:asciiTheme="minorEastAsia" w:eastAsiaTheme="minorEastAsia" w:hAnsiTheme="minorEastAsia" w:cs="宋体" w:hint="eastAsia"/>
          <w:kern w:val="0"/>
          <w:sz w:val="18"/>
          <w:szCs w:val="18"/>
        </w:rPr>
      </w:pPr>
    </w:p>
    <w:p w:rsidR="00CC6C93" w:rsidRDefault="00CC6C93">
      <w:pPr>
        <w:widowControl/>
        <w:spacing w:line="20" w:lineRule="exact"/>
        <w:jc w:val="left"/>
        <w:rPr>
          <w:rFonts w:ascii="仿宋_GB2312" w:eastAsia="仿宋_GB2312" w:hAnsi="宋体" w:cs="宋体" w:hint="eastAsia"/>
          <w:b/>
          <w:bCs/>
          <w:color w:val="000000"/>
          <w:kern w:val="0"/>
          <w:sz w:val="18"/>
          <w:szCs w:val="18"/>
        </w:rPr>
        <w:sectPr w:rsidR="00CC6C93">
          <w:pgSz w:w="16838" w:h="11906" w:orient="landscape"/>
          <w:pgMar w:top="1134" w:right="1134" w:bottom="1134" w:left="1134" w:header="851" w:footer="992" w:gutter="0"/>
          <w:cols w:space="425"/>
          <w:docGrid w:type="lines" w:linePitch="312"/>
        </w:sectPr>
      </w:pPr>
    </w:p>
    <w:p w:rsidR="00CC6C93" w:rsidRDefault="00E3767C">
      <w:pPr>
        <w:widowControl/>
        <w:jc w:val="left"/>
        <w:rPr>
          <w:rFonts w:ascii="宋体" w:hAnsi="宋体" w:hint="eastAsia"/>
          <w:bCs/>
          <w:kern w:val="0"/>
          <w:sz w:val="20"/>
          <w:szCs w:val="20"/>
        </w:rPr>
      </w:pPr>
      <w:r>
        <w:rPr>
          <w:rFonts w:ascii="宋体" w:hAnsi="宋体" w:hint="eastAsia"/>
          <w:bCs/>
          <w:kern w:val="0"/>
          <w:sz w:val="20"/>
          <w:szCs w:val="20"/>
        </w:rPr>
        <w:t>表8</w:t>
      </w:r>
    </w:p>
    <w:p w:rsidR="00CC6C93" w:rsidRDefault="00E3767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CC6C93">
        <w:trPr>
          <w:trHeight w:val="357"/>
          <w:jc w:val="center"/>
        </w:trPr>
        <w:tc>
          <w:tcPr>
            <w:tcW w:w="8647" w:type="dxa"/>
            <w:vAlign w:val="bottom"/>
          </w:tcPr>
          <w:p w:rsidR="00CC6C93" w:rsidRDefault="00E3767C">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8" w:type="dxa"/>
            <w:vAlign w:val="bottom"/>
          </w:tcPr>
          <w:p w:rsidR="00CC6C93" w:rsidRDefault="00E3767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CC6C93">
        <w:trPr>
          <w:trHeight w:val="465"/>
          <w:tblHeader/>
          <w:jc w:val="center"/>
        </w:trPr>
        <w:tc>
          <w:tcPr>
            <w:tcW w:w="5524" w:type="dxa"/>
            <w:gridSpan w:val="4"/>
            <w:tcBorders>
              <w:top w:val="single" w:sz="4" w:space="0" w:color="auto"/>
            </w:tcBorders>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CC6C93">
        <w:trPr>
          <w:trHeight w:val="794"/>
          <w:tblHeader/>
          <w:jc w:val="center"/>
        </w:trPr>
        <w:tc>
          <w:tcPr>
            <w:tcW w:w="2122" w:type="dxa"/>
            <w:gridSpan w:val="3"/>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CC6C93">
        <w:trPr>
          <w:trHeight w:hRule="exact" w:val="794"/>
          <w:tblHeader/>
          <w:jc w:val="center"/>
        </w:trPr>
        <w:tc>
          <w:tcPr>
            <w:tcW w:w="704"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CC6C93" w:rsidRDefault="00CC6C93">
            <w:pPr>
              <w:widowControl/>
              <w:jc w:val="left"/>
              <w:rPr>
                <w:rFonts w:ascii="仿宋_GB2312" w:eastAsia="仿宋_GB2312" w:hAnsiTheme="minorEastAsia" w:cs="宋体" w:hint="eastAsia"/>
                <w:b/>
                <w:bCs/>
                <w:kern w:val="0"/>
                <w:sz w:val="20"/>
                <w:szCs w:val="20"/>
              </w:rPr>
            </w:pPr>
          </w:p>
        </w:tc>
        <w:tc>
          <w:tcPr>
            <w:tcW w:w="1134" w:type="dxa"/>
            <w:vMerge/>
            <w:vAlign w:val="center"/>
          </w:tcPr>
          <w:p w:rsidR="00CC6C93" w:rsidRDefault="00CC6C93">
            <w:pPr>
              <w:widowControl/>
              <w:jc w:val="left"/>
              <w:rPr>
                <w:rFonts w:ascii="仿宋_GB2312" w:eastAsia="仿宋_GB2312" w:hAnsiTheme="minorEastAsia" w:cs="宋体" w:hint="eastAsia"/>
                <w:b/>
                <w:bCs/>
                <w:kern w:val="0"/>
                <w:sz w:val="20"/>
                <w:szCs w:val="20"/>
              </w:rPr>
            </w:pPr>
          </w:p>
        </w:tc>
        <w:tc>
          <w:tcPr>
            <w:tcW w:w="1134" w:type="dxa"/>
            <w:vAlign w:val="center"/>
          </w:tcPr>
          <w:p w:rsidR="00CC6C93" w:rsidRDefault="00E3767C">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CC6C93" w:rsidRDefault="00E3767C">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CC6C93" w:rsidRDefault="00CC6C93">
            <w:pPr>
              <w:widowControl/>
              <w:jc w:val="left"/>
              <w:rPr>
                <w:rFonts w:ascii="仿宋_GB2312" w:eastAsia="仿宋_GB2312" w:hAnsiTheme="minorEastAsia" w:cs="宋体" w:hint="eastAsia"/>
                <w:b/>
                <w:bCs/>
                <w:kern w:val="0"/>
                <w:sz w:val="20"/>
                <w:szCs w:val="20"/>
              </w:rPr>
            </w:pPr>
          </w:p>
        </w:tc>
      </w:tr>
      <w:tr w:rsidR="00CC6C93">
        <w:trPr>
          <w:trHeight w:val="278"/>
          <w:jc w:val="center"/>
        </w:trPr>
        <w:tc>
          <w:tcPr>
            <w:tcW w:w="704" w:type="dxa"/>
            <w:noWrap/>
            <w:vAlign w:val="center"/>
          </w:tcPr>
          <w:p w:rsidR="00CC6C93" w:rsidRDefault="00CC6C93">
            <w:pPr>
              <w:widowControl/>
              <w:jc w:val="center"/>
              <w:rPr>
                <w:rFonts w:ascii="仿宋_GB2312" w:eastAsia="仿宋_GB2312" w:hAnsiTheme="minorEastAsia" w:cs="宋体" w:hint="eastAsia"/>
                <w:b/>
                <w:bCs/>
                <w:kern w:val="0"/>
                <w:sz w:val="20"/>
                <w:szCs w:val="20"/>
              </w:rPr>
            </w:pPr>
          </w:p>
        </w:tc>
        <w:tc>
          <w:tcPr>
            <w:tcW w:w="709" w:type="dxa"/>
            <w:noWrap/>
            <w:vAlign w:val="center"/>
          </w:tcPr>
          <w:p w:rsidR="00CC6C93" w:rsidRDefault="00CC6C93">
            <w:pPr>
              <w:widowControl/>
              <w:jc w:val="center"/>
              <w:rPr>
                <w:rFonts w:ascii="仿宋_GB2312" w:eastAsia="仿宋_GB2312" w:hAnsiTheme="minorEastAsia" w:cs="宋体" w:hint="eastAsia"/>
                <w:b/>
                <w:bCs/>
                <w:kern w:val="0"/>
                <w:sz w:val="20"/>
                <w:szCs w:val="20"/>
              </w:rPr>
            </w:pPr>
          </w:p>
        </w:tc>
        <w:tc>
          <w:tcPr>
            <w:tcW w:w="709" w:type="dxa"/>
            <w:vAlign w:val="center"/>
          </w:tcPr>
          <w:p w:rsidR="00CC6C93" w:rsidRDefault="00CC6C93">
            <w:pPr>
              <w:widowControl/>
              <w:jc w:val="center"/>
              <w:rPr>
                <w:rFonts w:ascii="仿宋_GB2312" w:eastAsia="仿宋_GB2312" w:hAnsiTheme="minorEastAsia" w:cs="宋体" w:hint="eastAsia"/>
                <w:b/>
                <w:bCs/>
                <w:kern w:val="0"/>
                <w:sz w:val="20"/>
                <w:szCs w:val="20"/>
              </w:rPr>
            </w:pPr>
          </w:p>
        </w:tc>
        <w:tc>
          <w:tcPr>
            <w:tcW w:w="3402"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CC6C93" w:rsidRDefault="00CC6C93">
            <w:pPr>
              <w:widowControl/>
              <w:jc w:val="center"/>
              <w:rPr>
                <w:rFonts w:ascii="仿宋_GB2312" w:eastAsia="仿宋_GB2312" w:hAnsiTheme="minorEastAsia" w:cs="宋体" w:hint="eastAsia"/>
                <w:b/>
                <w:bCs/>
                <w:kern w:val="0"/>
                <w:sz w:val="20"/>
                <w:szCs w:val="20"/>
              </w:rPr>
            </w:pPr>
          </w:p>
        </w:tc>
        <w:tc>
          <w:tcPr>
            <w:tcW w:w="1134"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CC6C93" w:rsidRDefault="00CC6C93">
            <w:pPr>
              <w:widowControl/>
              <w:jc w:val="center"/>
              <w:rPr>
                <w:rFonts w:ascii="仿宋_GB2312" w:eastAsia="仿宋_GB2312" w:hAnsiTheme="minorEastAsia" w:cs="宋体" w:hint="eastAsia"/>
                <w:b/>
                <w:bCs/>
                <w:kern w:val="0"/>
                <w:sz w:val="20"/>
                <w:szCs w:val="20"/>
              </w:rPr>
            </w:pPr>
          </w:p>
        </w:tc>
      </w:tr>
    </w:tbl>
    <w:p w:rsidR="00CC6C93" w:rsidRDefault="00E3767C">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8550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住房和城乡建设局2026年没有使用政府性基金预算拨款安排的支出，政府性基金预算支出情况表为空表。</w:t>
      </w:r>
    </w:p>
    <w:p w:rsidR="00CC6C93" w:rsidRDefault="00E3767C">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CC6C93" w:rsidRDefault="00E3767C">
      <w:pPr>
        <w:widowControl/>
        <w:jc w:val="left"/>
        <w:rPr>
          <w:rFonts w:ascii="宋体" w:hAnsi="宋体" w:hint="eastAsia"/>
          <w:bCs/>
          <w:kern w:val="0"/>
          <w:sz w:val="20"/>
          <w:szCs w:val="20"/>
        </w:rPr>
      </w:pPr>
      <w:r>
        <w:rPr>
          <w:rFonts w:ascii="宋体" w:hAnsi="宋体" w:hint="eastAsia"/>
          <w:bCs/>
          <w:kern w:val="0"/>
          <w:sz w:val="20"/>
          <w:szCs w:val="20"/>
        </w:rPr>
        <w:t>表9</w:t>
      </w:r>
    </w:p>
    <w:p w:rsidR="00CC6C93" w:rsidRDefault="00E3767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CC6C93">
        <w:trPr>
          <w:trHeight w:val="357"/>
          <w:jc w:val="center"/>
        </w:trPr>
        <w:tc>
          <w:tcPr>
            <w:tcW w:w="8647" w:type="dxa"/>
            <w:vAlign w:val="bottom"/>
          </w:tcPr>
          <w:p w:rsidR="00CC6C93" w:rsidRDefault="00E3767C">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8" w:type="dxa"/>
            <w:vAlign w:val="bottom"/>
          </w:tcPr>
          <w:p w:rsidR="00CC6C93" w:rsidRDefault="00E3767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C6C93">
        <w:trPr>
          <w:trHeight w:val="465"/>
          <w:tblHeader/>
          <w:jc w:val="center"/>
        </w:trPr>
        <w:tc>
          <w:tcPr>
            <w:tcW w:w="5070" w:type="dxa"/>
            <w:gridSpan w:val="4"/>
            <w:tcBorders>
              <w:top w:val="single" w:sz="4" w:space="0" w:color="auto"/>
            </w:tcBorders>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CC6C93">
        <w:trPr>
          <w:trHeight w:val="794"/>
          <w:tblHeader/>
          <w:jc w:val="center"/>
        </w:trPr>
        <w:tc>
          <w:tcPr>
            <w:tcW w:w="2122" w:type="dxa"/>
            <w:gridSpan w:val="3"/>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CC6C93">
        <w:trPr>
          <w:trHeight w:val="794"/>
          <w:tblHeader/>
          <w:jc w:val="center"/>
        </w:trPr>
        <w:tc>
          <w:tcPr>
            <w:tcW w:w="704"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CC6C93" w:rsidRDefault="00CC6C93">
            <w:pPr>
              <w:widowControl/>
              <w:jc w:val="left"/>
              <w:rPr>
                <w:rFonts w:ascii="仿宋_GB2312" w:eastAsia="仿宋_GB2312" w:hAnsiTheme="minorEastAsia" w:cs="宋体" w:hint="eastAsia"/>
                <w:b/>
                <w:bCs/>
                <w:kern w:val="0"/>
                <w:sz w:val="20"/>
                <w:szCs w:val="20"/>
              </w:rPr>
            </w:pPr>
          </w:p>
        </w:tc>
        <w:tc>
          <w:tcPr>
            <w:tcW w:w="1446" w:type="dxa"/>
            <w:vMerge/>
            <w:vAlign w:val="center"/>
          </w:tcPr>
          <w:p w:rsidR="00CC6C93" w:rsidRDefault="00CC6C93">
            <w:pPr>
              <w:widowControl/>
              <w:jc w:val="left"/>
              <w:rPr>
                <w:rFonts w:ascii="仿宋_GB2312" w:eastAsia="仿宋_GB2312" w:hAnsiTheme="minorEastAsia" w:cs="宋体" w:hint="eastAsia"/>
                <w:b/>
                <w:bCs/>
                <w:kern w:val="0"/>
                <w:sz w:val="20"/>
                <w:szCs w:val="20"/>
              </w:rPr>
            </w:pPr>
          </w:p>
        </w:tc>
        <w:tc>
          <w:tcPr>
            <w:tcW w:w="1134" w:type="dxa"/>
            <w:vAlign w:val="center"/>
          </w:tcPr>
          <w:p w:rsidR="00CC6C93" w:rsidRDefault="00E3767C">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CC6C93" w:rsidRDefault="00E3767C">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CC6C93" w:rsidRDefault="00CC6C93">
            <w:pPr>
              <w:widowControl/>
              <w:jc w:val="left"/>
              <w:rPr>
                <w:rFonts w:ascii="仿宋_GB2312" w:eastAsia="仿宋_GB2312" w:hAnsiTheme="minorEastAsia" w:cs="宋体" w:hint="eastAsia"/>
                <w:b/>
                <w:bCs/>
                <w:kern w:val="0"/>
                <w:sz w:val="20"/>
                <w:szCs w:val="20"/>
              </w:rPr>
            </w:pPr>
          </w:p>
        </w:tc>
      </w:tr>
      <w:tr w:rsidR="00CC6C93">
        <w:trPr>
          <w:jc w:val="center"/>
        </w:trPr>
        <w:tc>
          <w:tcPr>
            <w:tcW w:w="704" w:type="dxa"/>
            <w:noWrap/>
            <w:vAlign w:val="center"/>
          </w:tcPr>
          <w:p w:rsidR="00CC6C93" w:rsidRDefault="00CC6C93">
            <w:pPr>
              <w:widowControl/>
              <w:jc w:val="center"/>
              <w:rPr>
                <w:rFonts w:ascii="仿宋_GB2312" w:eastAsia="仿宋_GB2312" w:hAnsiTheme="minorEastAsia" w:cs="宋体" w:hint="eastAsia"/>
                <w:b/>
                <w:bCs/>
                <w:kern w:val="0"/>
                <w:sz w:val="20"/>
                <w:szCs w:val="20"/>
              </w:rPr>
            </w:pPr>
          </w:p>
        </w:tc>
        <w:tc>
          <w:tcPr>
            <w:tcW w:w="709" w:type="dxa"/>
            <w:noWrap/>
            <w:vAlign w:val="center"/>
          </w:tcPr>
          <w:p w:rsidR="00CC6C93" w:rsidRDefault="00CC6C93">
            <w:pPr>
              <w:widowControl/>
              <w:jc w:val="center"/>
              <w:rPr>
                <w:rFonts w:ascii="仿宋_GB2312" w:eastAsia="仿宋_GB2312" w:hAnsiTheme="minorEastAsia" w:cs="宋体" w:hint="eastAsia"/>
                <w:b/>
                <w:bCs/>
                <w:kern w:val="0"/>
                <w:sz w:val="20"/>
                <w:szCs w:val="20"/>
              </w:rPr>
            </w:pPr>
          </w:p>
        </w:tc>
        <w:tc>
          <w:tcPr>
            <w:tcW w:w="709" w:type="dxa"/>
            <w:vAlign w:val="center"/>
          </w:tcPr>
          <w:p w:rsidR="00CC6C93" w:rsidRDefault="00CC6C93">
            <w:pPr>
              <w:widowControl/>
              <w:jc w:val="center"/>
              <w:rPr>
                <w:rFonts w:ascii="仿宋_GB2312" w:eastAsia="仿宋_GB2312" w:hAnsiTheme="minorEastAsia" w:cs="宋体" w:hint="eastAsia"/>
                <w:b/>
                <w:bCs/>
                <w:kern w:val="0"/>
                <w:sz w:val="20"/>
                <w:szCs w:val="20"/>
              </w:rPr>
            </w:pPr>
          </w:p>
        </w:tc>
        <w:tc>
          <w:tcPr>
            <w:tcW w:w="2948"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CC6C93" w:rsidRDefault="00CC6C93">
            <w:pPr>
              <w:widowControl/>
              <w:jc w:val="center"/>
              <w:rPr>
                <w:rFonts w:ascii="仿宋_GB2312" w:eastAsia="仿宋_GB2312" w:hAnsiTheme="minorEastAsia" w:cs="宋体" w:hint="eastAsia"/>
                <w:b/>
                <w:bCs/>
                <w:kern w:val="0"/>
                <w:sz w:val="20"/>
                <w:szCs w:val="20"/>
              </w:rPr>
            </w:pPr>
          </w:p>
        </w:tc>
        <w:tc>
          <w:tcPr>
            <w:tcW w:w="1134"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CC6C93" w:rsidRDefault="00CC6C93">
            <w:pPr>
              <w:widowControl/>
              <w:jc w:val="center"/>
              <w:rPr>
                <w:rFonts w:ascii="仿宋_GB2312" w:eastAsia="仿宋_GB2312" w:hAnsiTheme="minorEastAsia" w:cs="宋体" w:hint="eastAsia"/>
                <w:b/>
                <w:bCs/>
                <w:kern w:val="0"/>
                <w:sz w:val="20"/>
                <w:szCs w:val="20"/>
              </w:rPr>
            </w:pPr>
          </w:p>
        </w:tc>
      </w:tr>
    </w:tbl>
    <w:p w:rsidR="00CC6C93" w:rsidRDefault="00E3767C">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8550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住房和城乡建设局2026年没有使用国有资本经营预算拨款安排的支出，国有资本经营预算支出情况表为空表。</w:t>
      </w:r>
    </w:p>
    <w:p w:rsidR="00CC6C93" w:rsidRDefault="00E3767C">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CC6C93" w:rsidRDefault="00E3767C">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CC6C93" w:rsidRDefault="00E3767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CC6C93">
        <w:trPr>
          <w:trHeight w:val="446"/>
          <w:jc w:val="center"/>
        </w:trPr>
        <w:tc>
          <w:tcPr>
            <w:tcW w:w="8505" w:type="dxa"/>
          </w:tcPr>
          <w:p w:rsidR="00CC6C93" w:rsidRDefault="00E3767C">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8" w:type="dxa"/>
          </w:tcPr>
          <w:p w:rsidR="00CC6C93" w:rsidRDefault="00E3767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CC6C93">
        <w:trPr>
          <w:trHeight w:val="609"/>
          <w:tblHeader/>
          <w:jc w:val="center"/>
        </w:trPr>
        <w:tc>
          <w:tcPr>
            <w:tcW w:w="3256"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CC6C93">
        <w:trPr>
          <w:trHeight w:val="338"/>
          <w:tblHeader/>
          <w:jc w:val="center"/>
        </w:trPr>
        <w:tc>
          <w:tcPr>
            <w:tcW w:w="3256" w:type="dxa"/>
            <w:vMerge/>
            <w:vAlign w:val="center"/>
          </w:tcPr>
          <w:p w:rsidR="00CC6C93" w:rsidRDefault="00CC6C93">
            <w:pPr>
              <w:widowControl/>
              <w:jc w:val="center"/>
              <w:rPr>
                <w:rFonts w:ascii="仿宋_GB2312" w:eastAsia="仿宋_GB2312" w:hAnsiTheme="minorEastAsia" w:cs="宋体" w:hint="eastAsia"/>
                <w:b/>
                <w:bCs/>
                <w:kern w:val="0"/>
                <w:sz w:val="24"/>
              </w:rPr>
            </w:pPr>
          </w:p>
        </w:tc>
        <w:tc>
          <w:tcPr>
            <w:tcW w:w="1984" w:type="dxa"/>
            <w:vMerge/>
            <w:vAlign w:val="center"/>
          </w:tcPr>
          <w:p w:rsidR="00CC6C93" w:rsidRDefault="00CC6C93">
            <w:pPr>
              <w:widowControl/>
              <w:jc w:val="center"/>
              <w:rPr>
                <w:rFonts w:ascii="仿宋_GB2312" w:eastAsia="仿宋_GB2312" w:hAnsiTheme="minorEastAsia" w:cs="宋体" w:hint="eastAsia"/>
                <w:b/>
                <w:bCs/>
                <w:kern w:val="0"/>
                <w:sz w:val="24"/>
              </w:rPr>
            </w:pPr>
          </w:p>
        </w:tc>
        <w:tc>
          <w:tcPr>
            <w:tcW w:w="1985"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CC6C93">
        <w:trPr>
          <w:trHeight w:val="620"/>
          <w:jc w:val="center"/>
        </w:trPr>
        <w:tc>
          <w:tcPr>
            <w:tcW w:w="3256"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CC6C93" w:rsidRDefault="00CC6C93">
            <w:pPr>
              <w:widowControl/>
              <w:jc w:val="center"/>
              <w:rPr>
                <w:rFonts w:ascii="仿宋_GB2312" w:eastAsia="仿宋_GB2312" w:hAnsiTheme="minorEastAsia" w:cs="宋体" w:hint="eastAsia"/>
                <w:kern w:val="0"/>
                <w:sz w:val="20"/>
                <w:szCs w:val="20"/>
              </w:rPr>
            </w:pPr>
          </w:p>
        </w:tc>
        <w:tc>
          <w:tcPr>
            <w:tcW w:w="1985" w:type="dxa"/>
            <w:vAlign w:val="center"/>
          </w:tcPr>
          <w:p w:rsidR="00CC6C93" w:rsidRDefault="00CC6C93">
            <w:pPr>
              <w:widowControl/>
              <w:jc w:val="center"/>
              <w:rPr>
                <w:rFonts w:ascii="仿宋_GB2312" w:eastAsia="仿宋_GB2312" w:hAnsiTheme="minorEastAsia" w:cs="宋体" w:hint="eastAsia"/>
                <w:kern w:val="0"/>
                <w:sz w:val="18"/>
                <w:szCs w:val="18"/>
              </w:rPr>
            </w:pPr>
          </w:p>
        </w:tc>
        <w:tc>
          <w:tcPr>
            <w:tcW w:w="1134" w:type="dxa"/>
            <w:vAlign w:val="center"/>
          </w:tcPr>
          <w:p w:rsidR="00CC6C93" w:rsidRDefault="00CC6C93">
            <w:pPr>
              <w:widowControl/>
              <w:jc w:val="center"/>
              <w:rPr>
                <w:rFonts w:ascii="仿宋_GB2312" w:eastAsia="仿宋_GB2312" w:hAnsiTheme="minorEastAsia" w:cs="宋体" w:hint="eastAsia"/>
                <w:kern w:val="0"/>
                <w:sz w:val="18"/>
                <w:szCs w:val="18"/>
              </w:rPr>
            </w:pPr>
          </w:p>
        </w:tc>
        <w:tc>
          <w:tcPr>
            <w:tcW w:w="1559" w:type="dxa"/>
            <w:vAlign w:val="center"/>
          </w:tcPr>
          <w:p w:rsidR="00CC6C93" w:rsidRDefault="00CC6C93">
            <w:pPr>
              <w:widowControl/>
              <w:jc w:val="center"/>
              <w:rPr>
                <w:rFonts w:ascii="仿宋_GB2312" w:eastAsia="仿宋_GB2312" w:hAnsiTheme="minorEastAsia" w:cs="宋体" w:hint="eastAsia"/>
                <w:kern w:val="0"/>
                <w:sz w:val="18"/>
                <w:szCs w:val="18"/>
              </w:rPr>
            </w:pPr>
          </w:p>
        </w:tc>
      </w:tr>
      <w:tr w:rsidR="00CC6C93">
        <w:trPr>
          <w:trHeight w:val="620"/>
          <w:jc w:val="center"/>
        </w:trPr>
        <w:tc>
          <w:tcPr>
            <w:tcW w:w="3256"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CC6C93" w:rsidRDefault="00CC6C93">
            <w:pPr>
              <w:widowControl/>
              <w:jc w:val="center"/>
              <w:rPr>
                <w:rFonts w:ascii="仿宋_GB2312" w:eastAsia="仿宋_GB2312" w:hAnsiTheme="minorEastAsia" w:cs="宋体" w:hint="eastAsia"/>
                <w:kern w:val="0"/>
                <w:sz w:val="20"/>
                <w:szCs w:val="20"/>
              </w:rPr>
            </w:pPr>
          </w:p>
        </w:tc>
        <w:tc>
          <w:tcPr>
            <w:tcW w:w="1985" w:type="dxa"/>
            <w:vAlign w:val="center"/>
          </w:tcPr>
          <w:p w:rsidR="00CC6C93" w:rsidRDefault="00CC6C93">
            <w:pPr>
              <w:widowControl/>
              <w:jc w:val="center"/>
              <w:rPr>
                <w:rFonts w:ascii="仿宋_GB2312" w:eastAsia="仿宋_GB2312" w:hAnsiTheme="minorEastAsia" w:cs="宋体" w:hint="eastAsia"/>
                <w:kern w:val="0"/>
                <w:sz w:val="18"/>
                <w:szCs w:val="18"/>
              </w:rPr>
            </w:pPr>
          </w:p>
        </w:tc>
        <w:tc>
          <w:tcPr>
            <w:tcW w:w="1134" w:type="dxa"/>
            <w:vAlign w:val="center"/>
          </w:tcPr>
          <w:p w:rsidR="00CC6C93" w:rsidRDefault="00CC6C93">
            <w:pPr>
              <w:widowControl/>
              <w:jc w:val="center"/>
              <w:rPr>
                <w:rFonts w:ascii="仿宋_GB2312" w:eastAsia="仿宋_GB2312" w:hAnsiTheme="minorEastAsia" w:cs="宋体" w:hint="eastAsia"/>
                <w:kern w:val="0"/>
                <w:sz w:val="18"/>
                <w:szCs w:val="18"/>
              </w:rPr>
            </w:pPr>
          </w:p>
        </w:tc>
        <w:tc>
          <w:tcPr>
            <w:tcW w:w="1559" w:type="dxa"/>
            <w:vAlign w:val="center"/>
          </w:tcPr>
          <w:p w:rsidR="00CC6C93" w:rsidRDefault="00CC6C93">
            <w:pPr>
              <w:widowControl/>
              <w:jc w:val="center"/>
              <w:rPr>
                <w:rFonts w:ascii="仿宋_GB2312" w:eastAsia="仿宋_GB2312" w:hAnsiTheme="minorEastAsia" w:cs="宋体" w:hint="eastAsia"/>
                <w:kern w:val="0"/>
                <w:sz w:val="18"/>
                <w:szCs w:val="18"/>
              </w:rPr>
            </w:pPr>
          </w:p>
        </w:tc>
      </w:tr>
      <w:tr w:rsidR="00CC6C93">
        <w:trPr>
          <w:trHeight w:val="620"/>
          <w:jc w:val="center"/>
        </w:trPr>
        <w:tc>
          <w:tcPr>
            <w:tcW w:w="3256"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CC6C93" w:rsidRDefault="00E3767C">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2.80</w:t>
            </w:r>
          </w:p>
        </w:tc>
        <w:tc>
          <w:tcPr>
            <w:tcW w:w="1985"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w:t>
            </w:r>
          </w:p>
        </w:tc>
        <w:tc>
          <w:tcPr>
            <w:tcW w:w="1134" w:type="dxa"/>
            <w:vAlign w:val="center"/>
          </w:tcPr>
          <w:p w:rsidR="00CC6C93" w:rsidRDefault="00CC6C93">
            <w:pPr>
              <w:widowControl/>
              <w:jc w:val="center"/>
              <w:rPr>
                <w:rFonts w:ascii="仿宋_GB2312" w:eastAsia="仿宋_GB2312" w:hAnsiTheme="minorEastAsia" w:cs="宋体" w:hint="eastAsia"/>
                <w:kern w:val="0"/>
                <w:sz w:val="18"/>
                <w:szCs w:val="18"/>
              </w:rPr>
            </w:pPr>
          </w:p>
        </w:tc>
        <w:tc>
          <w:tcPr>
            <w:tcW w:w="1559" w:type="dxa"/>
            <w:vAlign w:val="center"/>
          </w:tcPr>
          <w:p w:rsidR="00CC6C93" w:rsidRDefault="00CC6C93">
            <w:pPr>
              <w:widowControl/>
              <w:jc w:val="center"/>
              <w:rPr>
                <w:rFonts w:ascii="仿宋_GB2312" w:eastAsia="仿宋_GB2312" w:hAnsiTheme="minorEastAsia" w:cs="宋体" w:hint="eastAsia"/>
                <w:kern w:val="0"/>
                <w:sz w:val="18"/>
                <w:szCs w:val="18"/>
              </w:rPr>
            </w:pPr>
          </w:p>
        </w:tc>
      </w:tr>
      <w:tr w:rsidR="00CC6C93">
        <w:trPr>
          <w:trHeight w:val="620"/>
          <w:jc w:val="center"/>
        </w:trPr>
        <w:tc>
          <w:tcPr>
            <w:tcW w:w="3256"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CC6C93" w:rsidRDefault="00CC6C93">
            <w:pPr>
              <w:widowControl/>
              <w:jc w:val="center"/>
              <w:rPr>
                <w:rFonts w:ascii="仿宋_GB2312" w:eastAsia="仿宋_GB2312" w:hAnsiTheme="minorEastAsia" w:cs="宋体" w:hint="eastAsia"/>
                <w:kern w:val="0"/>
                <w:sz w:val="20"/>
                <w:szCs w:val="20"/>
              </w:rPr>
            </w:pPr>
          </w:p>
        </w:tc>
        <w:tc>
          <w:tcPr>
            <w:tcW w:w="1985" w:type="dxa"/>
            <w:vAlign w:val="center"/>
          </w:tcPr>
          <w:p w:rsidR="00CC6C93" w:rsidRDefault="00CC6C93">
            <w:pPr>
              <w:widowControl/>
              <w:jc w:val="center"/>
              <w:rPr>
                <w:rFonts w:ascii="仿宋_GB2312" w:eastAsia="仿宋_GB2312" w:hAnsiTheme="minorEastAsia" w:cs="宋体" w:hint="eastAsia"/>
                <w:kern w:val="0"/>
                <w:sz w:val="18"/>
                <w:szCs w:val="18"/>
              </w:rPr>
            </w:pPr>
          </w:p>
        </w:tc>
        <w:tc>
          <w:tcPr>
            <w:tcW w:w="1134" w:type="dxa"/>
            <w:vAlign w:val="center"/>
          </w:tcPr>
          <w:p w:rsidR="00CC6C93" w:rsidRDefault="00CC6C93">
            <w:pPr>
              <w:widowControl/>
              <w:jc w:val="center"/>
              <w:rPr>
                <w:rFonts w:ascii="仿宋_GB2312" w:eastAsia="仿宋_GB2312" w:hAnsiTheme="minorEastAsia" w:cs="宋体" w:hint="eastAsia"/>
                <w:kern w:val="0"/>
                <w:sz w:val="18"/>
                <w:szCs w:val="18"/>
              </w:rPr>
            </w:pPr>
          </w:p>
        </w:tc>
        <w:tc>
          <w:tcPr>
            <w:tcW w:w="1559" w:type="dxa"/>
            <w:vAlign w:val="center"/>
          </w:tcPr>
          <w:p w:rsidR="00CC6C93" w:rsidRDefault="00CC6C93">
            <w:pPr>
              <w:widowControl/>
              <w:jc w:val="center"/>
              <w:rPr>
                <w:rFonts w:ascii="仿宋_GB2312" w:eastAsia="仿宋_GB2312" w:hAnsiTheme="minorEastAsia" w:cs="宋体" w:hint="eastAsia"/>
                <w:kern w:val="0"/>
                <w:sz w:val="18"/>
                <w:szCs w:val="18"/>
              </w:rPr>
            </w:pPr>
          </w:p>
        </w:tc>
      </w:tr>
      <w:tr w:rsidR="00CC6C93">
        <w:trPr>
          <w:trHeight w:val="620"/>
          <w:jc w:val="center"/>
        </w:trPr>
        <w:tc>
          <w:tcPr>
            <w:tcW w:w="3256"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CC6C93" w:rsidRDefault="00E3767C">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2.80</w:t>
            </w:r>
          </w:p>
        </w:tc>
        <w:tc>
          <w:tcPr>
            <w:tcW w:w="1985"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w:t>
            </w:r>
          </w:p>
        </w:tc>
        <w:tc>
          <w:tcPr>
            <w:tcW w:w="1134" w:type="dxa"/>
            <w:vAlign w:val="center"/>
          </w:tcPr>
          <w:p w:rsidR="00CC6C93" w:rsidRDefault="00CC6C93">
            <w:pPr>
              <w:widowControl/>
              <w:jc w:val="center"/>
              <w:rPr>
                <w:rFonts w:ascii="仿宋_GB2312" w:eastAsia="仿宋_GB2312" w:hAnsiTheme="minorEastAsia" w:cs="宋体" w:hint="eastAsia"/>
                <w:kern w:val="0"/>
                <w:sz w:val="18"/>
                <w:szCs w:val="18"/>
              </w:rPr>
            </w:pPr>
          </w:p>
        </w:tc>
        <w:tc>
          <w:tcPr>
            <w:tcW w:w="1559" w:type="dxa"/>
            <w:vAlign w:val="center"/>
          </w:tcPr>
          <w:p w:rsidR="00CC6C93" w:rsidRDefault="00CC6C93">
            <w:pPr>
              <w:widowControl/>
              <w:jc w:val="center"/>
              <w:rPr>
                <w:rFonts w:ascii="仿宋_GB2312" w:eastAsia="仿宋_GB2312" w:hAnsiTheme="minorEastAsia" w:cs="宋体" w:hint="eastAsia"/>
                <w:kern w:val="0"/>
                <w:sz w:val="18"/>
                <w:szCs w:val="18"/>
              </w:rPr>
            </w:pPr>
          </w:p>
        </w:tc>
      </w:tr>
      <w:tr w:rsidR="00CC6C93">
        <w:trPr>
          <w:trHeight w:val="620"/>
          <w:jc w:val="center"/>
        </w:trPr>
        <w:tc>
          <w:tcPr>
            <w:tcW w:w="3256"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CC6C93" w:rsidRDefault="00E3767C">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2.80</w:t>
            </w:r>
          </w:p>
        </w:tc>
        <w:tc>
          <w:tcPr>
            <w:tcW w:w="1985" w:type="dxa"/>
            <w:vAlign w:val="center"/>
          </w:tcPr>
          <w:p w:rsidR="00CC6C93" w:rsidRDefault="00E3767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w:t>
            </w:r>
          </w:p>
        </w:tc>
        <w:tc>
          <w:tcPr>
            <w:tcW w:w="1134" w:type="dxa"/>
            <w:vAlign w:val="center"/>
          </w:tcPr>
          <w:p w:rsidR="00CC6C93" w:rsidRDefault="00CC6C93">
            <w:pPr>
              <w:widowControl/>
              <w:jc w:val="center"/>
              <w:rPr>
                <w:rFonts w:ascii="仿宋_GB2312" w:eastAsia="仿宋_GB2312" w:hAnsiTheme="minorEastAsia" w:cs="宋体" w:hint="eastAsia"/>
                <w:kern w:val="0"/>
                <w:sz w:val="18"/>
                <w:szCs w:val="18"/>
              </w:rPr>
            </w:pPr>
          </w:p>
        </w:tc>
        <w:tc>
          <w:tcPr>
            <w:tcW w:w="1559" w:type="dxa"/>
            <w:vAlign w:val="center"/>
          </w:tcPr>
          <w:p w:rsidR="00CC6C93" w:rsidRDefault="00CC6C93">
            <w:pPr>
              <w:widowControl/>
              <w:jc w:val="center"/>
              <w:rPr>
                <w:rFonts w:ascii="仿宋_GB2312" w:eastAsia="仿宋_GB2312" w:hAnsiTheme="minorEastAsia" w:cs="宋体" w:hint="eastAsia"/>
                <w:kern w:val="0"/>
                <w:sz w:val="18"/>
                <w:szCs w:val="18"/>
              </w:rPr>
            </w:pPr>
          </w:p>
        </w:tc>
      </w:tr>
    </w:tbl>
    <w:p w:rsidR="00CC6C93" w:rsidRDefault="00E3767C">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CC6C93" w:rsidRDefault="00E3767C">
      <w:pPr>
        <w:widowControl/>
        <w:jc w:val="left"/>
        <w:rPr>
          <w:rFonts w:ascii="宋体" w:hAnsi="宋体" w:hint="eastAsia"/>
          <w:bCs/>
          <w:kern w:val="0"/>
          <w:sz w:val="20"/>
          <w:szCs w:val="20"/>
        </w:rPr>
      </w:pPr>
      <w:r>
        <w:rPr>
          <w:rFonts w:ascii="宋体" w:hAnsi="宋体"/>
          <w:bCs/>
          <w:kern w:val="0"/>
          <w:sz w:val="20"/>
          <w:szCs w:val="20"/>
        </w:rPr>
        <w:t>表11</w:t>
      </w:r>
    </w:p>
    <w:p w:rsidR="00CC6C93" w:rsidRDefault="00E3767C">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CC6C93">
        <w:trPr>
          <w:trHeight w:val="446"/>
          <w:jc w:val="center"/>
        </w:trPr>
        <w:tc>
          <w:tcPr>
            <w:tcW w:w="8505" w:type="dxa"/>
          </w:tcPr>
          <w:p w:rsidR="00CC6C93" w:rsidRDefault="00E3767C">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418" w:type="dxa"/>
          </w:tcPr>
          <w:p w:rsidR="00CC6C93" w:rsidRDefault="00E3767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CC6C93" w:rsidRDefault="00CC6C93">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CC6C93">
        <w:trPr>
          <w:trHeight w:val="312"/>
          <w:tblHeader/>
          <w:jc w:val="center"/>
        </w:trPr>
        <w:tc>
          <w:tcPr>
            <w:tcW w:w="1171" w:type="dxa"/>
            <w:vMerge w:val="restart"/>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CC6C93">
        <w:trPr>
          <w:trHeight w:val="312"/>
          <w:tblHeader/>
          <w:jc w:val="center"/>
        </w:trPr>
        <w:tc>
          <w:tcPr>
            <w:tcW w:w="1171" w:type="dxa"/>
            <w:vMerge/>
            <w:vAlign w:val="center"/>
          </w:tcPr>
          <w:p w:rsidR="00CC6C93" w:rsidRDefault="00CC6C93">
            <w:pPr>
              <w:widowControl/>
              <w:spacing w:line="280" w:lineRule="exact"/>
              <w:jc w:val="center"/>
              <w:rPr>
                <w:rFonts w:eastAsia="仿宋_GB2312"/>
                <w:b/>
                <w:bCs/>
                <w:kern w:val="0"/>
                <w:sz w:val="20"/>
                <w:szCs w:val="20"/>
              </w:rPr>
            </w:pPr>
          </w:p>
        </w:tc>
        <w:tc>
          <w:tcPr>
            <w:tcW w:w="1286" w:type="dxa"/>
            <w:vMerge/>
            <w:vAlign w:val="center"/>
          </w:tcPr>
          <w:p w:rsidR="00CC6C93" w:rsidRDefault="00CC6C93">
            <w:pPr>
              <w:spacing w:line="600" w:lineRule="exact"/>
              <w:jc w:val="center"/>
              <w:rPr>
                <w:rFonts w:eastAsia="仿宋"/>
                <w:bCs/>
                <w:kern w:val="0"/>
                <w:sz w:val="28"/>
                <w:szCs w:val="28"/>
              </w:rPr>
            </w:pPr>
          </w:p>
        </w:tc>
        <w:tc>
          <w:tcPr>
            <w:tcW w:w="1933"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CC6C93" w:rsidRDefault="00E3767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CC6C93">
        <w:trPr>
          <w:trHeight w:val="650"/>
          <w:jc w:val="center"/>
        </w:trPr>
        <w:tc>
          <w:tcPr>
            <w:tcW w:w="1171"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CC6C93" w:rsidRDefault="00CC6C93">
            <w:pPr>
              <w:jc w:val="center"/>
              <w:rPr>
                <w:rFonts w:eastAsia="仿宋"/>
                <w:bCs/>
                <w:kern w:val="0"/>
                <w:sz w:val="20"/>
                <w:szCs w:val="20"/>
              </w:rPr>
            </w:pPr>
          </w:p>
        </w:tc>
        <w:tc>
          <w:tcPr>
            <w:tcW w:w="1933" w:type="dxa"/>
            <w:vAlign w:val="center"/>
          </w:tcPr>
          <w:p w:rsidR="00CC6C93" w:rsidRDefault="00CC6C93">
            <w:pPr>
              <w:jc w:val="center"/>
              <w:rPr>
                <w:rFonts w:eastAsia="仿宋"/>
                <w:bCs/>
                <w:kern w:val="0"/>
                <w:sz w:val="20"/>
                <w:szCs w:val="20"/>
              </w:rPr>
            </w:pPr>
          </w:p>
        </w:tc>
        <w:tc>
          <w:tcPr>
            <w:tcW w:w="1984" w:type="dxa"/>
            <w:vAlign w:val="center"/>
          </w:tcPr>
          <w:p w:rsidR="00CC6C93" w:rsidRDefault="00CC6C93">
            <w:pPr>
              <w:jc w:val="center"/>
              <w:rPr>
                <w:rFonts w:eastAsia="仿宋"/>
                <w:bCs/>
                <w:kern w:val="0"/>
                <w:sz w:val="20"/>
                <w:szCs w:val="20"/>
              </w:rPr>
            </w:pPr>
          </w:p>
        </w:tc>
        <w:tc>
          <w:tcPr>
            <w:tcW w:w="3254" w:type="dxa"/>
            <w:vAlign w:val="center"/>
          </w:tcPr>
          <w:p w:rsidR="00CC6C93" w:rsidRDefault="00CC6C93">
            <w:pPr>
              <w:jc w:val="center"/>
              <w:rPr>
                <w:rFonts w:eastAsia="仿宋"/>
                <w:bCs/>
                <w:kern w:val="0"/>
                <w:sz w:val="20"/>
                <w:szCs w:val="20"/>
              </w:rPr>
            </w:pPr>
          </w:p>
        </w:tc>
      </w:tr>
    </w:tbl>
    <w:p w:rsidR="00CC6C93" w:rsidRDefault="00E3767C">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8550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住房和城乡建设局2026年没有委托业务费预算的支出，财政拨款委托业务费支出情况表为空表。</w:t>
      </w:r>
    </w:p>
    <w:p w:rsidR="00CC6C93" w:rsidRDefault="00E3767C">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CC6C93" w:rsidRDefault="00E3767C">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CC6C93" w:rsidRDefault="00E3767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CC6C93">
        <w:trPr>
          <w:trHeight w:val="357"/>
          <w:jc w:val="center"/>
        </w:trPr>
        <w:tc>
          <w:tcPr>
            <w:tcW w:w="8222" w:type="dxa"/>
            <w:vAlign w:val="bottom"/>
          </w:tcPr>
          <w:p w:rsidR="00CC6C93" w:rsidRDefault="00E3767C">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78550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住房和城乡建设局</w:t>
            </w:r>
          </w:p>
        </w:tc>
        <w:tc>
          <w:tcPr>
            <w:tcW w:w="1843" w:type="dxa"/>
            <w:vAlign w:val="bottom"/>
          </w:tcPr>
          <w:p w:rsidR="00CC6C93" w:rsidRDefault="00E3767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CC6C93">
        <w:trPr>
          <w:trHeight w:val="416"/>
          <w:tblHeader/>
        </w:trPr>
        <w:tc>
          <w:tcPr>
            <w:tcW w:w="1951"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CC6C93">
        <w:trPr>
          <w:trHeight w:val="422"/>
          <w:tblHeader/>
        </w:trPr>
        <w:tc>
          <w:tcPr>
            <w:tcW w:w="1951" w:type="dxa"/>
            <w:vMerge/>
            <w:vAlign w:val="center"/>
          </w:tcPr>
          <w:p w:rsidR="00CC6C93" w:rsidRDefault="00CC6C93">
            <w:pPr>
              <w:widowControl/>
              <w:jc w:val="center"/>
              <w:rPr>
                <w:rFonts w:ascii="仿宋_GB2312" w:eastAsia="仿宋_GB2312" w:hAnsiTheme="minorEastAsia" w:cs="宋体" w:hint="eastAsia"/>
                <w:b/>
                <w:bCs/>
                <w:kern w:val="0"/>
                <w:sz w:val="20"/>
                <w:szCs w:val="20"/>
              </w:rPr>
            </w:pPr>
          </w:p>
        </w:tc>
        <w:tc>
          <w:tcPr>
            <w:tcW w:w="1163" w:type="dxa"/>
            <w:vMerge/>
            <w:vAlign w:val="center"/>
          </w:tcPr>
          <w:p w:rsidR="00CC6C93" w:rsidRDefault="00CC6C93">
            <w:pPr>
              <w:rPr>
                <w:rFonts w:ascii="仿宋_GB2312" w:eastAsia="仿宋_GB2312" w:hAnsiTheme="minorEastAsia" w:cs="宋体" w:hint="eastAsia"/>
                <w:b/>
                <w:bCs/>
                <w:kern w:val="0"/>
                <w:sz w:val="20"/>
                <w:szCs w:val="20"/>
              </w:rPr>
            </w:pPr>
          </w:p>
        </w:tc>
        <w:tc>
          <w:tcPr>
            <w:tcW w:w="992"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CC6C93" w:rsidRDefault="00E3767C">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CC6C93" w:rsidRDefault="00E3767C">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CC6C93">
        <w:trPr>
          <w:trHeight w:val="765"/>
          <w:tblHeader/>
        </w:trPr>
        <w:tc>
          <w:tcPr>
            <w:tcW w:w="1951" w:type="dxa"/>
            <w:vMerge/>
            <w:vAlign w:val="center"/>
          </w:tcPr>
          <w:p w:rsidR="00CC6C93" w:rsidRDefault="00CC6C93">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CC6C93" w:rsidRDefault="00CC6C93">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CC6C93" w:rsidRDefault="00CC6C93">
            <w:pPr>
              <w:widowControl/>
              <w:jc w:val="center"/>
              <w:rPr>
                <w:rFonts w:asciiTheme="minorEastAsia" w:eastAsiaTheme="minorEastAsia" w:hAnsiTheme="minorEastAsia" w:cs="宋体" w:hint="eastAsia"/>
                <w:b/>
                <w:bCs/>
                <w:kern w:val="0"/>
                <w:sz w:val="20"/>
                <w:szCs w:val="20"/>
              </w:rPr>
            </w:pPr>
          </w:p>
        </w:tc>
        <w:tc>
          <w:tcPr>
            <w:tcW w:w="709"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CC6C93" w:rsidRDefault="00CC6C93">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CC6C93" w:rsidRDefault="00CC6C93">
            <w:pPr>
              <w:widowControl/>
              <w:jc w:val="center"/>
              <w:rPr>
                <w:rFonts w:asciiTheme="minorEastAsia" w:eastAsiaTheme="minorEastAsia" w:hAnsiTheme="minorEastAsia" w:cs="宋体" w:hint="eastAsia"/>
                <w:b/>
                <w:bCs/>
                <w:kern w:val="0"/>
                <w:sz w:val="20"/>
                <w:szCs w:val="20"/>
              </w:rPr>
            </w:pPr>
          </w:p>
        </w:tc>
        <w:tc>
          <w:tcPr>
            <w:tcW w:w="709"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CC6C93" w:rsidRDefault="00E3767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CC6C93" w:rsidRDefault="00CC6C93">
            <w:pPr>
              <w:widowControl/>
              <w:spacing w:line="280" w:lineRule="exact"/>
              <w:jc w:val="center"/>
              <w:rPr>
                <w:rFonts w:ascii="仿宋_GB2312" w:eastAsia="仿宋_GB2312" w:hAnsi="宋体" w:cs="宋体" w:hint="eastAsia"/>
                <w:b/>
                <w:bCs/>
                <w:kern w:val="0"/>
                <w:sz w:val="20"/>
                <w:szCs w:val="20"/>
              </w:rPr>
            </w:pPr>
          </w:p>
        </w:tc>
      </w:tr>
      <w:tr w:rsidR="00CC6C93">
        <w:trPr>
          <w:trHeight w:val="618"/>
        </w:trPr>
        <w:tc>
          <w:tcPr>
            <w:tcW w:w="1951" w:type="dxa"/>
            <w:vAlign w:val="center"/>
          </w:tcPr>
          <w:p w:rsidR="00CC6C93" w:rsidRDefault="00E3767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塔什库尔干县2024年旅游基础设施提升改造工程</w:t>
            </w:r>
          </w:p>
        </w:tc>
        <w:tc>
          <w:tcPr>
            <w:tcW w:w="1163" w:type="dxa"/>
            <w:vAlign w:val="center"/>
          </w:tcPr>
          <w:p w:rsidR="00CC6C93" w:rsidRDefault="00E3767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74.41</w:t>
            </w: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74.41</w:t>
            </w: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74.41</w:t>
            </w:r>
          </w:p>
        </w:tc>
        <w:tc>
          <w:tcPr>
            <w:tcW w:w="1134"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9"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8"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993"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r>
      <w:tr w:rsidR="00CC6C93">
        <w:trPr>
          <w:trHeight w:val="618"/>
        </w:trPr>
        <w:tc>
          <w:tcPr>
            <w:tcW w:w="1951" w:type="dxa"/>
            <w:vAlign w:val="center"/>
          </w:tcPr>
          <w:p w:rsidR="00CC6C93" w:rsidRDefault="00E3767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强边兴边固边专项[兴边富民中心城镇基础设施方向]喀什地区塔什库尔干县游客服务中心建设项目</w:t>
            </w:r>
          </w:p>
        </w:tc>
        <w:tc>
          <w:tcPr>
            <w:tcW w:w="1163" w:type="dxa"/>
            <w:vAlign w:val="center"/>
          </w:tcPr>
          <w:p w:rsidR="00CC6C93" w:rsidRDefault="00E3767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312.49</w:t>
            </w: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312.49</w:t>
            </w: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312.49</w:t>
            </w:r>
          </w:p>
        </w:tc>
        <w:tc>
          <w:tcPr>
            <w:tcW w:w="1134"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9"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8"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993"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r>
      <w:tr w:rsidR="00CC6C93">
        <w:trPr>
          <w:trHeight w:val="618"/>
        </w:trPr>
        <w:tc>
          <w:tcPr>
            <w:tcW w:w="1951" w:type="dxa"/>
            <w:vAlign w:val="center"/>
          </w:tcPr>
          <w:p w:rsidR="00CC6C93" w:rsidRDefault="00E3767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CC6C93" w:rsidRDefault="00E3767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14.17</w:t>
            </w: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14.17</w:t>
            </w:r>
          </w:p>
        </w:tc>
        <w:tc>
          <w:tcPr>
            <w:tcW w:w="709" w:type="dxa"/>
            <w:vAlign w:val="center"/>
          </w:tcPr>
          <w:p w:rsidR="00CC6C93" w:rsidRDefault="00E3767C">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14.17</w:t>
            </w: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1134"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9"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8"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993"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r>
      <w:tr w:rsidR="00CC6C93">
        <w:trPr>
          <w:trHeight w:val="618"/>
        </w:trPr>
        <w:tc>
          <w:tcPr>
            <w:tcW w:w="1951" w:type="dxa"/>
            <w:vAlign w:val="center"/>
          </w:tcPr>
          <w:p w:rsidR="00CC6C93" w:rsidRDefault="00E3767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喀什地区塔什库尔干县旭东片区弥散式供养建设项目</w:t>
            </w:r>
          </w:p>
        </w:tc>
        <w:tc>
          <w:tcPr>
            <w:tcW w:w="1163" w:type="dxa"/>
            <w:vAlign w:val="center"/>
          </w:tcPr>
          <w:p w:rsidR="00CC6C93" w:rsidRDefault="00E3767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7900</w:t>
            </w: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7900</w:t>
            </w: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7900</w:t>
            </w:r>
          </w:p>
        </w:tc>
        <w:tc>
          <w:tcPr>
            <w:tcW w:w="1134"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9"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8"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993"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r>
      <w:tr w:rsidR="00CC6C93">
        <w:trPr>
          <w:trHeight w:val="618"/>
        </w:trPr>
        <w:tc>
          <w:tcPr>
            <w:tcW w:w="1951" w:type="dxa"/>
            <w:vAlign w:val="center"/>
          </w:tcPr>
          <w:p w:rsidR="00CC6C93" w:rsidRDefault="00E3767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喀什地区塔什库尔干县各学校幼儿园高原供氧系统建设项目</w:t>
            </w:r>
          </w:p>
        </w:tc>
        <w:tc>
          <w:tcPr>
            <w:tcW w:w="1163" w:type="dxa"/>
            <w:vAlign w:val="center"/>
          </w:tcPr>
          <w:p w:rsidR="00CC6C93" w:rsidRDefault="00E3767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8500</w:t>
            </w: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8500</w:t>
            </w: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8500</w:t>
            </w:r>
          </w:p>
        </w:tc>
        <w:tc>
          <w:tcPr>
            <w:tcW w:w="1134"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9"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8"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993"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r>
      <w:tr w:rsidR="00CC6C93">
        <w:trPr>
          <w:trHeight w:val="618"/>
        </w:trPr>
        <w:tc>
          <w:tcPr>
            <w:tcW w:w="1951" w:type="dxa"/>
            <w:vAlign w:val="center"/>
          </w:tcPr>
          <w:p w:rsidR="00CC6C93" w:rsidRDefault="00E3767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喀什地区塔什库尔干县喀什尕勒片区弥散式供养建设项目</w:t>
            </w:r>
          </w:p>
        </w:tc>
        <w:tc>
          <w:tcPr>
            <w:tcW w:w="1163" w:type="dxa"/>
            <w:vAlign w:val="center"/>
          </w:tcPr>
          <w:p w:rsidR="00CC6C93" w:rsidRDefault="00E3767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8340</w:t>
            </w: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8340</w:t>
            </w: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8340</w:t>
            </w:r>
          </w:p>
        </w:tc>
        <w:tc>
          <w:tcPr>
            <w:tcW w:w="1134"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9"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8"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993"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r>
      <w:tr w:rsidR="00CC6C93">
        <w:trPr>
          <w:trHeight w:val="618"/>
        </w:trPr>
        <w:tc>
          <w:tcPr>
            <w:tcW w:w="1951" w:type="dxa"/>
            <w:vAlign w:val="center"/>
          </w:tcPr>
          <w:p w:rsidR="00CC6C93" w:rsidRDefault="00E3767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塔什库尔干县供热系统改造项目</w:t>
            </w:r>
          </w:p>
        </w:tc>
        <w:tc>
          <w:tcPr>
            <w:tcW w:w="1163" w:type="dxa"/>
            <w:vAlign w:val="center"/>
          </w:tcPr>
          <w:p w:rsidR="00CC6C93" w:rsidRDefault="00E3767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1000</w:t>
            </w: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1000</w:t>
            </w: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1000</w:t>
            </w:r>
          </w:p>
        </w:tc>
        <w:tc>
          <w:tcPr>
            <w:tcW w:w="1134"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9"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8"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993"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r>
      <w:tr w:rsidR="00CC6C93">
        <w:trPr>
          <w:trHeight w:val="618"/>
        </w:trPr>
        <w:tc>
          <w:tcPr>
            <w:tcW w:w="1951" w:type="dxa"/>
            <w:vAlign w:val="center"/>
          </w:tcPr>
          <w:p w:rsidR="00CC6C93" w:rsidRDefault="00E3767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塔什库尔干县老旧小区供水管网改造项目</w:t>
            </w:r>
          </w:p>
        </w:tc>
        <w:tc>
          <w:tcPr>
            <w:tcW w:w="1163" w:type="dxa"/>
            <w:vAlign w:val="center"/>
          </w:tcPr>
          <w:p w:rsidR="00CC6C93" w:rsidRDefault="00E3767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1000</w:t>
            </w: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1000</w:t>
            </w: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1000</w:t>
            </w:r>
          </w:p>
        </w:tc>
        <w:tc>
          <w:tcPr>
            <w:tcW w:w="1134"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9"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8"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993"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r>
      <w:tr w:rsidR="00CC6C93">
        <w:trPr>
          <w:trHeight w:val="618"/>
        </w:trPr>
        <w:tc>
          <w:tcPr>
            <w:tcW w:w="1951" w:type="dxa"/>
            <w:vAlign w:val="center"/>
          </w:tcPr>
          <w:p w:rsidR="00CC6C93" w:rsidRDefault="00E3767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喀什地区塔什库尔干县污水处理厂配套设施及再生水系统扩建项目</w:t>
            </w:r>
          </w:p>
        </w:tc>
        <w:tc>
          <w:tcPr>
            <w:tcW w:w="1163" w:type="dxa"/>
            <w:vAlign w:val="center"/>
          </w:tcPr>
          <w:p w:rsidR="00CC6C93" w:rsidRDefault="00E3767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3989.43</w:t>
            </w: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3989.43</w:t>
            </w: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CC6C93" w:rsidRDefault="00CC6C9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CC6C93" w:rsidRDefault="00E3767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3989.43</w:t>
            </w:r>
          </w:p>
        </w:tc>
        <w:tc>
          <w:tcPr>
            <w:tcW w:w="1134"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9"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708"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c>
          <w:tcPr>
            <w:tcW w:w="993" w:type="dxa"/>
            <w:vAlign w:val="center"/>
          </w:tcPr>
          <w:p w:rsidR="00CC6C93" w:rsidRDefault="00CC6C93">
            <w:pPr>
              <w:spacing w:line="600" w:lineRule="exact"/>
              <w:jc w:val="center"/>
              <w:rPr>
                <w:rFonts w:ascii="仿宋_GB2312" w:eastAsia="仿宋_GB2312" w:hAnsi="仿宋" w:cs="仿宋_GB2312" w:hint="eastAsia"/>
                <w:kern w:val="0"/>
                <w:sz w:val="18"/>
                <w:szCs w:val="18"/>
              </w:rPr>
            </w:pPr>
          </w:p>
        </w:tc>
      </w:tr>
      <w:tr w:rsidR="00CC6C93">
        <w:trPr>
          <w:trHeight w:val="618"/>
        </w:trPr>
        <w:tc>
          <w:tcPr>
            <w:tcW w:w="1951" w:type="dxa"/>
            <w:vAlign w:val="center"/>
          </w:tcPr>
          <w:p w:rsidR="00CC6C93" w:rsidRDefault="00E3767C">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CC6C93" w:rsidRDefault="00E3767C">
            <w:pPr>
              <w:jc w:val="center"/>
              <w:rPr>
                <w:rFonts w:ascii="仿宋_GB2312" w:eastAsia="仿宋_GB2312"/>
                <w:b/>
                <w:bCs/>
                <w:sz w:val="18"/>
                <w:szCs w:val="18"/>
              </w:rPr>
            </w:pPr>
            <w:r>
              <w:rPr>
                <w:rFonts w:ascii="仿宋_GB2312" w:eastAsia="仿宋_GB2312" w:hint="eastAsia"/>
                <w:b/>
                <w:bCs/>
                <w:sz w:val="18"/>
                <w:szCs w:val="18"/>
              </w:rPr>
              <w:t>31130.5</w:t>
            </w:r>
          </w:p>
        </w:tc>
        <w:tc>
          <w:tcPr>
            <w:tcW w:w="992" w:type="dxa"/>
            <w:vAlign w:val="center"/>
          </w:tcPr>
          <w:p w:rsidR="00CC6C93" w:rsidRDefault="00E3767C">
            <w:pPr>
              <w:jc w:val="center"/>
              <w:rPr>
                <w:rFonts w:ascii="仿宋_GB2312" w:eastAsia="仿宋_GB2312"/>
                <w:b/>
                <w:bCs/>
                <w:sz w:val="18"/>
                <w:szCs w:val="18"/>
              </w:rPr>
            </w:pPr>
            <w:r>
              <w:rPr>
                <w:rFonts w:ascii="仿宋_GB2312" w:eastAsia="仿宋_GB2312" w:hint="eastAsia"/>
                <w:b/>
                <w:bCs/>
                <w:sz w:val="18"/>
                <w:szCs w:val="18"/>
              </w:rPr>
              <w:t>31130.5</w:t>
            </w:r>
          </w:p>
        </w:tc>
        <w:tc>
          <w:tcPr>
            <w:tcW w:w="709" w:type="dxa"/>
            <w:vAlign w:val="center"/>
          </w:tcPr>
          <w:p w:rsidR="00CC6C93" w:rsidRDefault="00E3767C">
            <w:pPr>
              <w:widowControl/>
              <w:jc w:val="center"/>
              <w:rPr>
                <w:rFonts w:ascii="仿宋_GB2312" w:eastAsia="仿宋_GB2312"/>
                <w:b/>
                <w:bCs/>
                <w:sz w:val="18"/>
                <w:szCs w:val="18"/>
              </w:rPr>
            </w:pPr>
            <w:r>
              <w:rPr>
                <w:rFonts w:ascii="仿宋_GB2312" w:eastAsia="仿宋_GB2312" w:hint="eastAsia"/>
                <w:b/>
                <w:bCs/>
                <w:sz w:val="18"/>
                <w:szCs w:val="18"/>
              </w:rPr>
              <w:t>14.17</w:t>
            </w:r>
          </w:p>
        </w:tc>
        <w:tc>
          <w:tcPr>
            <w:tcW w:w="709" w:type="dxa"/>
            <w:vAlign w:val="center"/>
          </w:tcPr>
          <w:p w:rsidR="00CC6C93" w:rsidRDefault="00CC6C93">
            <w:pPr>
              <w:widowControl/>
              <w:jc w:val="center"/>
              <w:rPr>
                <w:rFonts w:ascii="仿宋_GB2312" w:eastAsia="仿宋_GB2312"/>
                <w:b/>
                <w:bCs/>
                <w:sz w:val="18"/>
                <w:szCs w:val="18"/>
              </w:rPr>
            </w:pPr>
          </w:p>
        </w:tc>
        <w:tc>
          <w:tcPr>
            <w:tcW w:w="992" w:type="dxa"/>
            <w:vAlign w:val="center"/>
          </w:tcPr>
          <w:p w:rsidR="00CC6C93" w:rsidRDefault="00E3767C">
            <w:pPr>
              <w:jc w:val="center"/>
              <w:rPr>
                <w:rFonts w:ascii="仿宋_GB2312" w:eastAsia="仿宋_GB2312"/>
                <w:b/>
                <w:bCs/>
                <w:sz w:val="18"/>
                <w:szCs w:val="18"/>
              </w:rPr>
            </w:pPr>
            <w:r>
              <w:rPr>
                <w:rFonts w:ascii="仿宋_GB2312" w:eastAsia="仿宋_GB2312" w:hint="eastAsia"/>
                <w:b/>
                <w:bCs/>
                <w:sz w:val="18"/>
                <w:szCs w:val="18"/>
              </w:rPr>
              <w:t>31116.33</w:t>
            </w:r>
          </w:p>
        </w:tc>
        <w:tc>
          <w:tcPr>
            <w:tcW w:w="1134" w:type="dxa"/>
            <w:vAlign w:val="center"/>
          </w:tcPr>
          <w:p w:rsidR="00CC6C93" w:rsidRDefault="00CC6C93">
            <w:pPr>
              <w:jc w:val="center"/>
              <w:rPr>
                <w:rFonts w:ascii="仿宋_GB2312" w:eastAsia="仿宋_GB2312"/>
                <w:b/>
                <w:bCs/>
                <w:sz w:val="18"/>
                <w:szCs w:val="18"/>
              </w:rPr>
            </w:pPr>
          </w:p>
        </w:tc>
        <w:tc>
          <w:tcPr>
            <w:tcW w:w="709" w:type="dxa"/>
            <w:vAlign w:val="center"/>
          </w:tcPr>
          <w:p w:rsidR="00CC6C93" w:rsidRDefault="00CC6C93">
            <w:pPr>
              <w:jc w:val="center"/>
              <w:rPr>
                <w:rFonts w:ascii="仿宋_GB2312" w:eastAsia="仿宋_GB2312"/>
                <w:b/>
                <w:bCs/>
                <w:sz w:val="18"/>
                <w:szCs w:val="18"/>
              </w:rPr>
            </w:pPr>
          </w:p>
        </w:tc>
        <w:tc>
          <w:tcPr>
            <w:tcW w:w="708" w:type="dxa"/>
            <w:vAlign w:val="center"/>
          </w:tcPr>
          <w:p w:rsidR="00CC6C93" w:rsidRDefault="00CC6C93">
            <w:pPr>
              <w:jc w:val="center"/>
              <w:rPr>
                <w:rFonts w:ascii="仿宋_GB2312" w:eastAsia="仿宋_GB2312"/>
                <w:b/>
                <w:bCs/>
                <w:sz w:val="18"/>
                <w:szCs w:val="18"/>
              </w:rPr>
            </w:pPr>
          </w:p>
        </w:tc>
        <w:tc>
          <w:tcPr>
            <w:tcW w:w="993" w:type="dxa"/>
            <w:vAlign w:val="center"/>
          </w:tcPr>
          <w:p w:rsidR="00CC6C93" w:rsidRDefault="00CC6C93">
            <w:pPr>
              <w:jc w:val="center"/>
              <w:rPr>
                <w:rFonts w:ascii="仿宋_GB2312" w:eastAsia="仿宋_GB2312"/>
                <w:b/>
                <w:bCs/>
                <w:sz w:val="18"/>
                <w:szCs w:val="18"/>
              </w:rPr>
            </w:pPr>
          </w:p>
        </w:tc>
      </w:tr>
    </w:tbl>
    <w:p w:rsidR="00CC6C93" w:rsidRDefault="00E3767C">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CC6C93" w:rsidRDefault="00E3767C">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CC6C93" w:rsidRDefault="00CC6C93">
      <w:pPr>
        <w:spacing w:line="560" w:lineRule="exact"/>
        <w:jc w:val="center"/>
        <w:rPr>
          <w:rFonts w:ascii="黑体" w:eastAsia="黑体" w:hAnsi="黑体" w:hint="eastAsia"/>
          <w:kern w:val="0"/>
          <w:sz w:val="32"/>
          <w:szCs w:val="32"/>
        </w:rPr>
      </w:pP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住房和城乡建设局2026年收支预算情况的总体说明</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住房和城乡建设局2026年所有收入和支出均纳入部门预算管理。收支总预算33774.17万元。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支出预算包括：文化旅游体育与传媒支出、社会保障和就业支出、卫生健康支出、城乡社区支出、住房保障支出、其他支出。</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住房和城乡建设局2026年收入预算情况说明</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住房和城乡建设局收入预算33774.17万元，其中：</w:t>
      </w:r>
    </w:p>
    <w:p w:rsidR="00CC6C93" w:rsidRDefault="00E3767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2643.67万元，占7.83%,比上年预算增加1445.63万元，增长120.67%，主要原因是：本年度蓝天小区14号楼15号楼建设项目、石城酒店赔偿款、塔县蓝天小区14号楼15号楼建设项目、塔县县城路灯照明电费、2026年聘用驾驶员工资、塔县住建局环卫车辆保险费、塔县住建局环卫车辆燃油费、塔县住建局环卫车辆维修和保养费增加，预算数相应增加。</w:t>
      </w:r>
    </w:p>
    <w:p w:rsidR="00CC6C93" w:rsidRDefault="00E3767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上级一般公共预算安排的转移支付资金未安排。</w:t>
      </w:r>
    </w:p>
    <w:p w:rsidR="00CC6C93" w:rsidRDefault="00E3767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CC6C93" w:rsidRDefault="00E3767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CC6C93" w:rsidRDefault="00E3767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CC6C93" w:rsidRDefault="00E3767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CC6C93" w:rsidRDefault="00E3767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31130.5万元，占92.17%,比上年预算增加31130.5万元，增长100%，主要原因是：上年度塔什库尔干县各学校幼儿园高原供氧系统建设项目、塔什库尔干县喀什尕勒片区弥散式供养建设项目、塔什库尔干县污水处理厂配套设施及再生水系统扩建项目、塔什库尔干县旭东片区弥散式供养建设项目、塔什库尔干县供热系统改造项目、塔什库尔干县老旧小区供水管网改造项目未支付完成，资金结转至本年度继续使用，预算数相应增加。</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住房和城乡建设局2026年支出预算情况说明</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住房和城乡建设局2026年支出预算</w:t>
      </w:r>
      <w:r>
        <w:rPr>
          <w:rFonts w:ascii="仿宋_GB2312" w:eastAsia="仿宋_GB2312" w:hAnsi="宋体" w:cs="宋体"/>
          <w:kern w:val="0"/>
          <w:sz w:val="32"/>
          <w:szCs w:val="32"/>
        </w:rPr>
        <w:t>33774.17</w:t>
      </w:r>
      <w:r>
        <w:rPr>
          <w:rFonts w:ascii="仿宋_GB2312" w:eastAsia="仿宋_GB2312" w:hAnsi="宋体" w:cs="宋体" w:hint="eastAsia"/>
          <w:kern w:val="0"/>
          <w:sz w:val="32"/>
          <w:szCs w:val="32"/>
        </w:rPr>
        <w:t>万元，其中：</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1260.16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3.73</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62.12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5.19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32514.01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96.27</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30674.12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1667.17</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蓝天小区14号楼15号楼建设项目、石城酒店赔偿款、塔县蓝天小区14号楼15号楼建设项目、塔县县城路灯照明电费、2026年聘用驾驶员工资、塔县住建局环卫车辆保险费、塔县住建局环卫车辆燃油费、塔县住建局环卫车辆维修和保养费增加，同时上年度塔什库尔干县各学校幼儿园高原供氧系统建设项目、塔什库尔干县喀什尕勒片区弥散式供养建设项目、塔什库尔干县污水处理厂配套设施及再生水系统扩建项目、塔什库尔干县旭东片区弥散式供养建设项目、塔什库尔干县供热系统改造项目、塔什库尔干县老旧小区供水管网改造项目未支付完成，资金结转至本年度继续使用，预算数相应增加。</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住房和城乡建设局2026年财政拨款收支预算情况的总体说明</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2026年财政拨款收支总预算2643.67万元。</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收入预算包括：一般公共预算拨款2643.67万元。</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社会保障和就业支出215.47万元，主要用于：机关事业单位基本养老保险缴费、职业年金缴费、退休费、奖励金支出；卫生健康支出52.31万元，主要用于：职工基本医疗保险缴费、公务员医疗补助缴费支出；城乡社区支出2278.67万元，主要用于：基本工资、津贴补贴、奖金、绩效工资、其他社会保障缴费、办公费、水费、电费、邮电费、取暖费、差旅费、工会经费、公务用车运行维护费、生活补助、塔县住建局环卫车辆燃油费、塔县住建局环卫车辆保险费、塔县住建局环卫车辆维修和保养费、塔县县城路灯照明电费、蓝天小区14号楼15号楼建设项目、石城酒店赔偿款、2026年春季挂灯笼、塔什库尔干县县城道路修复项目费用、塔什库尔干县班迪尔乡、提孜那甫乡、塔什库尔干乡、达布达尔乡、科克亚尔乡、塔合曼乡配套基础设施建设项目、塔什库尔干乡边境派出所附属工程建设项目、塔县蓝天小区14号楼15号楼建设项目、塔县住建局2026年聘用驾驶员工资支出；住房保障支出97.22万元，主要用于：住房公积金支出。</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住房和城乡建设局2026年一般公共预算当年拨款情况说明</w:t>
      </w:r>
    </w:p>
    <w:p w:rsidR="00CC6C93" w:rsidRDefault="00E3767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住房和城乡建设局2026年一般公共预算拨款合计</w:t>
      </w:r>
      <w:r>
        <w:rPr>
          <w:rFonts w:ascii="仿宋_GB2312" w:eastAsia="仿宋_GB2312" w:hAnsi="宋体" w:cs="宋体"/>
          <w:kern w:val="0"/>
          <w:sz w:val="32"/>
          <w:szCs w:val="32"/>
        </w:rPr>
        <w:t>2643.67</w:t>
      </w:r>
      <w:r>
        <w:rPr>
          <w:rFonts w:ascii="仿宋_GB2312" w:eastAsia="仿宋_GB2312" w:hAnsi="宋体" w:cs="宋体" w:hint="eastAsia"/>
          <w:kern w:val="0"/>
          <w:sz w:val="32"/>
          <w:szCs w:val="32"/>
        </w:rPr>
        <w:t>万元，其中：</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1245.99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47.95</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4</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1397.68</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442.21</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24.03</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塔什库尔干县如意路建设项目、2024年供暖季提前供暖电费、塔什库尔干县如意小区、步行街、边防派出所拆除项目、塔什库尔干县彩虹桥至提孜那甫乡路灯及县城道路修补工程资金、塔什库尔干县景观提升工程资金减少，预算数相应减少。</w:t>
      </w:r>
    </w:p>
    <w:p w:rsidR="00CC6C93" w:rsidRDefault="00E3767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.社会保障和就业支出（类）215.47万元，占8.15%</w:t>
      </w:r>
      <w:r>
        <w:rPr>
          <w:rFonts w:ascii="仿宋_GB2312" w:eastAsia="仿宋_GB2312" w:hAnsi="宋体" w:cs="宋体" w:hint="eastAsia"/>
          <w:kern w:val="0"/>
          <w:sz w:val="32"/>
          <w:szCs w:val="32"/>
        </w:rPr>
        <w:t>。</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.卫生健康支出（类）52.31万元，占1.98%</w:t>
      </w:r>
      <w:r>
        <w:rPr>
          <w:rFonts w:ascii="仿宋_GB2312" w:eastAsia="仿宋_GB2312" w:hAnsi="宋体" w:cs="宋体" w:hint="eastAsia"/>
          <w:kern w:val="0"/>
          <w:sz w:val="32"/>
          <w:szCs w:val="32"/>
        </w:rPr>
        <w:t>。</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.城乡社区支出（类）2278.67万元，占86.19%</w:t>
      </w:r>
      <w:r>
        <w:rPr>
          <w:rFonts w:ascii="仿宋_GB2312" w:eastAsia="仿宋_GB2312" w:hAnsi="宋体" w:cs="宋体" w:hint="eastAsia"/>
          <w:kern w:val="0"/>
          <w:sz w:val="32"/>
          <w:szCs w:val="32"/>
        </w:rPr>
        <w:t>。</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.住房保障支出（类）97.22万元，占3.68%</w:t>
      </w:r>
      <w:r>
        <w:rPr>
          <w:rFonts w:ascii="仿宋_GB2312" w:eastAsia="仿宋_GB2312" w:hAnsi="宋体" w:cs="宋体" w:hint="eastAsia"/>
          <w:kern w:val="0"/>
          <w:sz w:val="32"/>
          <w:szCs w:val="32"/>
        </w:rPr>
        <w:t>。</w:t>
      </w:r>
    </w:p>
    <w:p w:rsidR="00CC6C93" w:rsidRDefault="00E3767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社会保障和就业支出（类）行政事业单位养老支出（款）行政单位离退休（项）：2026年预算数为42.54万元，比上年预算增加0.14万元，增长0.33%，主要原因是：本年度预算退休人员人数增加，致使本年度离退休经费相应增加。</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社会保障和就业支出（类）行政事业单位养老支出（款）机关事业单位基本养老保险缴费支出（项）：2026年预算数为115.29万元，比上年预算增加1.82万元，增长1.60%，主要原因是：本年度在职人员职务职级晋升，社保基数调增，致使本年度基本养老保险缴费支出增加。</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机关事业单位职业年金缴费支出（项）：2026年预算数为57.64万元，比上年预算增加57.64万元，增长100.00%，主要原因是：本年预算在职人员职业年金按月做实。</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卫生健康支出（类）行政事业单位医疗（款）行政单位医疗（项）：2026年预算数为49.62万元，比上年预算减少3.14万元，下降5.95%，主要原因是：本年度预算在职人员减少，致使本年度基本医疗保险缴费支出减少。</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卫生健康支出（类）行政事业单位医疗（款）公务员医疗补助（项）：2026年预算数为2.69万元，比上年预算增加0.01万元，增长0.37%，主要原因是：本年度在职人员职务职级晋升，医保基数调增，致使本年度公务员医疗保险缴费支出增加。</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城乡社区支出（类）城乡社区管理事务（款）行政运行（项）：2026年预算数为176.67万元，比上年预算增加5.48万元，增长3.20%，主要原因是：本年度预算在职人员职务职级晋升，致使本年度人员工资福利支出增加，预算数相应增加。</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城乡社区支出（类）城乡社区管理事务（款）城管执法（项）：2026年预算数为704.32万元，比上年预算减少7.75万元，下降1.09%，主要原因是：本年度预算城管执法人员减少，致使本年度工资福利和公用经费支出减少，预算数相应减少。</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城乡社区支出（类）城乡社区公共设施（款）小城镇基础设施建设（项）：2026年预算数为1397.68万元，比上年预算减少335.38万元，下降19.35%，主要原因是：塔什库尔干县如意路建设项目、2024年供暖季提前供暖电费、塔什库尔干县如意小区、步行街、边防派出所拆除项目、塔什库尔干县彩虹桥至提孜那甫乡路灯及县城道路修补工程资金、塔什库尔干县景观提升工程资金减少，预算数相应减少。</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9.住房保障支出（类）住房改革支出（款）住房公积金（项）：2026年预算数为97.22万元，比上年预算减少6.25万元，下降6.04%，主要原因是：本年度预算在职人员减少，致使本年度住房公积金缴费支出减少。</w:t>
      </w:r>
    </w:p>
    <w:p w:rsidR="00CC6C93" w:rsidRDefault="00E3767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10.城乡社区支出（类）城乡社区公共设施（款）其他城乡社区公共设施支出（项）：2026年预算数为0.00万元，比上年预算减少106.83万元，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100.00%，主要原因是：我部门本年该科目未安排预算。</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住房和城乡建设局2026年一般公共预算基本支出情况说明</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住房和城乡建设局2026年一般公共预算基本支出</w:t>
      </w:r>
      <w:r>
        <w:rPr>
          <w:rFonts w:ascii="仿宋_GB2312" w:eastAsia="仿宋_GB2312" w:hAnsi="宋体" w:cs="宋体"/>
          <w:kern w:val="0"/>
          <w:sz w:val="32"/>
          <w:szCs w:val="32"/>
        </w:rPr>
        <w:t>1245.99</w:t>
      </w:r>
      <w:r>
        <w:rPr>
          <w:rFonts w:ascii="仿宋_GB2312" w:eastAsia="仿宋_GB2312" w:hAnsi="宋体" w:cs="宋体" w:hint="eastAsia"/>
          <w:kern w:val="0"/>
          <w:sz w:val="32"/>
          <w:szCs w:val="32"/>
        </w:rPr>
        <w:t>万元，其中：</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1203.29万元，主要包括：基本工资、津贴补贴、奖金、绩效工资、机关事业单位基本养老保险缴费、职业年金缴费、职工基本医疗保险缴费、公务员医疗补助缴费、其他社会保障缴费、住房公积金、退休费、生活补助、奖励金。</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公用经费42.7万元，主要包括：办公费、水费、电费、邮电费、取暖费、差旅费、工会经费、公务用车运行维护费。</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住房和城乡建设局2026年一般公共预算项目支出情况说明</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（1）项目名称：塔县住建局环卫车辆燃油费</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预算安排规模：76.00万元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资金分配情况：项目资金76万元，全部用于支付环卫车辆燃油费。</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（2）项目名称：塔县住建局环卫车辆保险费</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预算安排规模：47.20万元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资金分配情况：项目资金47.2万元，全部用于支付车辆保险费。</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（3）项目名称：塔县住建局环卫车辆维修和保养费</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预算安排规模：47.30万元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资金分配情况：项目资金47.3万元，全部用于支付环卫车辆维修和保养费。</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（4）项目名称：塔县县城路灯照明电费</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资金分配情况：项目资金100万元，全部用于支付县城路灯照明电费。</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（5）项目名称：蓝天小区14号楼15号楼建设项目</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预算安排规模：200.00万元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资金分配情况：项目资金200万元，全部用于支付蓝天小区14号楼15号楼建设工程款。</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（6）项目名称：石城酒店赔偿款</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预算安排规模：520.00万元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资金分配情况：项目资金520万元，全部用于支付石城酒店赔偿款。</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（7）项目名称：2026年春季挂灯笼</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预算安排规模：6.18万元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资金分配情况：项目资金6.18万元，全部用于支付春节购置灯笼和挂灯笼的人工经费。</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（8）项目名称：塔什库尔干县县城道路修复项目费用</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预算安排规模：80.00万元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资金分配情况：项目资金80万元，全部用于支付县城道路修复工程款。</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（9）项目名称：塔什库尔干县班迪尔乡、提孜那甫乡、塔什库尔干乡、达布达尔乡、科克亚尔乡、塔合曼乡配套基础设施建设项目</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预算安排规模：70.00万元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资金分配情况：项目资金70万元，全部用于支付班迪尔乡、提孜那甫乡、塔什库尔干乡、达布达尔乡、科克亚尔乡、塔合曼乡配套基础设施建设工程款。</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（10）项目名称：塔什库尔干乡边境派出所附属工程建设项目</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资金分配情况：项目资金50万元，全部用于支付边境派出所附属工程建设工程款。</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（11）项目名称：塔县蓝天小区14号楼15号楼建设项目</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资金分配情况：项目资金100万元，全部用于支付蓝天小区14号楼15号楼建设工程款。</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（12）项目名称：塔县住建局2026年聘用驾驶员工资</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预算安排规模：101.00万元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资金分配情况：项目资金101万元，全部用于支付聘用驾驶员工资。</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住房和城乡建设局2026年政府性基金预算拨款情况说明</w:t>
      </w:r>
    </w:p>
    <w:p w:rsidR="00CC6C93" w:rsidRDefault="00E3767C">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住房和城乡建设局2026年没有使用政府性基金预算拨款安排的支出，政府性基金预算支出情况表为空表。</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住房和城乡建设局2026年国有资本经营预算拨款情况说明</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住房和城乡建设局2026年没有使用国有资本经营预算拨款安排的支出，国有资本经营预算支出情况表为空表。</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住房和城乡建设局2026年财政拨款“三公”经费预算情况说明</w:t>
      </w:r>
    </w:p>
    <w:p w:rsidR="00CC6C93" w:rsidRDefault="00E3767C">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住房和城乡建设局2026年财政拨款“三公”经费数为2.8万元，其中：因公出国（境）费用0万元，公务用车购置费0万元，公务用车运行费2.8万元，公务接待费0万元。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部门上年和本年均未安排因公出国（境）费；公务用车购置费增加0万元，增长0%，主要原因是：我部门上年和本年均未安排公务用车购置；公务用车运行费增加0万元，增长0%，主要原因是：相较于上年度，我部门公务用车运行维护费无增减变动；公务接待费增加0万元，增长0%，主要原因是：我部门上年和本年均未安排公务接待费。</w:t>
      </w:r>
    </w:p>
    <w:p w:rsidR="00CC6C93" w:rsidRDefault="00E3767C">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78550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住房和城乡建设局2026年没有委托业务费预算的支出，财政拨款委托业务费支出情况表为空表。</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78550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住房和城乡建设局2026年上年结转结余预算情况说明</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78550C">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住房和城乡建设局2026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年上年结转结余31130.5万元，包括：财政拨款31130.5万元，非财政拨款0万元，其中：</w:t>
      </w:r>
      <w:r>
        <w:rPr>
          <w:rFonts w:ascii="MS Gothic" w:eastAsia="MS Gothic" w:hAnsi="MS Gothic" w:cs="MS Gothic" w:hint="eastAsia"/>
          <w:kern w:val="0"/>
          <w:sz w:val="32"/>
          <w:szCs w:val="32"/>
          <w:cs/>
        </w:rPr>
        <w:t>‎</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塔什库尔干县2024年旅游基础设施提升改造工程结转74.41万元，主要用于：保障旅游基础设施提升改造工程施工、生产运营、交通运输、水电通讯供给、安全防护及日常生产生活配套需要，完善区域综合承载能力，为项目长期稳定运行提供基础保障。 ‎</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强边兴边固边专项[兴边富民中心城镇基础设施方向]喀什地区塔什库尔干县游客服务中心建设项目结转312.49万元，主要用于：保障游客服务中心建设施工、生产运营、交通运输、水电通讯供给、安全防护及日常生产生活配套需要，完善区域综合承载能力，为项目长期稳定运行提供基础保障。 ‎</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3.结转项目1结转14.17万元，主要用于：补发人员津补贴、绩效工资和退休人员采暖补贴。 ‎</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4.喀什地区塔什库尔干县旭东片区弥散式供养建设项目结转7900.00万元，主要用于：完善场内配套建设，满足施工生产办公需要。 ‎</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5.喀什地区塔什库尔干县各学校幼儿园高原供氧系统建设项目结转8500.00万元，主要用于：保障项目施工推进，完善生产生活配套条件。 ‎</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6.喀什地区塔什库尔干县喀什尕勒片区弥散式供养建设项目结转8340.00万元，主要用于：支付喀什尕勒片区弥散式供养建设项目尾款。 ‎</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7.塔什库尔干县供热系统改造项目结转1000.00万元，主要用于：支付供热系统改造项目尾款。 ‎</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8.塔什库尔干县老旧小区供水管网改造项目结转1000.00万元，主要用于：支付老旧小区供水管网改造项目尾款。 ‎</w:t>
      </w:r>
    </w:p>
    <w:p w:rsidR="00CC6C93" w:rsidRDefault="00E3767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9.喀什地区塔什库尔干县污水处理厂配套设施及再生水系统扩建项目结转3989.43万元，主要用于：支付污水处理厂配套设施及再生水系统扩建项目尾款。 ‎</w:t>
      </w:r>
    </w:p>
    <w:p w:rsidR="00CC6C93" w:rsidRDefault="00E3767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CC6C93" w:rsidRDefault="00E3767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住房和城乡建设局2026年的机关运行经费财政拨款预算42.7万元，比上年预算增加11.26万元，增长35.81%。主要原因是：党员活动经费增加。</w:t>
      </w:r>
    </w:p>
    <w:p w:rsidR="00CC6C93" w:rsidRDefault="00E3767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住房和城乡建设局政府采购预算197.96万元，其中：政府采购货物预算0.66万元，政府采购工程预算0.00万元，政府采购服务预算197.30万元。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住房和城乡建设局面向中小企业预留政府采购项目预算金额197.96万元，其中：小微企业预留政府采购项目预算金额197.96万元。</w:t>
      </w:r>
    </w:p>
    <w:p w:rsidR="00CC6C93" w:rsidRDefault="00E3767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住房和城乡建设局占用使用国有资产总体情况为：</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1.房屋4566.60平方米，价值2032.66万元。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2.车辆22辆，价值805.52万元；其中：一般公务用车0辆，价值0.00万元；执法执勤用车1辆，价值4.19万元；其他车辆21辆，价值801.33万元。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3.办公家具价值11.04万元。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4.其他资产价值4976.70万元。</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部门单价50万元以上大型设备0台，部门价值单价100万元以上大型设备4台。</w:t>
      </w:r>
    </w:p>
    <w:p w:rsidR="00CC6C93" w:rsidRDefault="00E3767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CC6C93" w:rsidRDefault="00E3767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CC6C93" w:rsidRDefault="00E3767C">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2026年，本部门预算绩效管理整体预算绩效目标1个，涉及预算金额33774.17万元；当年预算安排项目共8个，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1397.68万元；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CC6C93" w:rsidRDefault="00E3767C">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CC6C93">
        <w:trPr>
          <w:trHeight w:val="516"/>
          <w:jc w:val="center"/>
        </w:trPr>
        <w:tc>
          <w:tcPr>
            <w:tcW w:w="10065" w:type="dxa"/>
            <w:gridSpan w:val="6"/>
            <w:tcBorders>
              <w:top w:val="nil"/>
              <w:left w:val="nil"/>
              <w:bottom w:val="nil"/>
              <w:right w:val="nil"/>
            </w:tcBorders>
            <w:vAlign w:val="center"/>
          </w:tcPr>
          <w:p w:rsidR="00CC6C93" w:rsidRDefault="00E3767C">
            <w:pPr>
              <w:jc w:val="center"/>
            </w:pPr>
            <w:r>
              <w:t>（</w:t>
            </w:r>
            <w:r>
              <w:t>2026</w:t>
            </w:r>
            <w:r>
              <w:t>年）</w:t>
            </w:r>
          </w:p>
        </w:tc>
      </w:tr>
      <w:tr w:rsidR="00CC6C93">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78550C">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住房和城乡建设局</w:t>
            </w:r>
            <w:r>
              <w:rPr>
                <w:rFonts w:asciiTheme="majorEastAsia" w:eastAsiaTheme="majorEastAsia" w:hAnsiTheme="majorEastAsia" w:cs="MS Gothic" w:hint="eastAsia"/>
                <w:color w:val="000000"/>
                <w:sz w:val="20"/>
                <w:szCs w:val="20"/>
                <w:cs/>
              </w:rPr>
              <w:t>‎</w:t>
            </w:r>
          </w:p>
        </w:tc>
      </w:tr>
      <w:tr w:rsidR="00CC6C93">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崔焕焕</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18392284716</w:t>
            </w:r>
            <w:r>
              <w:rPr>
                <w:rFonts w:asciiTheme="majorEastAsia" w:eastAsiaTheme="majorEastAsia" w:hAnsiTheme="majorEastAsia" w:cs="MS Gothic" w:hint="eastAsia"/>
                <w:color w:val="000000"/>
                <w:sz w:val="20"/>
                <w:szCs w:val="20"/>
                <w:cs/>
              </w:rPr>
              <w:t>‎</w:t>
            </w:r>
          </w:p>
        </w:tc>
      </w:tr>
      <w:tr w:rsidR="00CC6C93">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2026年是“十四五”的关键之年。县住房城乡建设系统将高举习近平新时代中国特色社会主义思想伟大旗帜，坚持“稳中求进”工作总基调，践行以人民为中心的发展思想，以高质量发展为目标，以重点项目建设为引领，以强化行业管理为抓手，按照“补短板，抓提升，强管理”总体思路，以精细化管理为保障，提升城市品质，推动住房城乡事业高质量发展。加强党建，改进作风，营造积极向上的干事氛围。完善机制，夯实基础，维护全系统和谐稳定。持续推进创园林城市建设，提升城市承载力，基础设施补短板。突出民生优先，提高住房保障水平，着力抓好住房保障建设和管理工作，保质保量完成自建房排查整治工作任务。新建污水处理厂至少1座，改造新农贸市场消防基础设施消防水池至少1座，新建游客服务中心至少2座，提升彩虹桥亮化至少6座，新建派出所业务用房至少1座，建筑业总产值不低于1亿，常住人口城镇化率不低于35%，县城污水处理率不低于90%，鲁班高技能人才提升培训不低于50人。</w:t>
            </w:r>
            <w:r>
              <w:rPr>
                <w:rFonts w:asciiTheme="majorEastAsia" w:eastAsiaTheme="majorEastAsia" w:hAnsiTheme="majorEastAsia" w:cs="MS Gothic" w:hint="eastAsia"/>
                <w:color w:val="000000"/>
                <w:sz w:val="20"/>
                <w:szCs w:val="20"/>
                <w:cs/>
              </w:rPr>
              <w:t>‎</w:t>
            </w:r>
          </w:p>
        </w:tc>
      </w:tr>
      <w:tr w:rsidR="00CC6C93">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CC6C93" w:rsidRDefault="00E3767C">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CC6C93">
        <w:trPr>
          <w:trHeight w:val="684"/>
          <w:jc w:val="center"/>
        </w:trPr>
        <w:tc>
          <w:tcPr>
            <w:tcW w:w="2552" w:type="dxa"/>
            <w:gridSpan w:val="2"/>
            <w:vMerge/>
            <w:tcBorders>
              <w:left w:val="single" w:sz="4" w:space="0" w:color="000000"/>
              <w:right w:val="single" w:sz="4" w:space="0" w:color="000000"/>
            </w:tcBorders>
            <w:vAlign w:val="center"/>
          </w:tcPr>
          <w:p w:rsidR="00CC6C93" w:rsidRDefault="00CC6C93">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31130.50</w:t>
            </w:r>
            <w:r>
              <w:rPr>
                <w:rFonts w:asciiTheme="majorEastAsia" w:eastAsiaTheme="majorEastAsia" w:hAnsiTheme="majorEastAsia" w:cs="MS Gothic" w:hint="eastAsia"/>
                <w:color w:val="000000"/>
                <w:sz w:val="20"/>
                <w:szCs w:val="20"/>
                <w:cs/>
              </w:rPr>
              <w:t>‎</w:t>
            </w:r>
          </w:p>
        </w:tc>
      </w:tr>
      <w:tr w:rsidR="00CC6C93">
        <w:trPr>
          <w:trHeight w:val="689"/>
          <w:jc w:val="center"/>
        </w:trPr>
        <w:tc>
          <w:tcPr>
            <w:tcW w:w="2552" w:type="dxa"/>
            <w:gridSpan w:val="2"/>
            <w:vMerge/>
            <w:tcBorders>
              <w:left w:val="single" w:sz="4" w:space="0" w:color="000000"/>
              <w:right w:val="single" w:sz="4" w:space="0" w:color="000000"/>
            </w:tcBorders>
            <w:vAlign w:val="center"/>
          </w:tcPr>
          <w:p w:rsidR="00CC6C93" w:rsidRDefault="00CC6C93">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2643.67</w:t>
            </w:r>
          </w:p>
        </w:tc>
      </w:tr>
      <w:tr w:rsidR="00CC6C93">
        <w:trPr>
          <w:trHeight w:val="507"/>
          <w:jc w:val="center"/>
        </w:trPr>
        <w:tc>
          <w:tcPr>
            <w:tcW w:w="2552" w:type="dxa"/>
            <w:gridSpan w:val="2"/>
            <w:vMerge/>
            <w:tcBorders>
              <w:left w:val="single" w:sz="4" w:space="0" w:color="000000"/>
              <w:right w:val="single" w:sz="4" w:space="0" w:color="000000"/>
            </w:tcBorders>
            <w:vAlign w:val="center"/>
          </w:tcPr>
          <w:p w:rsidR="00CC6C93" w:rsidRDefault="00CC6C93">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CC6C93">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CC6C93" w:rsidRDefault="00CC6C93">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33774.17</w:t>
            </w:r>
          </w:p>
        </w:tc>
      </w:tr>
      <w:tr w:rsidR="00CC6C93">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CC6C93">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w:t>
            </w:r>
          </w:p>
        </w:tc>
      </w:tr>
      <w:tr w:rsidR="00CC6C9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1276"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w:t>
            </w:r>
          </w:p>
        </w:tc>
      </w:tr>
      <w:tr w:rsidR="00CC6C93">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★新建污水处理厂*座</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&gt;=1座</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C6C9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★改造新农贸市场消防基础设施消防水池*座</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&gt;=1座</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C6C9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★新建游客服务中心*座</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&gt;=2座</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C6C9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★提升彩虹桥亮化*座</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&gt;=6座</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C6C9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★新建派出所业务用房*座</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&gt;=1座</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C6C9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★建筑业总产值</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&gt;=1亿</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C6C9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★鲁班高技能人才提升培训人数（高技能人才、工匠）</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&gt;=50人</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CC6C9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★县城污水处理率</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8</w:t>
            </w:r>
          </w:p>
        </w:tc>
      </w:tr>
      <w:tr w:rsidR="00CC6C9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1276" w:type="dxa"/>
            <w:vMerge/>
            <w:tcBorders>
              <w:top w:val="single" w:sz="4" w:space="0" w:color="000000"/>
              <w:left w:val="single" w:sz="4" w:space="0" w:color="000000"/>
              <w:bottom w:val="single" w:sz="4" w:space="0" w:color="000000"/>
              <w:right w:val="single" w:sz="4" w:space="0" w:color="000000"/>
            </w:tcBorders>
            <w:vAlign w:val="center"/>
          </w:tcPr>
          <w:p w:rsidR="00CC6C93" w:rsidRDefault="00CC6C93"/>
        </w:tc>
        <w:tc>
          <w:tcPr>
            <w:tcW w:w="297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★常住人口城镇化率</w:t>
            </w:r>
          </w:p>
        </w:tc>
        <w:tc>
          <w:tcPr>
            <w:tcW w:w="1417"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&gt;=35%</w:t>
            </w:r>
          </w:p>
        </w:tc>
        <w:tc>
          <w:tcPr>
            <w:tcW w:w="1701"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塔县住建局2026年工作计划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CC6C93" w:rsidRDefault="00E3767C">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7</w:t>
            </w:r>
          </w:p>
        </w:tc>
      </w:tr>
    </w:tbl>
    <w:p w:rsidR="00CC6C93" w:rsidRDefault="00CC6C93">
      <w:pPr>
        <w:spacing w:line="20" w:lineRule="exact"/>
        <w:jc w:val="center"/>
        <w:rPr>
          <w:rFonts w:ascii="宋体" w:hAnsi="宋体" w:cs="宋体" w:hint="eastAsia"/>
          <w:kern w:val="0"/>
          <w:sz w:val="2"/>
          <w:szCs w:val="2"/>
        </w:rPr>
      </w:pPr>
    </w:p>
    <w:p w:rsidR="00CC6C93" w:rsidRDefault="00E3767C">
      <w:r>
        <w:br w:type="page"/>
      </w:r>
    </w:p>
    <w:p w:rsidR="00CC6C93" w:rsidRDefault="00CC6C93">
      <w:pPr>
        <w:spacing w:line="20" w:lineRule="exact"/>
        <w:jc w:val="center"/>
        <w:rPr>
          <w:rFonts w:ascii="宋体" w:hAnsi="宋体" w:cs="宋体" w:hint="eastAsia"/>
          <w:kern w:val="0"/>
          <w:sz w:val="2"/>
          <w:szCs w:val="2"/>
        </w:rPr>
      </w:pPr>
    </w:p>
    <w:p w:rsidR="00CC6C93" w:rsidRDefault="00E3767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C6C93" w:rsidRDefault="00E3767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C6C9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8550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住房和城乡建设局</w:t>
            </w:r>
            <w:r>
              <w:rPr>
                <w:rFonts w:asciiTheme="majorEastAsia" w:eastAsiaTheme="majorEastAsia" w:hAnsiTheme="majorEastAsia"/>
                <w:sz w:val="18"/>
                <w:szCs w:val="18"/>
                <w:cs/>
              </w:rPr>
              <w:t>‎</w:t>
            </w:r>
          </w:p>
        </w:tc>
      </w:tr>
      <w:tr w:rsidR="00CC6C9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塔什库尔干县住房和城乡建设局环卫大队2026年各项预算项目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依拉木</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C6C9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271.5</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271.5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C6C9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以保障县域环境卫生与城市正常运行为核心，实现36台环卫车辆全年安全高效运行，燃油、保险、维保全覆盖；稳定12名驾驶员队伍薪酬预计101万元；维修保养车辆36辆预计47.3万元；车辆燃油费预计76万元；车辆保险费预计47.2万元，薪酬社保足额及时发放；车辆完好率、作业出勤率达标，垃圾日产日清、道路清扫保洁到位；经费规范使用、安全零事故，全面提升环卫服务质量，为塔什库尔干县城市管理与生态文明建设提供坚实支撑。</w:t>
            </w:r>
          </w:p>
        </w:tc>
      </w:tr>
      <w:tr w:rsidR="00CC6C9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CC6C93" w:rsidRDefault="00E3767C">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维护保养保修保险车辆数</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&gt;=36辆</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完成日常维护质量合格率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CC6C93" w:rsidRDefault="00E3767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环卫车辆燃油费</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环卫车辆保险</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&lt;=47.20万元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环卫司机工资以及保险</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&lt;=101万元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环卫车辆保养维修</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&lt;=47.30万元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CC6C93" w:rsidRDefault="00E3767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减少住建局在非业务性工作上的精力投入</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减少</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有效保障环卫运行的基本条件</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住建局工作人员满意度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C6C93" w:rsidRDefault="00CC6C93">
      <w:pPr>
        <w:jc w:val="center"/>
      </w:pPr>
    </w:p>
    <w:p w:rsidR="00CC6C93" w:rsidRDefault="00E3767C">
      <w:r>
        <w:br w:type="page"/>
      </w:r>
    </w:p>
    <w:p w:rsidR="00CC6C93" w:rsidRDefault="00CC6C93">
      <w:pPr>
        <w:jc w:val="center"/>
      </w:pPr>
    </w:p>
    <w:p w:rsidR="00CC6C93" w:rsidRDefault="00E3767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C6C93" w:rsidRDefault="00E3767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C6C9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8550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住房和城乡建设局</w:t>
            </w:r>
            <w:r>
              <w:rPr>
                <w:rFonts w:asciiTheme="majorEastAsia" w:eastAsiaTheme="majorEastAsia" w:hAnsiTheme="majorEastAsia"/>
                <w:sz w:val="18"/>
                <w:szCs w:val="18"/>
                <w:cs/>
              </w:rPr>
              <w:t>‎</w:t>
            </w:r>
          </w:p>
        </w:tc>
      </w:tr>
      <w:tr w:rsidR="00CC6C9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2026年春季挂灯笼</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郜飞川</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C6C9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6.18</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6.18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C6C9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总投资6.18万元，专项用于2026年春季节日氛围营造灯笼悬挂工作。项目主要内容为统一采购优质灯笼800个，其中直径1米灯笼600个、直径1.2米灯笼200个，按照规范标准完成灯笼质量验收、运输、现场布置与安全悬挂作业，重点悬挂在红其拉甫路、中巴友谊路、慕士塔格路三条核心道路，提升城市形象与节日氛围，完工后做好日常巡查与维护保障。</w:t>
            </w:r>
          </w:p>
        </w:tc>
      </w:tr>
      <w:tr w:rsidR="00CC6C9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CC6C93" w:rsidRDefault="00E3767C">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采购安装直径1米灯笼数量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&gt;=600个</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采购安装直径1.2米灯笼数量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&gt;=200个</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CC6C93" w:rsidRDefault="00E3767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直径1米灯笼采购标准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&lt;=70元/个</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直径1.2米灯笼采购项目</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&lt;=85元/个</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效益指标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有效助力县域经济振兴</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助力</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受益旅客以及群众满意度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C6C93" w:rsidRDefault="00CC6C93">
      <w:pPr>
        <w:jc w:val="center"/>
      </w:pPr>
    </w:p>
    <w:p w:rsidR="00CC6C93" w:rsidRDefault="00E3767C">
      <w:r>
        <w:br w:type="page"/>
      </w:r>
    </w:p>
    <w:p w:rsidR="00CC6C93" w:rsidRDefault="00CC6C93">
      <w:pPr>
        <w:jc w:val="center"/>
      </w:pPr>
    </w:p>
    <w:p w:rsidR="00CC6C93" w:rsidRDefault="00E3767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C6C93" w:rsidRDefault="00E3767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C6C9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8550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住房和城乡建设局</w:t>
            </w:r>
            <w:r>
              <w:rPr>
                <w:rFonts w:asciiTheme="majorEastAsia" w:eastAsiaTheme="majorEastAsia" w:hAnsiTheme="majorEastAsia"/>
                <w:sz w:val="18"/>
                <w:szCs w:val="18"/>
                <w:cs/>
              </w:rPr>
              <w:t>‎</w:t>
            </w:r>
          </w:p>
        </w:tc>
      </w:tr>
      <w:tr w:rsidR="00CC6C9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石城酒店赔偿款</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郜飞川</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C6C9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520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C6C9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核心为拆除石头城景区内宾馆建筑并完成产权人补偿安置。内容包括：完成520万元补偿款核算与支付，组织专业机构实施建筑拆除，同步清理场地、恢复生态，做好权属变更与档案归档。同步开展政策解释、纠纷调处、搬迁协助及安全监管，确保拆除工作合法合规、平稳有序，为景区整体规划与功能提升腾出空间。</w:t>
            </w:r>
          </w:p>
        </w:tc>
      </w:tr>
      <w:tr w:rsidR="00CC6C9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产出指标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补偿业主数量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补偿发放准确率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13</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补偿发放及时率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13</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成本指标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补偿费成本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&lt;=520万元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效益指标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促进文化保护和旅游经济发展</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保障被拆人的合法权益</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征地补偿对象满意度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C6C93" w:rsidRDefault="00CC6C93">
      <w:pPr>
        <w:jc w:val="center"/>
      </w:pPr>
    </w:p>
    <w:p w:rsidR="00CC6C93" w:rsidRDefault="00E3767C">
      <w:r>
        <w:br w:type="page"/>
      </w:r>
    </w:p>
    <w:p w:rsidR="00CC6C93" w:rsidRDefault="00CC6C93">
      <w:pPr>
        <w:jc w:val="center"/>
      </w:pPr>
    </w:p>
    <w:p w:rsidR="00CC6C93" w:rsidRDefault="00E3767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C6C93" w:rsidRDefault="00E3767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C6C9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8550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住房和城乡建设局</w:t>
            </w:r>
            <w:r>
              <w:rPr>
                <w:rFonts w:asciiTheme="majorEastAsia" w:eastAsiaTheme="majorEastAsia" w:hAnsiTheme="majorEastAsia"/>
                <w:sz w:val="18"/>
                <w:szCs w:val="18"/>
                <w:cs/>
              </w:rPr>
              <w:t>‎</w:t>
            </w:r>
          </w:p>
        </w:tc>
      </w:tr>
      <w:tr w:rsidR="00CC6C9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塔什库尔干县班迪尔乡、提孜那甫乡、塔什库尔干乡、达布达尔乡、科克亚尔乡、塔合曼乡配套基础设施建设项目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郜飞川</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C6C9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C6C9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重点建设六乡乡村振兴配套基础设施，主要包括：新建村内道路硬化工程29400平方米，改善群众出行条件；建设混凝土护坡工程2700米，有效防护边坡稳定，消除地质安全隐患；修建排水沟161米，完善排水系统，提升防洪排涝能力。全面补齐道路、防护、排水等短板，建成功能完善、安全稳固的乡村基础设施体系，助力乡村高质量发展。</w:t>
            </w:r>
          </w:p>
        </w:tc>
      </w:tr>
      <w:tr w:rsidR="00CC6C9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CC6C93" w:rsidRDefault="00E3767C">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道路硬化面积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&gt;=29400平方米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新建护坡长度</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&gt;=2700米</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新建排水沟</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&gt;=161米</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=2026年10月15日</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CC6C93" w:rsidRDefault="00E3767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道路硬化面积费用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新建护坡费用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排水沟费用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效益指标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提高当地居民就业率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新迁入居民对项目实施的满意度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C6C93" w:rsidRDefault="00CC6C93">
      <w:pPr>
        <w:jc w:val="center"/>
      </w:pPr>
    </w:p>
    <w:p w:rsidR="00CC6C93" w:rsidRDefault="00E3767C">
      <w:r>
        <w:br w:type="page"/>
      </w:r>
    </w:p>
    <w:p w:rsidR="00CC6C93" w:rsidRDefault="00CC6C93">
      <w:pPr>
        <w:jc w:val="center"/>
      </w:pPr>
    </w:p>
    <w:p w:rsidR="00CC6C93" w:rsidRDefault="00E3767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C6C93" w:rsidRDefault="00E3767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C6C9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8550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住房和城乡建设局</w:t>
            </w:r>
            <w:r>
              <w:rPr>
                <w:rFonts w:asciiTheme="majorEastAsia" w:eastAsiaTheme="majorEastAsia" w:hAnsiTheme="majorEastAsia"/>
                <w:sz w:val="18"/>
                <w:szCs w:val="18"/>
                <w:cs/>
              </w:rPr>
              <w:t>‎</w:t>
            </w:r>
          </w:p>
        </w:tc>
      </w:tr>
      <w:tr w:rsidR="00CC6C9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塔什库尔干县县城道路修复项目费用</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郜飞川</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C6C9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80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80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C6C9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总目标是高质量完成9358.73㎡破损道路清除修复及配套设施建设预计花费80万元，全面消除道路安全隐患，恢复道路设计通行能力与使用功能。通过规范施工、严格监管，确保工程质量合格、外观整洁、设施完善，达到市政道路验收标准。最终实现县城道路通行顺畅、环境美观、安全可靠，提升城市整体形象，为塔什库尔干县居民出行及城市高质量发展提供坚实的道路保障</w:t>
            </w:r>
          </w:p>
        </w:tc>
      </w:tr>
      <w:tr w:rsidR="00CC6C9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产出指标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修复道路面积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=9358.73㎡</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=2026年11月前</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成本指标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本年施工建设成本支出及其他费用成本支出</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效益指标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促进旅游经济发展</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有效提高出行体验</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受益居民群众满意度（%）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C6C93" w:rsidRDefault="00CC6C93">
      <w:pPr>
        <w:jc w:val="center"/>
      </w:pPr>
    </w:p>
    <w:p w:rsidR="00CC6C93" w:rsidRDefault="00E3767C">
      <w:r>
        <w:br w:type="page"/>
      </w:r>
    </w:p>
    <w:p w:rsidR="00CC6C93" w:rsidRDefault="00CC6C93">
      <w:pPr>
        <w:jc w:val="center"/>
      </w:pPr>
    </w:p>
    <w:p w:rsidR="00CC6C93" w:rsidRDefault="00E3767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C6C93" w:rsidRDefault="00E3767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C6C9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8550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住房和城乡建设局</w:t>
            </w:r>
            <w:r>
              <w:rPr>
                <w:rFonts w:asciiTheme="majorEastAsia" w:eastAsiaTheme="majorEastAsia" w:hAnsiTheme="majorEastAsia"/>
                <w:sz w:val="18"/>
                <w:szCs w:val="18"/>
                <w:cs/>
              </w:rPr>
              <w:t>‎</w:t>
            </w:r>
          </w:p>
        </w:tc>
      </w:tr>
      <w:tr w:rsidR="00CC6C9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塔县县城路灯照明电费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郜飞川</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C6C9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C6C9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为2026年塔县县城市政照明费用保障预计花费100万元，覆盖主次干道、广场、公园、公共区域等全部市政照明设施。内容包括全年路灯电费支付、线路巡检与故障抢修、灯具维护更换、智能控制运维、安全隐患排查整改。通过足额保障电费，确保照明按时开启、亮度达标、运行安全，消除暗区与故障盲区，提升夜间通行与城市形象，实现照明服务全覆盖、全时段、高质量。</w:t>
            </w:r>
          </w:p>
        </w:tc>
      </w:tr>
      <w:tr w:rsidR="00CC6C9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产出指标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购买电费时长</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11</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电力供应合格率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电力运行全年比例</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成本指标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电费成本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效益指标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促进消费经济增长</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市政照明得到有效保障</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居民游客满意度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C6C93" w:rsidRDefault="00CC6C93">
      <w:pPr>
        <w:jc w:val="center"/>
      </w:pPr>
    </w:p>
    <w:p w:rsidR="00CC6C93" w:rsidRDefault="00E3767C">
      <w:r>
        <w:br w:type="page"/>
      </w:r>
    </w:p>
    <w:p w:rsidR="00CC6C93" w:rsidRDefault="00CC6C93">
      <w:pPr>
        <w:jc w:val="center"/>
      </w:pPr>
    </w:p>
    <w:p w:rsidR="00CC6C93" w:rsidRDefault="00E3767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C6C93" w:rsidRDefault="00E3767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C6C9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8550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住房和城乡建设局</w:t>
            </w:r>
            <w:r>
              <w:rPr>
                <w:rFonts w:asciiTheme="majorEastAsia" w:eastAsiaTheme="majorEastAsia" w:hAnsiTheme="majorEastAsia"/>
                <w:sz w:val="18"/>
                <w:szCs w:val="18"/>
                <w:cs/>
              </w:rPr>
              <w:t>‎</w:t>
            </w:r>
          </w:p>
        </w:tc>
      </w:tr>
      <w:tr w:rsidR="00CC6C9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塔县蓝天小区14号楼15号楼建设项目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郜飞川</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C6C9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C6C9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总目标为按期保质完成蓝天小区14#、15#楼建设，建成总建筑面积1713.04平方米的2栋建筑，预计支出300万元，提供38套住房及经营用房。严格按照建设规范施工，确保工程质量合格、安全零事故，资金规范高效使用。项目建成后完善小区功能布局，有效解决群众住房困难，提升居住环境，切实增强群众获得感、幸福感，打造优质民生建设工程。</w:t>
            </w:r>
          </w:p>
        </w:tc>
      </w:tr>
      <w:tr w:rsidR="00CC6C9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CC6C93" w:rsidRDefault="00E3767C">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建成建筑面积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=1713.04平方米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新建门面房</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&gt;=38套</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=2026年11月1日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成本指标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本年施工建设成本支出</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&lt;=300万元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效益指标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提升小区居住环境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受益居民群众满意度（%）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C6C93" w:rsidRDefault="00CC6C93">
      <w:pPr>
        <w:jc w:val="center"/>
      </w:pPr>
    </w:p>
    <w:p w:rsidR="00CC6C93" w:rsidRDefault="00E3767C">
      <w:r>
        <w:br w:type="page"/>
      </w:r>
    </w:p>
    <w:p w:rsidR="00CC6C93" w:rsidRDefault="00CC6C93">
      <w:pPr>
        <w:jc w:val="center"/>
      </w:pPr>
    </w:p>
    <w:p w:rsidR="00CC6C93" w:rsidRDefault="00E3767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CC6C93" w:rsidRDefault="00E3767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C6C9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8550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住房和城乡建设局</w:t>
            </w:r>
            <w:r>
              <w:rPr>
                <w:rFonts w:asciiTheme="majorEastAsia" w:eastAsiaTheme="majorEastAsia" w:hAnsiTheme="majorEastAsia"/>
                <w:sz w:val="18"/>
                <w:szCs w:val="18"/>
                <w:cs/>
              </w:rPr>
              <w:t>‎</w:t>
            </w:r>
          </w:p>
        </w:tc>
      </w:tr>
      <w:tr w:rsidR="00CC6C9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塔什库尔干乡边境派出所附属工程建设项目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郜飞川</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CC6C9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CC6C9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CC6C93" w:rsidRDefault="00E3767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主要建设内容包括：新建长度124.5米围墙，满足派出所区域封闭管理与安防需求；新建大门一座，包含主体结构、门禁基础、防撞设施及智能化配套；拆除现有老旧建筑并完成建筑垃圾清运、场地平整及安全处理；恢复人行横道，铺设路面、标识及安全防护设施；同步完善排水、绿化、照明等基础配套，形成功能完整、安全规范、满足执勤与办公需求的派出所附属工程体系。</w:t>
            </w:r>
          </w:p>
        </w:tc>
      </w:tr>
      <w:tr w:rsidR="00CC6C9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CC6C93">
        <w:trPr>
          <w:trHeight w:val="859"/>
          <w:jc w:val="center"/>
        </w:trPr>
        <w:tc>
          <w:tcPr>
            <w:tcW w:w="1131" w:type="dxa"/>
            <w:vMerge w:val="restart"/>
            <w:tcBorders>
              <w:left w:val="single" w:sz="2" w:space="0" w:color="000000"/>
              <w:right w:val="single" w:sz="2" w:space="0" w:color="000000"/>
            </w:tcBorders>
            <w:vAlign w:val="center"/>
          </w:tcPr>
          <w:p w:rsidR="00CC6C93" w:rsidRDefault="00E3767C">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CC6C93" w:rsidRDefault="00E3767C">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新建大门数量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vMerge/>
            <w:tcBorders>
              <w:left w:val="single" w:sz="2" w:space="0" w:color="000000"/>
              <w:bottom w:val="single" w:sz="2" w:space="0" w:color="000000"/>
              <w:right w:val="single" w:sz="2" w:space="0" w:color="000000"/>
            </w:tcBorders>
            <w:vAlign w:val="center"/>
          </w:tcPr>
          <w:p w:rsidR="00CC6C93" w:rsidRDefault="00CC6C93"/>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新建围墙</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&gt;=124.5米</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vMerge/>
            <w:tcBorders>
              <w:left w:val="single" w:sz="2" w:space="0" w:color="000000"/>
              <w:right w:val="single" w:sz="2" w:space="0" w:color="000000"/>
            </w:tcBorders>
            <w:vAlign w:val="center"/>
          </w:tcPr>
          <w:p w:rsidR="00CC6C93" w:rsidRDefault="00CC6C93"/>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=2026年10月31日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成本指标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项目总花费</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效益指标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全面提升派出所管理水平与安全防护能力</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带动</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CC6C93">
        <w:trPr>
          <w:trHeight w:val="859"/>
          <w:jc w:val="center"/>
        </w:trPr>
        <w:tc>
          <w:tcPr>
            <w:tcW w:w="1131" w:type="dxa"/>
            <w:tcBorders>
              <w:left w:val="single" w:sz="2" w:space="0" w:color="000000"/>
              <w:right w:val="single" w:sz="2" w:space="0" w:color="000000"/>
            </w:tcBorders>
            <w:vAlign w:val="center"/>
          </w:tcPr>
          <w:p w:rsidR="00CC6C93" w:rsidRDefault="00E3767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CC6C93" w:rsidRDefault="00E3767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警民对项目实施的满意度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CC6C93" w:rsidRDefault="00E3767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CC6C93" w:rsidRDefault="00CC6C93">
      <w:pPr>
        <w:jc w:val="center"/>
      </w:pPr>
    </w:p>
    <w:p w:rsidR="00CC6C93" w:rsidRDefault="00E3767C">
      <w:r>
        <w:br w:type="page"/>
      </w:r>
    </w:p>
    <w:p w:rsidR="00CC6C93" w:rsidRDefault="00CC6C93">
      <w:pPr>
        <w:jc w:val="center"/>
      </w:pPr>
    </w:p>
    <w:p w:rsidR="00CC6C93" w:rsidRDefault="00E3767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CC6C93" w:rsidRDefault="00E3767C">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1、我部门另22辆特种专业技术用车，价值134.74万元，我部门一般公务用车已完成折旧，我部门无5万元以上的设备。</w:t>
      </w:r>
    </w:p>
    <w:p w:rsidR="00CC6C93" w:rsidRDefault="00E3767C">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部门本年度塔县住建局环卫车辆燃油费、塔县住建局环卫车辆保险费、塔县住建局环卫车辆维修和保养费、塔县住建局2026年聘用驾驶员工资共4合并为一个绩效目标表进行公开，涉及财政拨款资金271.5万元，非财政拨款资金0万元。</w:t>
      </w:r>
    </w:p>
    <w:p w:rsidR="00CC6C93" w:rsidRDefault="00E3767C">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3、我部门本年度蓝天小区14号楼15号楼建设项目、塔县蓝天小区14号楼15号楼建设项目共2个项目绩效合并为一个绩效目标表进行公开，涉及财政拨款资金300万元，非财政拨款资金0万元。</w:t>
      </w:r>
    </w:p>
    <w:p w:rsidR="00CC6C93" w:rsidRDefault="00E3767C">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CC6C93" w:rsidRDefault="00E3767C">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CC6C93" w:rsidRDefault="00CC6C93">
      <w:pPr>
        <w:spacing w:line="520" w:lineRule="exact"/>
        <w:ind w:firstLine="642"/>
        <w:rPr>
          <w:rFonts w:ascii="仿宋_GB2312" w:eastAsia="仿宋_GB2312" w:hAnsi="宋体" w:cs="宋体" w:hint="eastAsia"/>
          <w:b/>
          <w:kern w:val="0"/>
          <w:sz w:val="28"/>
          <w:szCs w:val="28"/>
        </w:rPr>
      </w:pPr>
    </w:p>
    <w:p w:rsidR="00CC6C93" w:rsidRDefault="00E3767C">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CC6C93" w:rsidRDefault="00E3767C">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CC6C93" w:rsidRDefault="00E3767C">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CC6C93" w:rsidRDefault="00E3767C">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CC6C93" w:rsidRDefault="00E3767C">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CC6C93" w:rsidRDefault="00E3767C">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CC6C93" w:rsidRDefault="00E3767C">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CC6C93" w:rsidRDefault="00E3767C">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CC6C93" w:rsidRDefault="00E3767C">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CC6C93" w:rsidRDefault="00CC6C93">
      <w:pPr>
        <w:widowControl/>
        <w:spacing w:line="520" w:lineRule="exact"/>
        <w:jc w:val="right"/>
        <w:rPr>
          <w:rFonts w:ascii="仿宋_GB2312" w:eastAsia="仿宋_GB2312" w:hAnsi="宋体" w:cs="宋体" w:hint="eastAsia"/>
          <w:kern w:val="0"/>
          <w:sz w:val="28"/>
          <w:szCs w:val="28"/>
        </w:rPr>
      </w:pPr>
    </w:p>
    <w:p w:rsidR="00CC6C93" w:rsidRDefault="00CC6C93">
      <w:pPr>
        <w:widowControl/>
        <w:spacing w:line="520" w:lineRule="exact"/>
        <w:jc w:val="right"/>
        <w:rPr>
          <w:rFonts w:ascii="仿宋_GB2312" w:eastAsia="仿宋_GB2312" w:hAnsi="宋体" w:cs="宋体" w:hint="eastAsia"/>
          <w:kern w:val="0"/>
          <w:sz w:val="28"/>
          <w:szCs w:val="28"/>
        </w:rPr>
      </w:pPr>
    </w:p>
    <w:p w:rsidR="00CC6C93" w:rsidRDefault="00CC6C93">
      <w:pPr>
        <w:widowControl/>
        <w:spacing w:line="520" w:lineRule="exact"/>
        <w:jc w:val="right"/>
        <w:rPr>
          <w:rFonts w:ascii="仿宋_GB2312" w:eastAsia="仿宋_GB2312" w:hAnsi="宋体" w:cs="宋体" w:hint="eastAsia"/>
          <w:kern w:val="0"/>
          <w:sz w:val="28"/>
          <w:szCs w:val="28"/>
        </w:rPr>
      </w:pPr>
    </w:p>
    <w:p w:rsidR="00CC6C93" w:rsidRDefault="00CC6C93">
      <w:pPr>
        <w:widowControl/>
        <w:spacing w:line="520" w:lineRule="exact"/>
        <w:jc w:val="right"/>
        <w:rPr>
          <w:rFonts w:ascii="仿宋_GB2312" w:eastAsia="仿宋_GB2312" w:hAnsi="宋体" w:cs="宋体" w:hint="eastAsia"/>
          <w:kern w:val="0"/>
          <w:sz w:val="28"/>
          <w:szCs w:val="28"/>
        </w:rPr>
      </w:pPr>
    </w:p>
    <w:p w:rsidR="00CC6C93" w:rsidRDefault="00E3767C">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8550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住房和城乡建设局</w:t>
      </w:r>
    </w:p>
    <w:p w:rsidR="00CC6C93" w:rsidRDefault="00E3767C">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CC6C93" w:rsidRDefault="00CC6C93"/>
    <w:sectPr w:rsidR="00CC6C9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3767C" w:rsidRDefault="00E3767C">
      <w:pPr>
        <w:spacing w:after="0" w:line="240" w:lineRule="auto"/>
      </w:pPr>
      <w:r>
        <w:separator/>
      </w:r>
    </w:p>
  </w:endnote>
  <w:endnote w:type="continuationSeparator" w:id="0">
    <w:p w:rsidR="00E3767C" w:rsidRDefault="00E37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6C93" w:rsidRDefault="00E3767C">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CC6C93" w:rsidRDefault="00CC6C9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6C93" w:rsidRDefault="00E3767C">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CC6C93" w:rsidRDefault="00CC6C9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3767C" w:rsidRDefault="00E3767C">
      <w:pPr>
        <w:spacing w:after="0" w:line="240" w:lineRule="auto"/>
      </w:pPr>
      <w:r>
        <w:separator/>
      </w:r>
    </w:p>
  </w:footnote>
  <w:footnote w:type="continuationSeparator" w:id="0">
    <w:p w:rsidR="00E3767C" w:rsidRDefault="00E376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C2E"/>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69EA"/>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25FF"/>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1B09"/>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0C"/>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71D"/>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90D"/>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3745"/>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6C93"/>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206"/>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0DFD"/>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3767C"/>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2F"/>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1CB9"/>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8FD"/>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79E18B3"/>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TotalTime>3456</TotalTime>
  <Pages>2</Pages>
  <Words>4224</Words>
  <Characters>24079</Characters>
  <Application>Microsoft Office Word</Application>
  <DocSecurity>0</DocSecurity>
  <Lines>200</Lines>
  <Paragraphs>56</Paragraphs>
  <ScaleCrop>false</ScaleCrop>
  <Manager>海哥</Manager>
  <Company>喀什跃达共创信息技术有限责任公司</Company>
  <LinksUpToDate>false</LinksUpToDate>
  <CharactersWithSpaces>28247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2026-09-08T05:37:00Z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