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F4CD6" w:rsidRDefault="000F4CD6">
      <w:pPr>
        <w:widowControl/>
        <w:spacing w:before="100" w:beforeAutospacing="1" w:after="100" w:afterAutospacing="1"/>
        <w:jc w:val="center"/>
        <w:rPr>
          <w:rFonts w:ascii="宋体" w:hAnsi="宋体" w:hint="eastAsia"/>
          <w:b/>
          <w:kern w:val="0"/>
          <w:sz w:val="44"/>
          <w:szCs w:val="44"/>
        </w:rPr>
      </w:pPr>
    </w:p>
    <w:p w:rsidR="000F4CD6" w:rsidRDefault="000F4CD6">
      <w:pPr>
        <w:widowControl/>
        <w:spacing w:before="100" w:beforeAutospacing="1" w:after="100" w:afterAutospacing="1"/>
        <w:jc w:val="center"/>
        <w:rPr>
          <w:rFonts w:ascii="宋体" w:hAnsi="宋体" w:hint="eastAsia"/>
          <w:b/>
          <w:kern w:val="0"/>
          <w:sz w:val="44"/>
          <w:szCs w:val="44"/>
        </w:rPr>
      </w:pPr>
    </w:p>
    <w:p w:rsidR="000F4CD6" w:rsidRDefault="000F4CD6">
      <w:pPr>
        <w:widowControl/>
        <w:spacing w:before="100" w:beforeAutospacing="1" w:after="100" w:afterAutospacing="1"/>
        <w:jc w:val="center"/>
        <w:rPr>
          <w:rFonts w:ascii="宋体" w:hAnsi="宋体" w:hint="eastAsia"/>
          <w:b/>
          <w:kern w:val="0"/>
          <w:sz w:val="44"/>
          <w:szCs w:val="44"/>
        </w:rPr>
      </w:pPr>
    </w:p>
    <w:p w:rsidR="000F4CD6" w:rsidRDefault="000F4CD6">
      <w:pPr>
        <w:widowControl/>
        <w:spacing w:before="100" w:beforeAutospacing="1" w:after="100" w:afterAutospacing="1"/>
        <w:jc w:val="center"/>
        <w:rPr>
          <w:rFonts w:ascii="宋体" w:hAnsi="宋体" w:hint="eastAsia"/>
          <w:b/>
          <w:kern w:val="0"/>
          <w:sz w:val="44"/>
          <w:szCs w:val="44"/>
        </w:rPr>
      </w:pPr>
    </w:p>
    <w:p w:rsidR="000F4CD6" w:rsidRDefault="00B57895">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2124AC">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卫生健康委员会2026年部门预算公开</w:t>
      </w:r>
    </w:p>
    <w:p w:rsidR="000F4CD6" w:rsidRDefault="00B57895">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0F4CD6" w:rsidRDefault="00B57895">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0F4CD6" w:rsidRDefault="000F4CD6">
      <w:pPr>
        <w:jc w:val="center"/>
        <w:rPr>
          <w:sz w:val="36"/>
          <w:szCs w:val="36"/>
        </w:rPr>
      </w:pPr>
    </w:p>
    <w:p w:rsidR="000F4CD6" w:rsidRDefault="00B57895">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0F4CD6" w:rsidRDefault="00B57895">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0F4CD6" w:rsidRDefault="00B57895">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卫生健康委员会2026年收支预算情况的总体说明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卫生健康委员会2026年收入预算情况说明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卫生健康委员会2026年支出预算情况说明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卫生健康委员会2026年财政拨款收支预算情况的总体说明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卫生健康委员会2026年一般公共预算当年拨款情况说明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卫生健康委员会2026年一般公共预算基本支出情况说明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卫生健康委员会2026年一般公共预算项目支出情况说明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卫生健康委员会2026年政府性基金预算拨款情况说明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卫生健康委员会2026年国有资本经营预算拨款情况说明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卫生健康委员会2026年财政拨款“三公”经费预算情况说明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卫生健康委员会2026年财政拨款委托业务费支出情况说明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卫生健康委员会2026年上年结转结余预算情况说明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0F4CD6" w:rsidRDefault="00B57895">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0F4CD6" w:rsidRDefault="00B57895">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0F4CD6" w:rsidRDefault="000F4CD6">
      <w:pPr>
        <w:jc w:val="center"/>
        <w:rPr>
          <w:sz w:val="30"/>
          <w:szCs w:val="30"/>
        </w:rPr>
      </w:pPr>
    </w:p>
    <w:p w:rsidR="000F4CD6" w:rsidRDefault="00B57895">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1、贯彻党和国家卫生工作的方针、政策，制定全县卫生事业发展规划，并监督实施。</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2、研究制定全县区域卫生规划，编制全县社区卫生服务发展规划和服务标准，组织实施卫生规划和医疗卫生行业服务要素准入制度，协调卫生资源的配置。</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3、研究制定全县农村卫生、妇幼卫生工作规划，指导制定初级卫生保健规划，依法监督母婴保健专项技术的实施。</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4、贯彻预防为主的方针，开展全民健康教育制订全县对人群健康危害疾病的防治规划，组织对重大疾病的综合防治，负责传染病、地方病和其它常见病、多发病的监测防治。</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5、组织调度全县的卫生技术力量，协助县政府和有关单位，对重大疫情、病情、灾情、突发事件，实施紧急处置，防止和控制疫情、疾病的发生、蔓延。</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6、依法对全县医疗卫生机构及其业务实行全行业监督管理，组织指导医疗机构改革，实施医疗机构和卫生技术人员执业标准、医疗质量标准和服务规范，并监督实施。</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7、依法监督管理中心血站的采供血及临床用血质量，组织开展无偿献血活动。</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8、制定全县医学科技、教育发展规划，组织医药卫生科研攻关，指导医学科技成果的普及应用工作；负责医药科技领域和重点学科建设；负责医学教育，进行质量监督检查。</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9、监督管理全县传染病防治和食品、职业、环境、放射、学校卫生等，依照国家食品、化妆品、消毒产品、保健用品等与健康有关产品的管理规范，负责论证工作。</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10、制定全县卫生人才发展规划和卫生人员职业道德规范，执行国家、省、地卫生机构编制标准；组织实施卫生技术人员资格认定，专业技术职称晋升工资福利和卫生行业人才交流工作。</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11、贯彻党的中医政策，坚持中西医并重方针制定全县中医事业发展规划，负责全县中医医疗、教学、科研工作，推进中医药的继承、创新与开发。</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12、承担县爱国卫生运动委员会、县地方病防治领导小组办公室日常工作。指导医药学会、协会、专业防治机构等学术团体、机构的工作。</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13、负责管理政府和民意渠道开展医疗卫生对外交流与合作活动，组织协调全县医疗卫生机构基础设施建设和外援项目的落实，负责卫生援外工作。</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14、负责卫生法制建设、监督检查和卫生行政复议工作。</w:t>
      </w:r>
    </w:p>
    <w:p w:rsidR="000F4CD6" w:rsidRDefault="00B57895">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15、承办县政府和上级业务单位交办的其他工作。</w:t>
      </w:r>
    </w:p>
    <w:p w:rsidR="000F4CD6" w:rsidRDefault="00B57895">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0F4CD6" w:rsidRDefault="00B57895">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2124AC">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卫生健康委员会</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0F4CD6" w:rsidRDefault="00B57895">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表1</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0F4CD6">
        <w:trPr>
          <w:trHeight w:val="170"/>
          <w:jc w:val="center"/>
        </w:trPr>
        <w:tc>
          <w:tcPr>
            <w:tcW w:w="8789" w:type="dxa"/>
            <w:noWrap/>
            <w:vAlign w:val="bottom"/>
          </w:tcPr>
          <w:p w:rsidR="000F4CD6" w:rsidRDefault="00B5789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r>
              <w:rPr>
                <w:rFonts w:ascii="仿宋_GB2312" w:eastAsia="仿宋_GB2312" w:hAnsi="宋体" w:cs="宋体"/>
                <w:kern w:val="0"/>
                <w:sz w:val="24"/>
              </w:rPr>
              <w:t xml:space="preserve"> </w:t>
            </w:r>
          </w:p>
        </w:tc>
        <w:tc>
          <w:tcPr>
            <w:tcW w:w="1342" w:type="dxa"/>
            <w:noWrap/>
            <w:vAlign w:val="bottom"/>
          </w:tcPr>
          <w:p w:rsidR="000F4CD6" w:rsidRDefault="00B5789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0F4CD6">
        <w:trPr>
          <w:trHeight w:val="454"/>
          <w:jc w:val="center"/>
        </w:trPr>
        <w:tc>
          <w:tcPr>
            <w:tcW w:w="5247" w:type="dxa"/>
            <w:gridSpan w:val="2"/>
            <w:tcBorders>
              <w:top w:val="single" w:sz="4" w:space="0" w:color="auto"/>
            </w:tcBorders>
            <w:noWrap/>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0F4CD6">
        <w:trPr>
          <w:trHeight w:hRule="exact" w:val="613"/>
          <w:jc w:val="center"/>
        </w:trPr>
        <w:tc>
          <w:tcPr>
            <w:tcW w:w="3114"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1985.32</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1982.62</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1193.42</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789.20</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144.37</w:t>
            </w: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1855.62</w:t>
            </w: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2.70</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2.70</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14.67</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14.67</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0F4CD6" w:rsidRDefault="00B57895">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14.67</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0F4CD6">
            <w:pPr>
              <w:widowControl/>
              <w:spacing w:line="300" w:lineRule="exact"/>
              <w:jc w:val="left"/>
              <w:rPr>
                <w:rFonts w:ascii="仿宋_GB2312" w:eastAsia="仿宋_GB2312" w:hAnsiTheme="minorEastAsia" w:cs="宋体" w:hint="eastAsia"/>
                <w:kern w:val="0"/>
                <w:sz w:val="18"/>
                <w:szCs w:val="18"/>
              </w:rPr>
            </w:pPr>
          </w:p>
        </w:tc>
        <w:tc>
          <w:tcPr>
            <w:tcW w:w="2133" w:type="dxa"/>
          </w:tcPr>
          <w:p w:rsidR="000F4CD6" w:rsidRDefault="000F4CD6">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0F4CD6">
            <w:pPr>
              <w:widowControl/>
              <w:spacing w:line="300" w:lineRule="exact"/>
              <w:jc w:val="left"/>
              <w:rPr>
                <w:rFonts w:ascii="仿宋_GB2312" w:eastAsia="仿宋_GB2312" w:hAnsiTheme="minorEastAsia" w:cs="宋体" w:hint="eastAsia"/>
                <w:kern w:val="0"/>
                <w:sz w:val="18"/>
                <w:szCs w:val="18"/>
              </w:rPr>
            </w:pPr>
          </w:p>
        </w:tc>
        <w:tc>
          <w:tcPr>
            <w:tcW w:w="2133" w:type="dxa"/>
          </w:tcPr>
          <w:p w:rsidR="000F4CD6" w:rsidRDefault="000F4CD6">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0F4CD6">
            <w:pPr>
              <w:widowControl/>
              <w:spacing w:line="300" w:lineRule="exact"/>
              <w:jc w:val="left"/>
              <w:rPr>
                <w:rFonts w:ascii="仿宋_GB2312" w:eastAsia="仿宋_GB2312" w:hAnsiTheme="minorEastAsia" w:cs="宋体" w:hint="eastAsia"/>
                <w:kern w:val="0"/>
                <w:sz w:val="18"/>
                <w:szCs w:val="18"/>
              </w:rPr>
            </w:pPr>
          </w:p>
        </w:tc>
        <w:tc>
          <w:tcPr>
            <w:tcW w:w="2133" w:type="dxa"/>
          </w:tcPr>
          <w:p w:rsidR="000F4CD6" w:rsidRDefault="00B57895">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0F4CD6">
            <w:pPr>
              <w:widowControl/>
              <w:spacing w:line="300" w:lineRule="exact"/>
              <w:jc w:val="left"/>
              <w:rPr>
                <w:rFonts w:ascii="仿宋_GB2312" w:eastAsia="仿宋_GB2312" w:hAnsiTheme="minorEastAsia" w:cs="宋体" w:hint="eastAsia"/>
                <w:kern w:val="0"/>
                <w:sz w:val="18"/>
                <w:szCs w:val="18"/>
              </w:rPr>
            </w:pP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312"/>
          <w:jc w:val="center"/>
        </w:trPr>
        <w:tc>
          <w:tcPr>
            <w:tcW w:w="3114" w:type="dxa"/>
            <w:vAlign w:val="center"/>
          </w:tcPr>
          <w:p w:rsidR="000F4CD6" w:rsidRDefault="000F4CD6">
            <w:pPr>
              <w:widowControl/>
              <w:spacing w:line="300" w:lineRule="exact"/>
              <w:jc w:val="left"/>
              <w:rPr>
                <w:rFonts w:ascii="仿宋_GB2312" w:eastAsia="仿宋_GB2312" w:hAnsiTheme="minorEastAsia" w:cs="宋体" w:hint="eastAsia"/>
                <w:kern w:val="0"/>
                <w:sz w:val="18"/>
                <w:szCs w:val="18"/>
              </w:rPr>
            </w:pPr>
          </w:p>
        </w:tc>
        <w:tc>
          <w:tcPr>
            <w:tcW w:w="2133"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0F4CD6" w:rsidRDefault="00B57895">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0F4CD6" w:rsidRDefault="000F4CD6">
            <w:pPr>
              <w:widowControl/>
              <w:spacing w:line="300" w:lineRule="exact"/>
              <w:jc w:val="right"/>
              <w:rPr>
                <w:rFonts w:ascii="仿宋_GB2312" w:eastAsia="仿宋_GB2312" w:hAnsiTheme="minorEastAsia" w:cs="宋体" w:hint="eastAsia"/>
                <w:kern w:val="0"/>
                <w:sz w:val="18"/>
                <w:szCs w:val="18"/>
              </w:rPr>
            </w:pPr>
          </w:p>
        </w:tc>
      </w:tr>
      <w:tr w:rsidR="000F4CD6">
        <w:trPr>
          <w:trHeight w:hRule="exact" w:val="557"/>
          <w:jc w:val="center"/>
        </w:trPr>
        <w:tc>
          <w:tcPr>
            <w:tcW w:w="3114" w:type="dxa"/>
            <w:vAlign w:val="center"/>
          </w:tcPr>
          <w:p w:rsidR="000F4CD6" w:rsidRDefault="00B57895">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0F4CD6" w:rsidRDefault="00B57895">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1999.99</w:t>
            </w:r>
          </w:p>
        </w:tc>
        <w:tc>
          <w:tcPr>
            <w:tcW w:w="2755" w:type="dxa"/>
            <w:noWrap/>
            <w:vAlign w:val="center"/>
          </w:tcPr>
          <w:p w:rsidR="000F4CD6" w:rsidRDefault="00B57895">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0F4CD6" w:rsidRDefault="00B57895">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1999.99</w:t>
            </w:r>
          </w:p>
        </w:tc>
      </w:tr>
    </w:tbl>
    <w:p w:rsidR="000F4CD6" w:rsidRDefault="000F4CD6">
      <w:pPr>
        <w:widowControl/>
        <w:spacing w:line="20" w:lineRule="exact"/>
        <w:jc w:val="left"/>
        <w:rPr>
          <w:rFonts w:ascii="黑体" w:eastAsia="黑体" w:hAnsi="黑体" w:hint="eastAsia"/>
          <w:b/>
          <w:kern w:val="0"/>
          <w:sz w:val="30"/>
          <w:szCs w:val="30"/>
        </w:rPr>
        <w:sectPr w:rsidR="000F4CD6">
          <w:footerReference w:type="even" r:id="rId8"/>
          <w:footerReference w:type="default" r:id="rId9"/>
          <w:pgSz w:w="11906" w:h="16838"/>
          <w:pgMar w:top="1134" w:right="1134" w:bottom="1134" w:left="1134" w:header="851" w:footer="992" w:gutter="0"/>
          <w:cols w:space="425"/>
          <w:docGrid w:type="lines" w:linePitch="312"/>
        </w:sectPr>
      </w:pPr>
    </w:p>
    <w:p w:rsidR="000F4CD6" w:rsidRDefault="00B57895">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0F4CD6">
        <w:trPr>
          <w:trHeight w:val="246"/>
          <w:jc w:val="center"/>
        </w:trPr>
        <w:tc>
          <w:tcPr>
            <w:tcW w:w="13608" w:type="dxa"/>
            <w:vAlign w:val="bottom"/>
          </w:tcPr>
          <w:p w:rsidR="000F4CD6" w:rsidRDefault="00B5789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tcPr>
          <w:p w:rsidR="000F4CD6" w:rsidRDefault="00B5789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0F4CD6">
        <w:trPr>
          <w:trHeight w:val="741"/>
          <w:tblHeader/>
          <w:jc w:val="center"/>
        </w:trPr>
        <w:tc>
          <w:tcPr>
            <w:tcW w:w="2122" w:type="dxa"/>
            <w:gridSpan w:val="3"/>
            <w:tcBorders>
              <w:top w:val="single" w:sz="4" w:space="0" w:color="auto"/>
            </w:tcBorders>
            <w:vAlign w:val="center"/>
          </w:tcPr>
          <w:p w:rsidR="000F4CD6" w:rsidRDefault="00B57895">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0F4CD6" w:rsidRDefault="00B57895">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0F4CD6" w:rsidRDefault="00B5789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0F4CD6" w:rsidRDefault="00B5789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0F4CD6" w:rsidRDefault="00B5789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0F4CD6" w:rsidRDefault="00B57895">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0F4CD6">
        <w:trPr>
          <w:trHeight w:val="847"/>
          <w:tblHeader/>
          <w:jc w:val="center"/>
        </w:trPr>
        <w:tc>
          <w:tcPr>
            <w:tcW w:w="704"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0F4CD6" w:rsidRDefault="000F4CD6">
            <w:pPr>
              <w:rPr>
                <w:rFonts w:asciiTheme="minorEastAsia" w:eastAsiaTheme="minorEastAsia" w:hAnsiTheme="minorEastAsia" w:cs="宋体" w:hint="eastAsia"/>
                <w:b/>
                <w:color w:val="000000"/>
                <w:sz w:val="20"/>
                <w:szCs w:val="20"/>
              </w:rPr>
            </w:pPr>
          </w:p>
        </w:tc>
        <w:tc>
          <w:tcPr>
            <w:tcW w:w="1843" w:type="dxa"/>
            <w:vMerge/>
            <w:vAlign w:val="center"/>
          </w:tcPr>
          <w:p w:rsidR="000F4CD6" w:rsidRDefault="000F4CD6">
            <w:pPr>
              <w:rPr>
                <w:rFonts w:asciiTheme="minorEastAsia" w:eastAsiaTheme="minorEastAsia" w:hAnsiTheme="minorEastAsia" w:cs="宋体" w:hint="eastAsia"/>
                <w:b/>
                <w:color w:val="000000"/>
                <w:sz w:val="20"/>
                <w:szCs w:val="20"/>
              </w:rPr>
            </w:pPr>
          </w:p>
        </w:tc>
        <w:tc>
          <w:tcPr>
            <w:tcW w:w="1559"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0F4CD6" w:rsidRDefault="000F4CD6">
            <w:pPr>
              <w:jc w:val="center"/>
              <w:rPr>
                <w:rFonts w:asciiTheme="minorEastAsia" w:eastAsiaTheme="minorEastAsia" w:hAnsiTheme="minorEastAsia" w:cs="宋体" w:hint="eastAsia"/>
                <w:b/>
                <w:color w:val="000000"/>
                <w:sz w:val="20"/>
                <w:szCs w:val="20"/>
              </w:rPr>
            </w:pPr>
          </w:p>
        </w:tc>
        <w:tc>
          <w:tcPr>
            <w:tcW w:w="708" w:type="dxa"/>
            <w:vMerge/>
          </w:tcPr>
          <w:p w:rsidR="000F4CD6" w:rsidRDefault="000F4CD6">
            <w:pPr>
              <w:jc w:val="center"/>
              <w:rPr>
                <w:rFonts w:asciiTheme="minorEastAsia" w:eastAsiaTheme="minorEastAsia" w:hAnsiTheme="minorEastAsia" w:cs="宋体" w:hint="eastAsia"/>
                <w:b/>
                <w:color w:val="000000"/>
                <w:sz w:val="20"/>
                <w:szCs w:val="20"/>
              </w:rPr>
            </w:pPr>
          </w:p>
        </w:tc>
        <w:tc>
          <w:tcPr>
            <w:tcW w:w="709" w:type="dxa"/>
            <w:vMerge/>
          </w:tcPr>
          <w:p w:rsidR="000F4CD6" w:rsidRDefault="000F4CD6">
            <w:pPr>
              <w:jc w:val="center"/>
              <w:rPr>
                <w:rFonts w:asciiTheme="minorEastAsia" w:eastAsiaTheme="minorEastAsia" w:hAnsiTheme="minorEastAsia" w:cs="宋体" w:hint="eastAsia"/>
                <w:b/>
                <w:color w:val="000000"/>
                <w:sz w:val="20"/>
                <w:szCs w:val="20"/>
              </w:rPr>
            </w:pPr>
          </w:p>
        </w:tc>
        <w:tc>
          <w:tcPr>
            <w:tcW w:w="709" w:type="dxa"/>
            <w:vMerge/>
          </w:tcPr>
          <w:p w:rsidR="000F4CD6" w:rsidRDefault="000F4CD6">
            <w:pPr>
              <w:jc w:val="center"/>
              <w:rPr>
                <w:rFonts w:asciiTheme="minorEastAsia" w:eastAsiaTheme="minorEastAsia" w:hAnsiTheme="minorEastAsia" w:cs="宋体" w:hint="eastAsia"/>
                <w:b/>
                <w:color w:val="000000"/>
                <w:sz w:val="20"/>
                <w:szCs w:val="20"/>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144.37</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144.37</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144.37</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144.37</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144.37</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144.37</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96.25</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96.25</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96.25</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48.12</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48.12</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48.12</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1855.62</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1838.25</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1049.05</w:t>
            </w:r>
          </w:p>
        </w:tc>
        <w:tc>
          <w:tcPr>
            <w:tcW w:w="851"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789.20</w:t>
            </w: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2.70</w:t>
            </w: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14.67</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卫生健康管理事务</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423.38</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416.19</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416.19</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2.70</w:t>
            </w: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4.49</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390.68</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386.19</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386.19</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4.49</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其他卫生健康管理事务支出</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32.70</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30.00</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30.00</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2.70</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基层医疗卫生机构</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614.48</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605.14</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605.14</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9.34</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乡镇卫生院</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614.48</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605.14</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605.14</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9.34</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计划生育事务</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280.90</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280.12</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10.32</w:t>
            </w:r>
          </w:p>
        </w:tc>
        <w:tc>
          <w:tcPr>
            <w:tcW w:w="851"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269.80</w:t>
            </w: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0.78</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17</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计划生育服务</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280.90</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280.12</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10.32</w:t>
            </w:r>
          </w:p>
        </w:tc>
        <w:tc>
          <w:tcPr>
            <w:tcW w:w="851"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269.80</w:t>
            </w: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0.78</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2.40</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2.40</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2.40</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2.40</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2.40</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2.40</w:t>
            </w: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19</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育幼服务</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534.46</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534.40</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15.00</w:t>
            </w:r>
          </w:p>
        </w:tc>
        <w:tc>
          <w:tcPr>
            <w:tcW w:w="851"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519.40</w:t>
            </w: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0.06</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19</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育儿补贴</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534.40</w:t>
            </w:r>
          </w:p>
        </w:tc>
        <w:tc>
          <w:tcPr>
            <w:tcW w:w="155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534.40</w:t>
            </w:r>
          </w:p>
        </w:tc>
        <w:tc>
          <w:tcPr>
            <w:tcW w:w="850"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15.00</w:t>
            </w:r>
          </w:p>
        </w:tc>
        <w:tc>
          <w:tcPr>
            <w:tcW w:w="851"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519.40</w:t>
            </w: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19</w:t>
            </w:r>
          </w:p>
        </w:tc>
        <w:tc>
          <w:tcPr>
            <w:tcW w:w="70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0F4CD6" w:rsidRDefault="00B57895">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其他育幼服务支出</w:t>
            </w:r>
          </w:p>
        </w:tc>
        <w:tc>
          <w:tcPr>
            <w:tcW w:w="1843"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0.06</w:t>
            </w:r>
          </w:p>
        </w:tc>
        <w:tc>
          <w:tcPr>
            <w:tcW w:w="155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0"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851"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8" w:type="dxa"/>
            <w:vAlign w:val="center"/>
          </w:tcPr>
          <w:p w:rsidR="000F4CD6" w:rsidRDefault="000F4CD6">
            <w:pPr>
              <w:jc w:val="center"/>
              <w:rPr>
                <w:rFonts w:ascii="仿宋_GB2312" w:eastAsia="仿宋_GB2312" w:hAnsiTheme="minorEastAsia" w:cs="宋体" w:hint="eastAsia"/>
                <w:color w:val="000000" w:themeColor="text1"/>
                <w:sz w:val="18"/>
                <w:szCs w:val="18"/>
              </w:rPr>
            </w:pPr>
          </w:p>
        </w:tc>
        <w:tc>
          <w:tcPr>
            <w:tcW w:w="709" w:type="dxa"/>
            <w:vAlign w:val="center"/>
          </w:tcPr>
          <w:p w:rsidR="000F4CD6" w:rsidRDefault="00B57895">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0.06</w:t>
            </w:r>
          </w:p>
        </w:tc>
        <w:tc>
          <w:tcPr>
            <w:tcW w:w="709" w:type="dxa"/>
            <w:vAlign w:val="center"/>
          </w:tcPr>
          <w:p w:rsidR="000F4CD6" w:rsidRDefault="000F4CD6">
            <w:pPr>
              <w:jc w:val="center"/>
              <w:rPr>
                <w:rFonts w:ascii="仿宋_GB2312" w:eastAsia="仿宋_GB2312" w:hAnsiTheme="minorEastAsia" w:cs="宋体" w:hint="eastAsia"/>
                <w:color w:val="000000" w:themeColor="text1"/>
                <w:sz w:val="18"/>
                <w:szCs w:val="18"/>
              </w:rPr>
            </w:pPr>
          </w:p>
        </w:tc>
      </w:tr>
      <w:tr w:rsidR="000F4CD6">
        <w:trPr>
          <w:trHeight w:val="847"/>
          <w:jc w:val="center"/>
        </w:trPr>
        <w:tc>
          <w:tcPr>
            <w:tcW w:w="704" w:type="dxa"/>
            <w:vAlign w:val="center"/>
          </w:tcPr>
          <w:p w:rsidR="000F4CD6" w:rsidRDefault="000F4CD6">
            <w:pPr>
              <w:jc w:val="center"/>
              <w:rPr>
                <w:rFonts w:ascii="仿宋_GB2312" w:eastAsia="仿宋_GB2312" w:hAnsiTheme="minorEastAsia" w:hint="eastAsia"/>
                <w:b/>
                <w:color w:val="000000"/>
                <w:sz w:val="20"/>
                <w:szCs w:val="20"/>
              </w:rPr>
            </w:pPr>
          </w:p>
        </w:tc>
        <w:tc>
          <w:tcPr>
            <w:tcW w:w="709" w:type="dxa"/>
            <w:vAlign w:val="center"/>
          </w:tcPr>
          <w:p w:rsidR="000F4CD6" w:rsidRDefault="000F4CD6">
            <w:pPr>
              <w:jc w:val="center"/>
              <w:rPr>
                <w:rFonts w:ascii="仿宋_GB2312" w:eastAsia="仿宋_GB2312" w:hAnsiTheme="minorEastAsia" w:hint="eastAsia"/>
                <w:b/>
                <w:color w:val="000000"/>
                <w:sz w:val="20"/>
                <w:szCs w:val="20"/>
              </w:rPr>
            </w:pPr>
          </w:p>
        </w:tc>
        <w:tc>
          <w:tcPr>
            <w:tcW w:w="709" w:type="dxa"/>
            <w:vAlign w:val="center"/>
          </w:tcPr>
          <w:p w:rsidR="000F4CD6" w:rsidRDefault="000F4CD6">
            <w:pPr>
              <w:jc w:val="center"/>
              <w:rPr>
                <w:rFonts w:ascii="仿宋_GB2312" w:eastAsia="仿宋_GB2312" w:hAnsiTheme="minorEastAsia" w:hint="eastAsia"/>
                <w:b/>
                <w:color w:val="000000"/>
                <w:sz w:val="20"/>
                <w:szCs w:val="20"/>
              </w:rPr>
            </w:pPr>
          </w:p>
        </w:tc>
        <w:tc>
          <w:tcPr>
            <w:tcW w:w="1559"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1999.99</w:t>
            </w:r>
          </w:p>
        </w:tc>
        <w:tc>
          <w:tcPr>
            <w:tcW w:w="1559"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1982.62</w:t>
            </w:r>
          </w:p>
        </w:tc>
        <w:tc>
          <w:tcPr>
            <w:tcW w:w="850"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1193.42</w:t>
            </w:r>
          </w:p>
        </w:tc>
        <w:tc>
          <w:tcPr>
            <w:tcW w:w="851"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789.20</w:t>
            </w:r>
          </w:p>
        </w:tc>
        <w:tc>
          <w:tcPr>
            <w:tcW w:w="850" w:type="dxa"/>
            <w:vAlign w:val="center"/>
          </w:tcPr>
          <w:p w:rsidR="000F4CD6" w:rsidRDefault="000F4CD6">
            <w:pPr>
              <w:jc w:val="center"/>
              <w:rPr>
                <w:rFonts w:ascii="仿宋_GB2312" w:eastAsia="仿宋_GB2312" w:hAnsiTheme="minorEastAsia" w:cs="宋体" w:hint="eastAsia"/>
                <w:b/>
                <w:color w:val="000000"/>
                <w:sz w:val="20"/>
                <w:szCs w:val="20"/>
              </w:rPr>
            </w:pPr>
          </w:p>
        </w:tc>
        <w:tc>
          <w:tcPr>
            <w:tcW w:w="851" w:type="dxa"/>
            <w:vAlign w:val="center"/>
          </w:tcPr>
          <w:p w:rsidR="000F4CD6" w:rsidRDefault="000F4CD6">
            <w:pPr>
              <w:jc w:val="center"/>
              <w:rPr>
                <w:rFonts w:ascii="仿宋_GB2312" w:eastAsia="仿宋_GB2312" w:hAnsiTheme="minorEastAsia" w:cs="宋体" w:hint="eastAsia"/>
                <w:b/>
                <w:color w:val="000000"/>
                <w:sz w:val="20"/>
                <w:szCs w:val="20"/>
              </w:rPr>
            </w:pPr>
          </w:p>
        </w:tc>
        <w:tc>
          <w:tcPr>
            <w:tcW w:w="850" w:type="dxa"/>
            <w:vAlign w:val="center"/>
          </w:tcPr>
          <w:p w:rsidR="000F4CD6" w:rsidRDefault="000F4CD6">
            <w:pPr>
              <w:jc w:val="center"/>
              <w:rPr>
                <w:rFonts w:ascii="仿宋_GB2312" w:eastAsia="仿宋_GB2312" w:hAnsiTheme="minorEastAsia" w:cs="宋体" w:hint="eastAsia"/>
                <w:b/>
                <w:color w:val="000000"/>
                <w:sz w:val="20"/>
                <w:szCs w:val="20"/>
              </w:rPr>
            </w:pPr>
          </w:p>
        </w:tc>
        <w:tc>
          <w:tcPr>
            <w:tcW w:w="851" w:type="dxa"/>
            <w:vAlign w:val="center"/>
          </w:tcPr>
          <w:p w:rsidR="000F4CD6" w:rsidRDefault="000F4CD6">
            <w:pPr>
              <w:jc w:val="center"/>
              <w:rPr>
                <w:rFonts w:ascii="仿宋_GB2312" w:eastAsia="仿宋_GB2312" w:hAnsiTheme="minorEastAsia" w:cs="宋体" w:hint="eastAsia"/>
                <w:b/>
                <w:color w:val="000000"/>
                <w:sz w:val="20"/>
                <w:szCs w:val="20"/>
              </w:rPr>
            </w:pPr>
          </w:p>
        </w:tc>
        <w:tc>
          <w:tcPr>
            <w:tcW w:w="709" w:type="dxa"/>
            <w:vAlign w:val="center"/>
          </w:tcPr>
          <w:p w:rsidR="000F4CD6" w:rsidRDefault="000F4CD6">
            <w:pPr>
              <w:jc w:val="center"/>
              <w:rPr>
                <w:rFonts w:ascii="仿宋_GB2312" w:eastAsia="仿宋_GB2312" w:hAnsiTheme="minorEastAsia" w:cs="宋体" w:hint="eastAsia"/>
                <w:b/>
                <w:color w:val="000000"/>
                <w:sz w:val="20"/>
                <w:szCs w:val="20"/>
              </w:rPr>
            </w:pPr>
          </w:p>
        </w:tc>
        <w:tc>
          <w:tcPr>
            <w:tcW w:w="708"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2.70</w:t>
            </w:r>
          </w:p>
        </w:tc>
        <w:tc>
          <w:tcPr>
            <w:tcW w:w="709" w:type="dxa"/>
            <w:vAlign w:val="center"/>
          </w:tcPr>
          <w:p w:rsidR="000F4CD6" w:rsidRDefault="00B57895">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14.67</w:t>
            </w:r>
          </w:p>
        </w:tc>
        <w:tc>
          <w:tcPr>
            <w:tcW w:w="709" w:type="dxa"/>
            <w:vAlign w:val="center"/>
          </w:tcPr>
          <w:p w:rsidR="000F4CD6" w:rsidRDefault="000F4CD6">
            <w:pPr>
              <w:jc w:val="center"/>
              <w:rPr>
                <w:rFonts w:ascii="仿宋_GB2312" w:eastAsia="仿宋_GB2312" w:hAnsiTheme="minorEastAsia" w:cs="宋体" w:hint="eastAsia"/>
                <w:b/>
                <w:color w:val="000000"/>
                <w:sz w:val="20"/>
                <w:szCs w:val="20"/>
              </w:rPr>
            </w:pPr>
          </w:p>
        </w:tc>
      </w:tr>
    </w:tbl>
    <w:p w:rsidR="000F4CD6" w:rsidRDefault="000F4CD6">
      <w:pPr>
        <w:widowControl/>
        <w:spacing w:line="20" w:lineRule="exact"/>
        <w:jc w:val="left"/>
        <w:rPr>
          <w:rFonts w:ascii="宋体" w:hAnsi="宋体" w:hint="eastAsia"/>
          <w:bCs/>
          <w:kern w:val="0"/>
          <w:sz w:val="20"/>
          <w:szCs w:val="20"/>
        </w:rPr>
        <w:sectPr w:rsidR="000F4CD6">
          <w:pgSz w:w="16838" w:h="11906" w:orient="landscape"/>
          <w:pgMar w:top="1134" w:right="1134" w:bottom="1134" w:left="1134" w:header="851" w:footer="992" w:gutter="0"/>
          <w:cols w:space="425"/>
          <w:docGrid w:type="lines" w:linePitch="312"/>
        </w:sectPr>
      </w:pP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表3</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0F4CD6">
        <w:trPr>
          <w:trHeight w:val="170"/>
          <w:jc w:val="center"/>
        </w:trPr>
        <w:tc>
          <w:tcPr>
            <w:tcW w:w="8647" w:type="dxa"/>
            <w:vAlign w:val="center"/>
          </w:tcPr>
          <w:p w:rsidR="000F4CD6" w:rsidRDefault="00B5789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vAlign w:val="center"/>
          </w:tcPr>
          <w:p w:rsidR="000F4CD6" w:rsidRDefault="00B5789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0F4CD6">
        <w:trPr>
          <w:trHeight w:val="340"/>
          <w:tblHeader/>
          <w:jc w:val="center"/>
        </w:trPr>
        <w:tc>
          <w:tcPr>
            <w:tcW w:w="5524" w:type="dxa"/>
            <w:gridSpan w:val="4"/>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0F4CD6">
        <w:trPr>
          <w:trHeight w:val="482"/>
          <w:tblHeader/>
          <w:jc w:val="center"/>
        </w:trPr>
        <w:tc>
          <w:tcPr>
            <w:tcW w:w="2014" w:type="dxa"/>
            <w:gridSpan w:val="3"/>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0F4CD6">
        <w:trPr>
          <w:trHeight w:val="403"/>
          <w:tblHeader/>
          <w:jc w:val="center"/>
        </w:trPr>
        <w:tc>
          <w:tcPr>
            <w:tcW w:w="596"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144.37</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144.37</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144.37</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144.37</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96.25</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96.25</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48.12</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48.12</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1855.62</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1007.56</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848.06</w:t>
            </w: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卫生健康管理事务</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423.38</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390.68</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32.70</w:t>
            </w: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390.68</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390.68</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其他卫生健康管理事务支出</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32.70</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32.70</w:t>
            </w: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基层医疗卫生机构</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614.48</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614.48</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乡镇卫生院</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614.48</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614.48</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计划生育事务</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280.90</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280.90</w:t>
            </w: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计划生育服务</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280.90</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280.90</w:t>
            </w: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2.40</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2.40</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2.40</w:t>
            </w: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2.40</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w:t>
            </w:r>
          </w:p>
        </w:tc>
        <w:tc>
          <w:tcPr>
            <w:tcW w:w="709" w:type="dxa"/>
            <w:vAlign w:val="center"/>
          </w:tcPr>
          <w:p w:rsidR="000F4CD6" w:rsidRDefault="000F4CD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育幼服务</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534.46</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534.46</w:t>
            </w: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育儿补贴</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534.40</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534.40</w:t>
            </w:r>
          </w:p>
        </w:tc>
      </w:tr>
      <w:tr w:rsidR="000F4CD6">
        <w:trPr>
          <w:trHeight w:val="403"/>
          <w:jc w:val="center"/>
        </w:trPr>
        <w:tc>
          <w:tcPr>
            <w:tcW w:w="596"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w:t>
            </w:r>
          </w:p>
        </w:tc>
        <w:tc>
          <w:tcPr>
            <w:tcW w:w="709"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0F4CD6" w:rsidRDefault="00B57895">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其他育幼服务支出</w:t>
            </w:r>
          </w:p>
        </w:tc>
        <w:tc>
          <w:tcPr>
            <w:tcW w:w="1984"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0.06</w:t>
            </w:r>
          </w:p>
        </w:tc>
        <w:tc>
          <w:tcPr>
            <w:tcW w:w="1276" w:type="dxa"/>
            <w:vAlign w:val="center"/>
          </w:tcPr>
          <w:p w:rsidR="000F4CD6" w:rsidRDefault="000F4CD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0F4CD6" w:rsidRDefault="00B57895">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0.06</w:t>
            </w:r>
          </w:p>
        </w:tc>
      </w:tr>
      <w:tr w:rsidR="000F4CD6">
        <w:trPr>
          <w:trHeight w:val="403"/>
          <w:jc w:val="center"/>
        </w:trPr>
        <w:tc>
          <w:tcPr>
            <w:tcW w:w="596" w:type="dxa"/>
            <w:vAlign w:val="center"/>
          </w:tcPr>
          <w:p w:rsidR="000F4CD6" w:rsidRDefault="000F4CD6">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0F4CD6" w:rsidRDefault="000F4CD6">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0F4CD6" w:rsidRDefault="000F4CD6">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1999.99</w:t>
            </w:r>
          </w:p>
        </w:tc>
        <w:tc>
          <w:tcPr>
            <w:tcW w:w="1276"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1151.93</w:t>
            </w:r>
          </w:p>
        </w:tc>
        <w:tc>
          <w:tcPr>
            <w:tcW w:w="1276"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848.06</w:t>
            </w:r>
          </w:p>
        </w:tc>
      </w:tr>
    </w:tbl>
    <w:p w:rsidR="000F4CD6" w:rsidRDefault="00B57895">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0F4CD6">
        <w:trPr>
          <w:trHeight w:val="170"/>
          <w:jc w:val="center"/>
        </w:trPr>
        <w:tc>
          <w:tcPr>
            <w:tcW w:w="8647" w:type="dxa"/>
            <w:noWrap/>
            <w:vAlign w:val="bottom"/>
          </w:tcPr>
          <w:p w:rsidR="000F4CD6" w:rsidRDefault="00B5789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vAlign w:val="bottom"/>
          </w:tcPr>
          <w:p w:rsidR="000F4CD6" w:rsidRDefault="00B5789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0F4CD6">
        <w:trPr>
          <w:trHeight w:val="434"/>
          <w:tblHeader/>
          <w:jc w:val="center"/>
        </w:trPr>
        <w:tc>
          <w:tcPr>
            <w:tcW w:w="3397" w:type="dxa"/>
            <w:gridSpan w:val="2"/>
            <w:tcBorders>
              <w:top w:val="single" w:sz="4" w:space="0" w:color="auto"/>
            </w:tcBorders>
            <w:noWrap/>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0F4CD6">
        <w:trPr>
          <w:trHeight w:val="757"/>
          <w:tblHeader/>
          <w:jc w:val="center"/>
        </w:trPr>
        <w:tc>
          <w:tcPr>
            <w:tcW w:w="2122"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0F4CD6">
        <w:trPr>
          <w:trHeight w:hRule="exact" w:val="312"/>
          <w:jc w:val="center"/>
        </w:trPr>
        <w:tc>
          <w:tcPr>
            <w:tcW w:w="2122"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1982.62</w:t>
            </w: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B57895">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1982.62</w:t>
            </w: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B57895">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B57895">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144.37</w:t>
            </w:r>
          </w:p>
        </w:tc>
        <w:tc>
          <w:tcPr>
            <w:tcW w:w="1276" w:type="dxa"/>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144.37</w:t>
            </w: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1838.25</w:t>
            </w:r>
          </w:p>
        </w:tc>
        <w:tc>
          <w:tcPr>
            <w:tcW w:w="1276" w:type="dxa"/>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1838.25</w:t>
            </w: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312"/>
          <w:jc w:val="center"/>
        </w:trPr>
        <w:tc>
          <w:tcPr>
            <w:tcW w:w="2122" w:type="dxa"/>
            <w:noWrap/>
            <w:vAlign w:val="center"/>
          </w:tcPr>
          <w:p w:rsidR="000F4CD6" w:rsidRDefault="000F4CD6">
            <w:pPr>
              <w:widowControl/>
              <w:jc w:val="left"/>
              <w:rPr>
                <w:rFonts w:ascii="仿宋_GB2312" w:eastAsia="仿宋_GB2312" w:hAnsiTheme="minorEastAsia" w:cs="宋体" w:hint="eastAsia"/>
                <w:kern w:val="0"/>
                <w:sz w:val="18"/>
                <w:szCs w:val="18"/>
              </w:rPr>
            </w:pPr>
          </w:p>
        </w:tc>
        <w:tc>
          <w:tcPr>
            <w:tcW w:w="1275"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0F4CD6" w:rsidRDefault="00B57895">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c>
          <w:tcPr>
            <w:tcW w:w="1276" w:type="dxa"/>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hRule="exact" w:val="645"/>
          <w:jc w:val="center"/>
        </w:trPr>
        <w:tc>
          <w:tcPr>
            <w:tcW w:w="2122"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1982.62</w:t>
            </w:r>
          </w:p>
        </w:tc>
        <w:tc>
          <w:tcPr>
            <w:tcW w:w="2694"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0F4CD6" w:rsidRDefault="00B57895">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1982.62</w:t>
            </w:r>
          </w:p>
        </w:tc>
        <w:tc>
          <w:tcPr>
            <w:tcW w:w="1276" w:type="dxa"/>
            <w:vAlign w:val="center"/>
          </w:tcPr>
          <w:p w:rsidR="000F4CD6" w:rsidRDefault="00B57895">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1982.62</w:t>
            </w:r>
          </w:p>
        </w:tc>
        <w:tc>
          <w:tcPr>
            <w:tcW w:w="1276" w:type="dxa"/>
            <w:vAlign w:val="center"/>
          </w:tcPr>
          <w:p w:rsidR="000F4CD6" w:rsidRDefault="000F4CD6">
            <w:pPr>
              <w:widowControl/>
              <w:jc w:val="right"/>
              <w:rPr>
                <w:rFonts w:ascii="仿宋_GB2312" w:eastAsia="仿宋_GB2312" w:hAnsiTheme="minorEastAsia" w:cs="宋体" w:hint="eastAsia"/>
                <w:b/>
                <w:bCs/>
                <w:kern w:val="0"/>
                <w:sz w:val="20"/>
                <w:szCs w:val="20"/>
              </w:rPr>
            </w:pPr>
          </w:p>
        </w:tc>
        <w:tc>
          <w:tcPr>
            <w:tcW w:w="1276" w:type="dxa"/>
            <w:vAlign w:val="center"/>
          </w:tcPr>
          <w:p w:rsidR="000F4CD6" w:rsidRDefault="000F4CD6">
            <w:pPr>
              <w:widowControl/>
              <w:jc w:val="right"/>
              <w:rPr>
                <w:rFonts w:ascii="仿宋_GB2312" w:eastAsia="仿宋_GB2312" w:hAnsiTheme="minorEastAsia" w:cs="宋体" w:hint="eastAsia"/>
                <w:b/>
                <w:bCs/>
                <w:kern w:val="0"/>
                <w:sz w:val="20"/>
                <w:szCs w:val="20"/>
              </w:rPr>
            </w:pPr>
          </w:p>
        </w:tc>
      </w:tr>
    </w:tbl>
    <w:p w:rsidR="000F4CD6" w:rsidRDefault="00B57895">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表5</w:t>
      </w:r>
    </w:p>
    <w:p w:rsidR="000F4CD6" w:rsidRDefault="00B57895">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0F4CD6">
        <w:trPr>
          <w:trHeight w:val="170"/>
          <w:jc w:val="center"/>
        </w:trPr>
        <w:tc>
          <w:tcPr>
            <w:tcW w:w="8505" w:type="dxa"/>
            <w:noWrap/>
            <w:vAlign w:val="bottom"/>
          </w:tcPr>
          <w:p w:rsidR="000F4CD6" w:rsidRDefault="00B5789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vAlign w:val="bottom"/>
          </w:tcPr>
          <w:p w:rsidR="000F4CD6" w:rsidRDefault="00B5789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0F4CD6">
        <w:trPr>
          <w:trHeight w:val="483"/>
          <w:tblHeader/>
          <w:jc w:val="center"/>
        </w:trPr>
        <w:tc>
          <w:tcPr>
            <w:tcW w:w="5382" w:type="dxa"/>
            <w:gridSpan w:val="4"/>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0F4CD6">
        <w:trPr>
          <w:trHeight w:val="510"/>
          <w:tblHeader/>
          <w:jc w:val="center"/>
        </w:trPr>
        <w:tc>
          <w:tcPr>
            <w:tcW w:w="2236" w:type="dxa"/>
            <w:gridSpan w:val="3"/>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0F4CD6">
        <w:trPr>
          <w:trHeight w:val="416"/>
          <w:tblHeader/>
          <w:jc w:val="center"/>
        </w:trPr>
        <w:tc>
          <w:tcPr>
            <w:tcW w:w="758"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144.37</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144.37</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144.37</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144.37</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96.25</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96.25</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48.12</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48.12</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1838.25</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993.73</w:t>
            </w:r>
          </w:p>
        </w:tc>
        <w:tc>
          <w:tcPr>
            <w:tcW w:w="1701"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844.52</w:t>
            </w: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卫生健康管理事务</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416.19</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386.19</w:t>
            </w:r>
          </w:p>
        </w:tc>
        <w:tc>
          <w:tcPr>
            <w:tcW w:w="1701"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30.00</w:t>
            </w: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386.19</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386.19</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其他卫生健康管理事务支出</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30.00</w:t>
            </w:r>
          </w:p>
        </w:tc>
        <w:tc>
          <w:tcPr>
            <w:tcW w:w="1276"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1701"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30.00</w:t>
            </w: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基层医疗卫生机构</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605.14</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605.14</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乡镇卫生院</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605.14</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605.14</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计划生育事务</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280.12</w:t>
            </w:r>
          </w:p>
        </w:tc>
        <w:tc>
          <w:tcPr>
            <w:tcW w:w="1276"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1701"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280.12</w:t>
            </w: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17</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计划生育服务</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280.12</w:t>
            </w:r>
          </w:p>
        </w:tc>
        <w:tc>
          <w:tcPr>
            <w:tcW w:w="1276"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1701"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280.12</w:t>
            </w: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276"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701"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19</w:t>
            </w: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育幼服务</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534.40</w:t>
            </w:r>
          </w:p>
        </w:tc>
        <w:tc>
          <w:tcPr>
            <w:tcW w:w="1276"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1701"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534.40</w:t>
            </w:r>
          </w:p>
        </w:tc>
      </w:tr>
      <w:tr w:rsidR="000F4CD6">
        <w:trPr>
          <w:trHeight w:val="340"/>
          <w:jc w:val="center"/>
        </w:trPr>
        <w:tc>
          <w:tcPr>
            <w:tcW w:w="758"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19</w:t>
            </w:r>
          </w:p>
        </w:tc>
        <w:tc>
          <w:tcPr>
            <w:tcW w:w="769"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育儿补贴</w:t>
            </w:r>
          </w:p>
        </w:tc>
        <w:tc>
          <w:tcPr>
            <w:tcW w:w="1559"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534.40</w:t>
            </w:r>
          </w:p>
        </w:tc>
        <w:tc>
          <w:tcPr>
            <w:tcW w:w="1276"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c>
          <w:tcPr>
            <w:tcW w:w="1701"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534.40</w:t>
            </w:r>
          </w:p>
        </w:tc>
      </w:tr>
      <w:tr w:rsidR="000F4CD6">
        <w:trPr>
          <w:trHeight w:val="340"/>
          <w:jc w:val="center"/>
        </w:trPr>
        <w:tc>
          <w:tcPr>
            <w:tcW w:w="758" w:type="dxa"/>
            <w:vAlign w:val="center"/>
          </w:tcPr>
          <w:p w:rsidR="000F4CD6" w:rsidRDefault="000F4CD6">
            <w:pPr>
              <w:widowControl/>
              <w:jc w:val="center"/>
              <w:rPr>
                <w:rFonts w:ascii="仿宋_GB2312" w:eastAsia="仿宋_GB2312" w:hAnsiTheme="minorEastAsia" w:cs="宋体" w:hint="eastAsia"/>
                <w:kern w:val="0"/>
                <w:sz w:val="20"/>
                <w:szCs w:val="20"/>
              </w:rPr>
            </w:pPr>
          </w:p>
        </w:tc>
        <w:tc>
          <w:tcPr>
            <w:tcW w:w="709" w:type="dxa"/>
            <w:vAlign w:val="center"/>
          </w:tcPr>
          <w:p w:rsidR="000F4CD6" w:rsidRDefault="000F4CD6">
            <w:pPr>
              <w:widowControl/>
              <w:jc w:val="center"/>
              <w:rPr>
                <w:rFonts w:ascii="仿宋_GB2312" w:eastAsia="仿宋_GB2312" w:hAnsiTheme="minorEastAsia" w:cs="宋体" w:hint="eastAsia"/>
                <w:color w:val="000000"/>
                <w:kern w:val="0"/>
                <w:sz w:val="20"/>
                <w:szCs w:val="20"/>
              </w:rPr>
            </w:pPr>
          </w:p>
        </w:tc>
        <w:tc>
          <w:tcPr>
            <w:tcW w:w="769" w:type="dxa"/>
            <w:vAlign w:val="center"/>
          </w:tcPr>
          <w:p w:rsidR="000F4CD6" w:rsidRDefault="000F4CD6">
            <w:pPr>
              <w:widowControl/>
              <w:jc w:val="center"/>
              <w:rPr>
                <w:rFonts w:ascii="仿宋_GB2312" w:eastAsia="仿宋_GB2312" w:hAnsiTheme="minorEastAsia" w:cs="宋体" w:hint="eastAsia"/>
                <w:color w:val="000000"/>
                <w:kern w:val="0"/>
                <w:sz w:val="20"/>
                <w:szCs w:val="20"/>
              </w:rPr>
            </w:pPr>
          </w:p>
        </w:tc>
        <w:tc>
          <w:tcPr>
            <w:tcW w:w="3146"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1982.62</w:t>
            </w:r>
          </w:p>
        </w:tc>
        <w:tc>
          <w:tcPr>
            <w:tcW w:w="1276"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1138.10</w:t>
            </w:r>
          </w:p>
        </w:tc>
        <w:tc>
          <w:tcPr>
            <w:tcW w:w="1701"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844.52</w:t>
            </w:r>
          </w:p>
        </w:tc>
      </w:tr>
    </w:tbl>
    <w:p w:rsidR="000F4CD6" w:rsidRDefault="00B57895">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表6</w:t>
      </w:r>
    </w:p>
    <w:p w:rsidR="000F4CD6" w:rsidRDefault="00B57895">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0F4CD6">
        <w:trPr>
          <w:trHeight w:val="170"/>
          <w:jc w:val="center"/>
        </w:trPr>
        <w:tc>
          <w:tcPr>
            <w:tcW w:w="8505" w:type="dxa"/>
            <w:noWrap/>
            <w:vAlign w:val="bottom"/>
          </w:tcPr>
          <w:p w:rsidR="000F4CD6" w:rsidRDefault="00B57895">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vAlign w:val="bottom"/>
          </w:tcPr>
          <w:p w:rsidR="000F4CD6" w:rsidRDefault="00B57895">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0F4CD6">
        <w:trPr>
          <w:trHeight w:val="390"/>
          <w:tblHeader/>
          <w:jc w:val="center"/>
        </w:trPr>
        <w:tc>
          <w:tcPr>
            <w:tcW w:w="5098" w:type="dxa"/>
            <w:gridSpan w:val="3"/>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0F4CD6">
        <w:trPr>
          <w:trHeight w:val="339"/>
          <w:tblHeader/>
          <w:jc w:val="center"/>
        </w:trPr>
        <w:tc>
          <w:tcPr>
            <w:tcW w:w="1980" w:type="dxa"/>
            <w:gridSpan w:val="2"/>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0F4CD6">
        <w:trPr>
          <w:trHeight w:val="270"/>
          <w:tblHeader/>
          <w:jc w:val="center"/>
        </w:trPr>
        <w:tc>
          <w:tcPr>
            <w:tcW w:w="988"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990.29</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990.29</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185.22</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185.22</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315.34</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315.34</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122.84</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122.84</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92.14</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92.14</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96.25</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96.25</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48.12</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48.12</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41.38</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41.38</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2.79</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2.79</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83.81</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83.81</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81.16</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81.16</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0.30</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0.30</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51.30</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51.30</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5.32</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5.32</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12.86</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12.86</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w:t>
            </w:r>
          </w:p>
        </w:tc>
        <w:tc>
          <w:tcPr>
            <w:tcW w:w="1417" w:type="dxa"/>
            <w:vAlign w:val="center"/>
          </w:tcPr>
          <w:p w:rsidR="000F4CD6" w:rsidRDefault="000F4CD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w:t>
            </w: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0F4CD6" w:rsidRDefault="000F4CD6">
            <w:pPr>
              <w:widowControl/>
              <w:jc w:val="center"/>
              <w:rPr>
                <w:rFonts w:ascii="仿宋_GB2312" w:eastAsia="仿宋_GB2312" w:hAnsiTheme="minorEastAsia" w:cs="宋体" w:hint="eastAsia"/>
                <w:color w:val="000000"/>
                <w:kern w:val="0"/>
                <w:sz w:val="18"/>
                <w:szCs w:val="18"/>
              </w:rPr>
            </w:pP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66.65</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66.65</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60.92</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60.92</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3.31</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3.31</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0F4CD6" w:rsidRDefault="00B57895">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0F4CD6" w:rsidRDefault="00B57895">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2.42</w:t>
            </w:r>
          </w:p>
        </w:tc>
        <w:tc>
          <w:tcPr>
            <w:tcW w:w="1417" w:type="dxa"/>
            <w:vAlign w:val="center"/>
          </w:tcPr>
          <w:p w:rsidR="000F4CD6" w:rsidRDefault="00B57895">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2.42</w:t>
            </w:r>
          </w:p>
        </w:tc>
        <w:tc>
          <w:tcPr>
            <w:tcW w:w="1418" w:type="dxa"/>
            <w:vAlign w:val="center"/>
          </w:tcPr>
          <w:p w:rsidR="000F4CD6" w:rsidRDefault="000F4CD6">
            <w:pPr>
              <w:widowControl/>
              <w:jc w:val="right"/>
              <w:rPr>
                <w:rFonts w:ascii="仿宋_GB2312" w:eastAsia="仿宋_GB2312" w:hAnsiTheme="minorEastAsia" w:cs="宋体" w:hint="eastAsia"/>
                <w:color w:val="000000"/>
                <w:kern w:val="0"/>
                <w:sz w:val="18"/>
                <w:szCs w:val="18"/>
              </w:rPr>
            </w:pPr>
          </w:p>
        </w:tc>
      </w:tr>
      <w:tr w:rsidR="000F4CD6">
        <w:trPr>
          <w:trHeight w:val="340"/>
          <w:jc w:val="center"/>
        </w:trPr>
        <w:tc>
          <w:tcPr>
            <w:tcW w:w="988" w:type="dxa"/>
            <w:vAlign w:val="center"/>
          </w:tcPr>
          <w:p w:rsidR="000F4CD6" w:rsidRDefault="000F4CD6">
            <w:pPr>
              <w:widowControl/>
              <w:jc w:val="center"/>
              <w:rPr>
                <w:rFonts w:ascii="仿宋_GB2312" w:eastAsia="仿宋_GB2312" w:hAnsiTheme="minorEastAsia" w:cs="宋体" w:hint="eastAsia"/>
                <w:color w:val="000000"/>
                <w:kern w:val="0"/>
                <w:sz w:val="20"/>
                <w:szCs w:val="20"/>
              </w:rPr>
            </w:pPr>
          </w:p>
        </w:tc>
        <w:tc>
          <w:tcPr>
            <w:tcW w:w="992" w:type="dxa"/>
            <w:vAlign w:val="center"/>
          </w:tcPr>
          <w:p w:rsidR="000F4CD6" w:rsidRDefault="000F4CD6">
            <w:pPr>
              <w:widowControl/>
              <w:jc w:val="center"/>
              <w:rPr>
                <w:rFonts w:ascii="仿宋_GB2312" w:eastAsia="仿宋_GB2312" w:hAnsiTheme="minorEastAsia" w:cs="宋体" w:hint="eastAsia"/>
                <w:color w:val="000000"/>
                <w:kern w:val="0"/>
                <w:sz w:val="20"/>
                <w:szCs w:val="20"/>
              </w:rPr>
            </w:pPr>
          </w:p>
        </w:tc>
        <w:tc>
          <w:tcPr>
            <w:tcW w:w="3118" w:type="dxa"/>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1138.10</w:t>
            </w:r>
          </w:p>
        </w:tc>
        <w:tc>
          <w:tcPr>
            <w:tcW w:w="1417" w:type="dxa"/>
            <w:vAlign w:val="center"/>
          </w:tcPr>
          <w:p w:rsidR="000F4CD6" w:rsidRDefault="00B57895">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1056.94</w:t>
            </w:r>
          </w:p>
        </w:tc>
        <w:tc>
          <w:tcPr>
            <w:tcW w:w="1418" w:type="dxa"/>
            <w:vAlign w:val="center"/>
          </w:tcPr>
          <w:p w:rsidR="000F4CD6" w:rsidRDefault="00B57895">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81.16</w:t>
            </w:r>
          </w:p>
        </w:tc>
      </w:tr>
    </w:tbl>
    <w:p w:rsidR="000F4CD6" w:rsidRDefault="000F4CD6">
      <w:pPr>
        <w:widowControl/>
        <w:spacing w:line="20" w:lineRule="exact"/>
        <w:jc w:val="left"/>
        <w:rPr>
          <w:rFonts w:asciiTheme="minorEastAsia" w:eastAsiaTheme="minorEastAsia" w:hAnsiTheme="minorEastAsia" w:cs="宋体" w:hint="eastAsia"/>
          <w:kern w:val="0"/>
          <w:sz w:val="18"/>
          <w:szCs w:val="18"/>
        </w:rPr>
      </w:pPr>
    </w:p>
    <w:p w:rsidR="000F4CD6" w:rsidRDefault="000F4CD6">
      <w:pPr>
        <w:widowControl/>
        <w:spacing w:line="20" w:lineRule="exact"/>
        <w:jc w:val="left"/>
        <w:rPr>
          <w:rFonts w:ascii="宋体" w:hAnsi="宋体" w:hint="eastAsia"/>
          <w:bCs/>
          <w:kern w:val="0"/>
          <w:sz w:val="20"/>
          <w:szCs w:val="20"/>
        </w:rPr>
        <w:sectPr w:rsidR="000F4CD6">
          <w:pgSz w:w="11906" w:h="16838"/>
          <w:pgMar w:top="1134" w:right="1134" w:bottom="1134" w:left="1134" w:header="851" w:footer="992" w:gutter="0"/>
          <w:cols w:space="425"/>
          <w:docGrid w:type="lines" w:linePitch="312"/>
        </w:sectPr>
      </w:pP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表7</w:t>
      </w:r>
    </w:p>
    <w:p w:rsidR="000F4CD6" w:rsidRDefault="00B57895">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0F4CD6">
        <w:trPr>
          <w:trHeight w:val="405"/>
          <w:jc w:val="center"/>
        </w:trPr>
        <w:tc>
          <w:tcPr>
            <w:tcW w:w="13467" w:type="dxa"/>
            <w:tcBorders>
              <w:top w:val="nil"/>
              <w:left w:val="nil"/>
              <w:bottom w:val="nil"/>
              <w:right w:val="nil"/>
            </w:tcBorders>
            <w:noWrap/>
            <w:vAlign w:val="bottom"/>
          </w:tcPr>
          <w:p w:rsidR="000F4CD6" w:rsidRDefault="00B57895">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7" w:type="dxa"/>
            <w:tcBorders>
              <w:top w:val="nil"/>
              <w:left w:val="nil"/>
              <w:bottom w:val="nil"/>
              <w:right w:val="nil"/>
            </w:tcBorders>
            <w:vAlign w:val="bottom"/>
          </w:tcPr>
          <w:p w:rsidR="000F4CD6" w:rsidRDefault="00B57895">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0F4CD6" w:rsidRDefault="000F4CD6">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0F4CD6">
        <w:trPr>
          <w:trHeight w:val="630"/>
          <w:tblHeader/>
          <w:jc w:val="center"/>
        </w:trPr>
        <w:tc>
          <w:tcPr>
            <w:tcW w:w="2122" w:type="dxa"/>
            <w:gridSpan w:val="3"/>
            <w:tcBorders>
              <w:top w:val="single" w:sz="4" w:space="0" w:color="auto"/>
            </w:tcBorders>
            <w:noWrap/>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0F4CD6" w:rsidRDefault="00B57895">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0F4CD6">
        <w:trPr>
          <w:trHeight w:val="1367"/>
          <w:tblHeader/>
          <w:jc w:val="center"/>
        </w:trPr>
        <w:tc>
          <w:tcPr>
            <w:tcW w:w="704" w:type="dxa"/>
            <w:noWrap/>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0F4CD6" w:rsidRDefault="00B57895">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2127"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1417"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9"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9"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8"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9"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851"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8"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851"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9"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8"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c>
          <w:tcPr>
            <w:tcW w:w="709" w:type="dxa"/>
            <w:vMerge/>
          </w:tcPr>
          <w:p w:rsidR="000F4CD6" w:rsidRDefault="000F4CD6">
            <w:pPr>
              <w:widowControl/>
              <w:jc w:val="left"/>
              <w:rPr>
                <w:rFonts w:ascii="仿宋_GB2312" w:eastAsia="仿宋_GB2312" w:hAnsiTheme="minorEastAsia" w:cs="宋体" w:hint="eastAsia"/>
                <w:b/>
                <w:bCs/>
                <w:color w:val="000000"/>
                <w:kern w:val="0"/>
                <w:sz w:val="20"/>
                <w:szCs w:val="20"/>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卫生健康支出</w:t>
            </w:r>
          </w:p>
        </w:tc>
        <w:tc>
          <w:tcPr>
            <w:tcW w:w="2127"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844.52</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814.52</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w:t>
            </w: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卫生健康管理事务</w:t>
            </w:r>
          </w:p>
        </w:tc>
        <w:tc>
          <w:tcPr>
            <w:tcW w:w="2127"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w:t>
            </w: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其他卫生健康管理事务支出</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塔什库尔干县阿巴提镇等十二个乡镇场全民健康体检中心建设项目(人民医院、大同标段)施工项目</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其他卫生健康管理事务支出</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塔什库尔干县方舱医院建设项目</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其他卫生健康管理事务支出</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塔什库尔干县方舱隔离点建设项目</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计划生育事务</w:t>
            </w:r>
          </w:p>
        </w:tc>
        <w:tc>
          <w:tcPr>
            <w:tcW w:w="2127"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280.12</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280.12</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其他项目9</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1.73</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1.73</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计生宣传员工资县级配套部分</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10.32</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10.32</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其他项目2</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42.24</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42.24</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其他项目6</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8.61</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8.61</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其他项目7</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5.04</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5.04</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其他项目8</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17</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计划生育服务</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其他项目5</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211.18</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211.18</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育幼服务</w:t>
            </w:r>
          </w:p>
        </w:tc>
        <w:tc>
          <w:tcPr>
            <w:tcW w:w="2127" w:type="dxa"/>
            <w:vAlign w:val="center"/>
          </w:tcPr>
          <w:p w:rsidR="000F4CD6" w:rsidRDefault="000F4CD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534.40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534.40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育儿补贴</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其他项目3</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510.44</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510.44</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育儿补贴</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其他项目4</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8.96</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8.96</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210</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19</w:t>
            </w:r>
          </w:p>
        </w:tc>
        <w:tc>
          <w:tcPr>
            <w:tcW w:w="709"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育儿补贴</w:t>
            </w:r>
          </w:p>
        </w:tc>
        <w:tc>
          <w:tcPr>
            <w:tcW w:w="212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其他项目1</w:t>
            </w:r>
          </w:p>
        </w:tc>
        <w:tc>
          <w:tcPr>
            <w:tcW w:w="1417" w:type="dxa"/>
            <w:vAlign w:val="center"/>
          </w:tcPr>
          <w:p w:rsidR="000F4CD6" w:rsidRDefault="00B57895">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B57895">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15.00</w:t>
            </w: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bCs/>
                <w:color w:val="000000" w:themeColor="text1"/>
                <w:sz w:val="18"/>
                <w:szCs w:val="18"/>
              </w:rPr>
            </w:pPr>
          </w:p>
        </w:tc>
      </w:tr>
      <w:tr w:rsidR="000F4CD6">
        <w:trPr>
          <w:trHeight w:val="482"/>
          <w:jc w:val="center"/>
        </w:trPr>
        <w:tc>
          <w:tcPr>
            <w:tcW w:w="704" w:type="dxa"/>
            <w:vAlign w:val="center"/>
          </w:tcPr>
          <w:p w:rsidR="000F4CD6" w:rsidRDefault="000F4CD6">
            <w:pPr>
              <w:widowControl/>
              <w:jc w:val="center"/>
              <w:outlineLvl w:val="1"/>
              <w:rPr>
                <w:rFonts w:ascii="仿宋_GB2312" w:eastAsia="仿宋_GB2312" w:hAnsiTheme="minorEastAsia" w:hint="eastAsia"/>
                <w:kern w:val="0"/>
                <w:sz w:val="20"/>
                <w:szCs w:val="20"/>
              </w:rPr>
            </w:pPr>
          </w:p>
        </w:tc>
        <w:tc>
          <w:tcPr>
            <w:tcW w:w="709" w:type="dxa"/>
            <w:vAlign w:val="center"/>
          </w:tcPr>
          <w:p w:rsidR="000F4CD6" w:rsidRDefault="000F4CD6">
            <w:pPr>
              <w:widowControl/>
              <w:jc w:val="center"/>
              <w:outlineLvl w:val="1"/>
              <w:rPr>
                <w:rFonts w:ascii="仿宋_GB2312" w:eastAsia="仿宋_GB2312" w:hAnsiTheme="minorEastAsia" w:hint="eastAsia"/>
                <w:kern w:val="0"/>
                <w:sz w:val="20"/>
                <w:szCs w:val="20"/>
              </w:rPr>
            </w:pPr>
          </w:p>
        </w:tc>
        <w:tc>
          <w:tcPr>
            <w:tcW w:w="709" w:type="dxa"/>
            <w:vAlign w:val="center"/>
          </w:tcPr>
          <w:p w:rsidR="000F4CD6" w:rsidRDefault="000F4CD6">
            <w:pPr>
              <w:widowControl/>
              <w:jc w:val="center"/>
              <w:outlineLvl w:val="1"/>
              <w:rPr>
                <w:rFonts w:ascii="仿宋_GB2312" w:eastAsia="仿宋_GB2312" w:hAnsiTheme="minorEastAsia" w:hint="eastAsia"/>
                <w:kern w:val="0"/>
                <w:sz w:val="20"/>
                <w:szCs w:val="20"/>
              </w:rPr>
            </w:pPr>
          </w:p>
        </w:tc>
        <w:tc>
          <w:tcPr>
            <w:tcW w:w="1842" w:type="dxa"/>
            <w:vAlign w:val="center"/>
          </w:tcPr>
          <w:p w:rsidR="000F4CD6" w:rsidRDefault="000F4CD6">
            <w:pPr>
              <w:widowControl/>
              <w:jc w:val="center"/>
              <w:outlineLvl w:val="1"/>
              <w:rPr>
                <w:rFonts w:ascii="仿宋_GB2312" w:eastAsia="仿宋_GB2312" w:hAnsiTheme="minorEastAsia" w:hint="eastAsia"/>
                <w:kern w:val="0"/>
                <w:sz w:val="20"/>
                <w:szCs w:val="20"/>
              </w:rPr>
            </w:pPr>
          </w:p>
        </w:tc>
        <w:tc>
          <w:tcPr>
            <w:tcW w:w="2127" w:type="dxa"/>
            <w:vAlign w:val="center"/>
          </w:tcPr>
          <w:p w:rsidR="000F4CD6" w:rsidRDefault="00B5789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0F4CD6" w:rsidRDefault="00B5789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844.52</w:t>
            </w:r>
          </w:p>
        </w:tc>
        <w:tc>
          <w:tcPr>
            <w:tcW w:w="709" w:type="dxa"/>
            <w:vAlign w:val="center"/>
          </w:tcPr>
          <w:p w:rsidR="000F4CD6" w:rsidRDefault="000F4CD6">
            <w:pPr>
              <w:widowControl/>
              <w:jc w:val="center"/>
              <w:outlineLvl w:val="1"/>
              <w:rPr>
                <w:rFonts w:ascii="仿宋_GB2312" w:eastAsia="仿宋_GB2312" w:hAnsiTheme="minorEastAsia" w:hint="eastAsia"/>
                <w:b/>
                <w:bCs/>
                <w:kern w:val="0"/>
                <w:sz w:val="20"/>
                <w:szCs w:val="20"/>
              </w:rPr>
            </w:pPr>
          </w:p>
        </w:tc>
        <w:tc>
          <w:tcPr>
            <w:tcW w:w="709" w:type="dxa"/>
            <w:vAlign w:val="center"/>
          </w:tcPr>
          <w:p w:rsidR="000F4CD6" w:rsidRDefault="000F4CD6">
            <w:pPr>
              <w:widowControl/>
              <w:jc w:val="center"/>
              <w:outlineLvl w:val="1"/>
              <w:rPr>
                <w:rFonts w:ascii="仿宋_GB2312" w:eastAsia="仿宋_GB2312" w:hAnsiTheme="minorEastAsia" w:hint="eastAsia"/>
                <w:b/>
                <w:bCs/>
                <w:kern w:val="0"/>
                <w:sz w:val="20"/>
                <w:szCs w:val="20"/>
              </w:rPr>
            </w:pPr>
          </w:p>
        </w:tc>
        <w:tc>
          <w:tcPr>
            <w:tcW w:w="708" w:type="dxa"/>
            <w:vAlign w:val="center"/>
          </w:tcPr>
          <w:p w:rsidR="000F4CD6" w:rsidRDefault="00B5789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814.52</w:t>
            </w:r>
          </w:p>
        </w:tc>
        <w:tc>
          <w:tcPr>
            <w:tcW w:w="709" w:type="dxa"/>
            <w:vAlign w:val="center"/>
          </w:tcPr>
          <w:p w:rsidR="000F4CD6" w:rsidRDefault="000F4CD6">
            <w:pPr>
              <w:widowControl/>
              <w:jc w:val="center"/>
              <w:outlineLvl w:val="1"/>
              <w:rPr>
                <w:rFonts w:ascii="仿宋_GB2312" w:eastAsia="仿宋_GB2312" w:hAnsiTheme="minorEastAsia" w:hint="eastAsia"/>
                <w:b/>
                <w:bCs/>
                <w:kern w:val="0"/>
                <w:sz w:val="20"/>
                <w:szCs w:val="20"/>
              </w:rPr>
            </w:pPr>
          </w:p>
        </w:tc>
        <w:tc>
          <w:tcPr>
            <w:tcW w:w="851" w:type="dxa"/>
            <w:vAlign w:val="center"/>
          </w:tcPr>
          <w:p w:rsidR="000F4CD6" w:rsidRDefault="000F4CD6">
            <w:pPr>
              <w:widowControl/>
              <w:jc w:val="center"/>
              <w:outlineLvl w:val="1"/>
              <w:rPr>
                <w:rFonts w:ascii="仿宋_GB2312" w:eastAsia="仿宋_GB2312" w:hAnsiTheme="minorEastAsia" w:hint="eastAsia"/>
                <w:b/>
                <w:bCs/>
                <w:kern w:val="0"/>
                <w:sz w:val="20"/>
                <w:szCs w:val="20"/>
              </w:rPr>
            </w:pPr>
          </w:p>
        </w:tc>
        <w:tc>
          <w:tcPr>
            <w:tcW w:w="708" w:type="dxa"/>
            <w:vAlign w:val="center"/>
          </w:tcPr>
          <w:p w:rsidR="000F4CD6" w:rsidRDefault="00B57895">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30.00</w:t>
            </w:r>
          </w:p>
        </w:tc>
        <w:tc>
          <w:tcPr>
            <w:tcW w:w="851" w:type="dxa"/>
            <w:vAlign w:val="center"/>
          </w:tcPr>
          <w:p w:rsidR="000F4CD6" w:rsidRDefault="000F4CD6">
            <w:pPr>
              <w:widowControl/>
              <w:jc w:val="center"/>
              <w:outlineLvl w:val="1"/>
              <w:rPr>
                <w:rFonts w:ascii="仿宋_GB2312" w:eastAsia="仿宋_GB2312" w:hAnsiTheme="minorEastAsia" w:hint="eastAsia"/>
                <w:b/>
                <w:bCs/>
                <w:kern w:val="0"/>
                <w:sz w:val="20"/>
                <w:szCs w:val="20"/>
              </w:rPr>
            </w:pPr>
          </w:p>
        </w:tc>
        <w:tc>
          <w:tcPr>
            <w:tcW w:w="709" w:type="dxa"/>
            <w:vAlign w:val="center"/>
          </w:tcPr>
          <w:p w:rsidR="000F4CD6" w:rsidRDefault="000F4CD6">
            <w:pPr>
              <w:widowControl/>
              <w:jc w:val="center"/>
              <w:outlineLvl w:val="1"/>
              <w:rPr>
                <w:rFonts w:ascii="仿宋_GB2312" w:eastAsia="仿宋_GB2312" w:hAnsiTheme="minorEastAsia" w:hint="eastAsia"/>
                <w:b/>
                <w:bCs/>
                <w:kern w:val="0"/>
                <w:sz w:val="20"/>
                <w:szCs w:val="20"/>
              </w:rPr>
            </w:pPr>
          </w:p>
        </w:tc>
        <w:tc>
          <w:tcPr>
            <w:tcW w:w="708" w:type="dxa"/>
            <w:vAlign w:val="center"/>
          </w:tcPr>
          <w:p w:rsidR="000F4CD6" w:rsidRDefault="000F4CD6">
            <w:pPr>
              <w:widowControl/>
              <w:jc w:val="center"/>
              <w:outlineLvl w:val="1"/>
              <w:rPr>
                <w:rFonts w:ascii="仿宋_GB2312" w:eastAsia="仿宋_GB2312" w:hAnsiTheme="minorEastAsia" w:hint="eastAsia"/>
                <w:b/>
                <w:bCs/>
                <w:kern w:val="0"/>
                <w:sz w:val="20"/>
                <w:szCs w:val="20"/>
              </w:rPr>
            </w:pPr>
          </w:p>
        </w:tc>
        <w:tc>
          <w:tcPr>
            <w:tcW w:w="709" w:type="dxa"/>
            <w:vAlign w:val="center"/>
          </w:tcPr>
          <w:p w:rsidR="000F4CD6" w:rsidRDefault="000F4CD6">
            <w:pPr>
              <w:pStyle w:val="HTML"/>
              <w:shd w:val="clear" w:color="auto" w:fill="FFFFFF"/>
              <w:jc w:val="center"/>
              <w:rPr>
                <w:rFonts w:ascii="仿宋_GB2312" w:eastAsia="仿宋_GB2312" w:hAnsi="Courier New" w:cs="Courier New" w:hint="default"/>
                <w:color w:val="080808"/>
                <w:sz w:val="20"/>
                <w:szCs w:val="20"/>
              </w:rPr>
            </w:pPr>
          </w:p>
        </w:tc>
      </w:tr>
    </w:tbl>
    <w:p w:rsidR="000F4CD6" w:rsidRDefault="000F4CD6">
      <w:pPr>
        <w:widowControl/>
        <w:spacing w:line="20" w:lineRule="exact"/>
        <w:jc w:val="left"/>
        <w:rPr>
          <w:rFonts w:asciiTheme="minorEastAsia" w:eastAsiaTheme="minorEastAsia" w:hAnsiTheme="minorEastAsia" w:cs="宋体" w:hint="eastAsia"/>
          <w:kern w:val="0"/>
          <w:sz w:val="18"/>
          <w:szCs w:val="18"/>
        </w:rPr>
      </w:pPr>
    </w:p>
    <w:p w:rsidR="000F4CD6" w:rsidRDefault="000F4CD6">
      <w:pPr>
        <w:widowControl/>
        <w:spacing w:line="20" w:lineRule="exact"/>
        <w:jc w:val="left"/>
        <w:rPr>
          <w:rFonts w:ascii="仿宋_GB2312" w:eastAsia="仿宋_GB2312" w:hAnsi="宋体" w:cs="宋体" w:hint="eastAsia"/>
          <w:b/>
          <w:bCs/>
          <w:color w:val="000000"/>
          <w:kern w:val="0"/>
          <w:sz w:val="18"/>
          <w:szCs w:val="18"/>
        </w:rPr>
        <w:sectPr w:rsidR="000F4CD6">
          <w:pgSz w:w="16838" w:h="11906" w:orient="landscape"/>
          <w:pgMar w:top="1134" w:right="1134" w:bottom="1134" w:left="1134" w:header="851" w:footer="992" w:gutter="0"/>
          <w:cols w:space="425"/>
          <w:docGrid w:type="lines" w:linePitch="312"/>
        </w:sectPr>
      </w:pP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表8</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0F4CD6">
        <w:trPr>
          <w:trHeight w:val="357"/>
          <w:jc w:val="center"/>
        </w:trPr>
        <w:tc>
          <w:tcPr>
            <w:tcW w:w="8647" w:type="dxa"/>
            <w:vAlign w:val="bottom"/>
          </w:tcPr>
          <w:p w:rsidR="000F4CD6" w:rsidRDefault="00B5789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vAlign w:val="bottom"/>
          </w:tcPr>
          <w:p w:rsidR="000F4CD6" w:rsidRDefault="00B5789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0F4CD6">
        <w:trPr>
          <w:trHeight w:val="465"/>
          <w:tblHeader/>
          <w:jc w:val="center"/>
        </w:trPr>
        <w:tc>
          <w:tcPr>
            <w:tcW w:w="5524" w:type="dxa"/>
            <w:gridSpan w:val="4"/>
            <w:tcBorders>
              <w:top w:val="single" w:sz="4" w:space="0" w:color="auto"/>
            </w:tcBorders>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0F4CD6">
        <w:trPr>
          <w:trHeight w:val="794"/>
          <w:tblHeader/>
          <w:jc w:val="center"/>
        </w:trPr>
        <w:tc>
          <w:tcPr>
            <w:tcW w:w="2122" w:type="dxa"/>
            <w:gridSpan w:val="3"/>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0F4CD6">
        <w:trPr>
          <w:trHeight w:hRule="exact" w:val="794"/>
          <w:tblHeader/>
          <w:jc w:val="center"/>
        </w:trPr>
        <w:tc>
          <w:tcPr>
            <w:tcW w:w="704"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0F4CD6" w:rsidRDefault="000F4CD6">
            <w:pPr>
              <w:widowControl/>
              <w:jc w:val="left"/>
              <w:rPr>
                <w:rFonts w:ascii="仿宋_GB2312" w:eastAsia="仿宋_GB2312" w:hAnsiTheme="minorEastAsia" w:cs="宋体" w:hint="eastAsia"/>
                <w:b/>
                <w:bCs/>
                <w:kern w:val="0"/>
                <w:sz w:val="20"/>
                <w:szCs w:val="20"/>
              </w:rPr>
            </w:pPr>
          </w:p>
        </w:tc>
        <w:tc>
          <w:tcPr>
            <w:tcW w:w="1134" w:type="dxa"/>
            <w:vMerge/>
            <w:vAlign w:val="center"/>
          </w:tcPr>
          <w:p w:rsidR="000F4CD6" w:rsidRDefault="000F4CD6">
            <w:pPr>
              <w:widowControl/>
              <w:jc w:val="left"/>
              <w:rPr>
                <w:rFonts w:ascii="仿宋_GB2312" w:eastAsia="仿宋_GB2312" w:hAnsiTheme="minorEastAsia" w:cs="宋体" w:hint="eastAsia"/>
                <w:b/>
                <w:bCs/>
                <w:kern w:val="0"/>
                <w:sz w:val="20"/>
                <w:szCs w:val="20"/>
              </w:rPr>
            </w:pPr>
          </w:p>
        </w:tc>
        <w:tc>
          <w:tcPr>
            <w:tcW w:w="1134" w:type="dxa"/>
            <w:vAlign w:val="center"/>
          </w:tcPr>
          <w:p w:rsidR="000F4CD6" w:rsidRDefault="00B5789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0F4CD6" w:rsidRDefault="00B5789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0F4CD6" w:rsidRDefault="000F4CD6">
            <w:pPr>
              <w:widowControl/>
              <w:jc w:val="left"/>
              <w:rPr>
                <w:rFonts w:ascii="仿宋_GB2312" w:eastAsia="仿宋_GB2312" w:hAnsiTheme="minorEastAsia" w:cs="宋体" w:hint="eastAsia"/>
                <w:b/>
                <w:bCs/>
                <w:kern w:val="0"/>
                <w:sz w:val="20"/>
                <w:szCs w:val="20"/>
              </w:rPr>
            </w:pPr>
          </w:p>
        </w:tc>
      </w:tr>
      <w:tr w:rsidR="000F4CD6">
        <w:trPr>
          <w:trHeight w:val="278"/>
          <w:jc w:val="center"/>
        </w:trPr>
        <w:tc>
          <w:tcPr>
            <w:tcW w:w="704" w:type="dxa"/>
            <w:noWrap/>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709" w:type="dxa"/>
            <w:noWrap/>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709" w:type="dxa"/>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3402"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1134"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0F4CD6" w:rsidRDefault="000F4CD6">
            <w:pPr>
              <w:widowControl/>
              <w:jc w:val="center"/>
              <w:rPr>
                <w:rFonts w:ascii="仿宋_GB2312" w:eastAsia="仿宋_GB2312" w:hAnsiTheme="minorEastAsia" w:cs="宋体" w:hint="eastAsia"/>
                <w:b/>
                <w:bCs/>
                <w:kern w:val="0"/>
                <w:sz w:val="20"/>
                <w:szCs w:val="20"/>
              </w:rPr>
            </w:pPr>
          </w:p>
        </w:tc>
      </w:tr>
    </w:tbl>
    <w:p w:rsidR="000F4CD6" w:rsidRDefault="00B57895">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2124A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卫生健康委员会2026年没有使用政府性基金预算拨款安排的支出，政府性基金预算支出情况表为空表。</w:t>
      </w:r>
    </w:p>
    <w:p w:rsidR="000F4CD6" w:rsidRDefault="00B57895">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表9</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0F4CD6">
        <w:trPr>
          <w:trHeight w:val="357"/>
          <w:jc w:val="center"/>
        </w:trPr>
        <w:tc>
          <w:tcPr>
            <w:tcW w:w="8647" w:type="dxa"/>
            <w:vAlign w:val="bottom"/>
          </w:tcPr>
          <w:p w:rsidR="000F4CD6" w:rsidRDefault="00B5789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vAlign w:val="bottom"/>
          </w:tcPr>
          <w:p w:rsidR="000F4CD6" w:rsidRDefault="00B5789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0F4CD6">
        <w:trPr>
          <w:trHeight w:val="465"/>
          <w:tblHeader/>
          <w:jc w:val="center"/>
        </w:trPr>
        <w:tc>
          <w:tcPr>
            <w:tcW w:w="5070" w:type="dxa"/>
            <w:gridSpan w:val="4"/>
            <w:tcBorders>
              <w:top w:val="single" w:sz="4" w:space="0" w:color="auto"/>
            </w:tcBorders>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0F4CD6">
        <w:trPr>
          <w:trHeight w:val="794"/>
          <w:tblHeader/>
          <w:jc w:val="center"/>
        </w:trPr>
        <w:tc>
          <w:tcPr>
            <w:tcW w:w="2122" w:type="dxa"/>
            <w:gridSpan w:val="3"/>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0F4CD6">
        <w:trPr>
          <w:trHeight w:val="794"/>
          <w:tblHeader/>
          <w:jc w:val="center"/>
        </w:trPr>
        <w:tc>
          <w:tcPr>
            <w:tcW w:w="704"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0F4CD6" w:rsidRDefault="000F4CD6">
            <w:pPr>
              <w:widowControl/>
              <w:jc w:val="left"/>
              <w:rPr>
                <w:rFonts w:ascii="仿宋_GB2312" w:eastAsia="仿宋_GB2312" w:hAnsiTheme="minorEastAsia" w:cs="宋体" w:hint="eastAsia"/>
                <w:b/>
                <w:bCs/>
                <w:kern w:val="0"/>
                <w:sz w:val="20"/>
                <w:szCs w:val="20"/>
              </w:rPr>
            </w:pPr>
          </w:p>
        </w:tc>
        <w:tc>
          <w:tcPr>
            <w:tcW w:w="1446" w:type="dxa"/>
            <w:vMerge/>
            <w:vAlign w:val="center"/>
          </w:tcPr>
          <w:p w:rsidR="000F4CD6" w:rsidRDefault="000F4CD6">
            <w:pPr>
              <w:widowControl/>
              <w:jc w:val="left"/>
              <w:rPr>
                <w:rFonts w:ascii="仿宋_GB2312" w:eastAsia="仿宋_GB2312" w:hAnsiTheme="minorEastAsia" w:cs="宋体" w:hint="eastAsia"/>
                <w:b/>
                <w:bCs/>
                <w:kern w:val="0"/>
                <w:sz w:val="20"/>
                <w:szCs w:val="20"/>
              </w:rPr>
            </w:pPr>
          </w:p>
        </w:tc>
        <w:tc>
          <w:tcPr>
            <w:tcW w:w="1134" w:type="dxa"/>
            <w:vAlign w:val="center"/>
          </w:tcPr>
          <w:p w:rsidR="000F4CD6" w:rsidRDefault="00B5789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0F4CD6" w:rsidRDefault="00B57895">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0F4CD6" w:rsidRDefault="000F4CD6">
            <w:pPr>
              <w:widowControl/>
              <w:jc w:val="left"/>
              <w:rPr>
                <w:rFonts w:ascii="仿宋_GB2312" w:eastAsia="仿宋_GB2312" w:hAnsiTheme="minorEastAsia" w:cs="宋体" w:hint="eastAsia"/>
                <w:b/>
                <w:bCs/>
                <w:kern w:val="0"/>
                <w:sz w:val="20"/>
                <w:szCs w:val="20"/>
              </w:rPr>
            </w:pPr>
          </w:p>
        </w:tc>
      </w:tr>
      <w:tr w:rsidR="000F4CD6">
        <w:trPr>
          <w:jc w:val="center"/>
        </w:trPr>
        <w:tc>
          <w:tcPr>
            <w:tcW w:w="704" w:type="dxa"/>
            <w:noWrap/>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709" w:type="dxa"/>
            <w:noWrap/>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709" w:type="dxa"/>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2948"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1134"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0F4CD6" w:rsidRDefault="000F4CD6">
            <w:pPr>
              <w:widowControl/>
              <w:jc w:val="center"/>
              <w:rPr>
                <w:rFonts w:ascii="仿宋_GB2312" w:eastAsia="仿宋_GB2312" w:hAnsiTheme="minorEastAsia" w:cs="宋体" w:hint="eastAsia"/>
                <w:b/>
                <w:bCs/>
                <w:kern w:val="0"/>
                <w:sz w:val="20"/>
                <w:szCs w:val="20"/>
              </w:rPr>
            </w:pPr>
          </w:p>
        </w:tc>
      </w:tr>
    </w:tbl>
    <w:p w:rsidR="000F4CD6" w:rsidRDefault="00B57895">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2124A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卫生健康委员会2026年没有使用国有资本经营预算拨款安排的支出，国有资本经营预算支出情况表为空表。</w:t>
      </w:r>
    </w:p>
    <w:p w:rsidR="000F4CD6" w:rsidRDefault="00B57895">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0F4CD6">
        <w:trPr>
          <w:trHeight w:val="446"/>
          <w:jc w:val="center"/>
        </w:trPr>
        <w:tc>
          <w:tcPr>
            <w:tcW w:w="8505" w:type="dxa"/>
          </w:tcPr>
          <w:p w:rsidR="000F4CD6" w:rsidRDefault="00B5789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tcPr>
          <w:p w:rsidR="000F4CD6" w:rsidRDefault="00B5789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F4CD6">
        <w:trPr>
          <w:trHeight w:val="609"/>
          <w:tblHeader/>
          <w:jc w:val="center"/>
        </w:trPr>
        <w:tc>
          <w:tcPr>
            <w:tcW w:w="3256"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0F4CD6">
        <w:trPr>
          <w:trHeight w:val="338"/>
          <w:tblHeader/>
          <w:jc w:val="center"/>
        </w:trPr>
        <w:tc>
          <w:tcPr>
            <w:tcW w:w="3256" w:type="dxa"/>
            <w:vMerge/>
            <w:vAlign w:val="center"/>
          </w:tcPr>
          <w:p w:rsidR="000F4CD6" w:rsidRDefault="000F4CD6">
            <w:pPr>
              <w:widowControl/>
              <w:jc w:val="center"/>
              <w:rPr>
                <w:rFonts w:ascii="仿宋_GB2312" w:eastAsia="仿宋_GB2312" w:hAnsiTheme="minorEastAsia" w:cs="宋体" w:hint="eastAsia"/>
                <w:b/>
                <w:bCs/>
                <w:kern w:val="0"/>
                <w:sz w:val="24"/>
              </w:rPr>
            </w:pPr>
          </w:p>
        </w:tc>
        <w:tc>
          <w:tcPr>
            <w:tcW w:w="1984" w:type="dxa"/>
            <w:vMerge/>
            <w:vAlign w:val="center"/>
          </w:tcPr>
          <w:p w:rsidR="000F4CD6" w:rsidRDefault="000F4CD6">
            <w:pPr>
              <w:widowControl/>
              <w:jc w:val="center"/>
              <w:rPr>
                <w:rFonts w:ascii="仿宋_GB2312" w:eastAsia="仿宋_GB2312" w:hAnsiTheme="minorEastAsia" w:cs="宋体" w:hint="eastAsia"/>
                <w:b/>
                <w:bCs/>
                <w:kern w:val="0"/>
                <w:sz w:val="24"/>
              </w:rPr>
            </w:pPr>
          </w:p>
        </w:tc>
        <w:tc>
          <w:tcPr>
            <w:tcW w:w="1985"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0F4CD6">
        <w:trPr>
          <w:trHeight w:val="620"/>
          <w:jc w:val="center"/>
        </w:trPr>
        <w:tc>
          <w:tcPr>
            <w:tcW w:w="3256"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0F4CD6" w:rsidRDefault="000F4CD6">
            <w:pPr>
              <w:widowControl/>
              <w:jc w:val="center"/>
              <w:rPr>
                <w:rFonts w:ascii="仿宋_GB2312" w:eastAsia="仿宋_GB2312" w:hAnsiTheme="minorEastAsia" w:cs="宋体" w:hint="eastAsia"/>
                <w:kern w:val="0"/>
                <w:sz w:val="20"/>
                <w:szCs w:val="20"/>
              </w:rPr>
            </w:pPr>
          </w:p>
        </w:tc>
        <w:tc>
          <w:tcPr>
            <w:tcW w:w="1985"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134"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559" w:type="dxa"/>
            <w:vAlign w:val="center"/>
          </w:tcPr>
          <w:p w:rsidR="000F4CD6" w:rsidRDefault="000F4CD6">
            <w:pPr>
              <w:widowControl/>
              <w:jc w:val="center"/>
              <w:rPr>
                <w:rFonts w:ascii="仿宋_GB2312" w:eastAsia="仿宋_GB2312" w:hAnsiTheme="minorEastAsia" w:cs="宋体" w:hint="eastAsia"/>
                <w:kern w:val="0"/>
                <w:sz w:val="18"/>
                <w:szCs w:val="18"/>
              </w:rPr>
            </w:pPr>
          </w:p>
        </w:tc>
      </w:tr>
      <w:tr w:rsidR="000F4CD6">
        <w:trPr>
          <w:trHeight w:val="620"/>
          <w:jc w:val="center"/>
        </w:trPr>
        <w:tc>
          <w:tcPr>
            <w:tcW w:w="3256"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0F4CD6" w:rsidRDefault="000F4CD6">
            <w:pPr>
              <w:widowControl/>
              <w:jc w:val="center"/>
              <w:rPr>
                <w:rFonts w:ascii="仿宋_GB2312" w:eastAsia="仿宋_GB2312" w:hAnsiTheme="minorEastAsia" w:cs="宋体" w:hint="eastAsia"/>
                <w:kern w:val="0"/>
                <w:sz w:val="20"/>
                <w:szCs w:val="20"/>
              </w:rPr>
            </w:pPr>
          </w:p>
        </w:tc>
        <w:tc>
          <w:tcPr>
            <w:tcW w:w="1985"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134"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559" w:type="dxa"/>
            <w:vAlign w:val="center"/>
          </w:tcPr>
          <w:p w:rsidR="000F4CD6" w:rsidRDefault="000F4CD6">
            <w:pPr>
              <w:widowControl/>
              <w:jc w:val="center"/>
              <w:rPr>
                <w:rFonts w:ascii="仿宋_GB2312" w:eastAsia="仿宋_GB2312" w:hAnsiTheme="minorEastAsia" w:cs="宋体" w:hint="eastAsia"/>
                <w:kern w:val="0"/>
                <w:sz w:val="18"/>
                <w:szCs w:val="18"/>
              </w:rPr>
            </w:pPr>
          </w:p>
        </w:tc>
      </w:tr>
      <w:tr w:rsidR="000F4CD6">
        <w:trPr>
          <w:trHeight w:val="620"/>
          <w:jc w:val="center"/>
        </w:trPr>
        <w:tc>
          <w:tcPr>
            <w:tcW w:w="3256"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0F4CD6" w:rsidRDefault="00B57895">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5.60</w:t>
            </w:r>
          </w:p>
        </w:tc>
        <w:tc>
          <w:tcPr>
            <w:tcW w:w="1985"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5.60</w:t>
            </w:r>
          </w:p>
        </w:tc>
        <w:tc>
          <w:tcPr>
            <w:tcW w:w="1134"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559" w:type="dxa"/>
            <w:vAlign w:val="center"/>
          </w:tcPr>
          <w:p w:rsidR="000F4CD6" w:rsidRDefault="000F4CD6">
            <w:pPr>
              <w:widowControl/>
              <w:jc w:val="center"/>
              <w:rPr>
                <w:rFonts w:ascii="仿宋_GB2312" w:eastAsia="仿宋_GB2312" w:hAnsiTheme="minorEastAsia" w:cs="宋体" w:hint="eastAsia"/>
                <w:kern w:val="0"/>
                <w:sz w:val="18"/>
                <w:szCs w:val="18"/>
              </w:rPr>
            </w:pPr>
          </w:p>
        </w:tc>
      </w:tr>
      <w:tr w:rsidR="000F4CD6">
        <w:trPr>
          <w:trHeight w:val="620"/>
          <w:jc w:val="center"/>
        </w:trPr>
        <w:tc>
          <w:tcPr>
            <w:tcW w:w="3256"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0F4CD6" w:rsidRDefault="000F4CD6">
            <w:pPr>
              <w:widowControl/>
              <w:jc w:val="center"/>
              <w:rPr>
                <w:rFonts w:ascii="仿宋_GB2312" w:eastAsia="仿宋_GB2312" w:hAnsiTheme="minorEastAsia" w:cs="宋体" w:hint="eastAsia"/>
                <w:kern w:val="0"/>
                <w:sz w:val="20"/>
                <w:szCs w:val="20"/>
              </w:rPr>
            </w:pPr>
          </w:p>
        </w:tc>
        <w:tc>
          <w:tcPr>
            <w:tcW w:w="1985"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134"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559" w:type="dxa"/>
            <w:vAlign w:val="center"/>
          </w:tcPr>
          <w:p w:rsidR="000F4CD6" w:rsidRDefault="000F4CD6">
            <w:pPr>
              <w:widowControl/>
              <w:jc w:val="center"/>
              <w:rPr>
                <w:rFonts w:ascii="仿宋_GB2312" w:eastAsia="仿宋_GB2312" w:hAnsiTheme="minorEastAsia" w:cs="宋体" w:hint="eastAsia"/>
                <w:kern w:val="0"/>
                <w:sz w:val="18"/>
                <w:szCs w:val="18"/>
              </w:rPr>
            </w:pPr>
          </w:p>
        </w:tc>
      </w:tr>
      <w:tr w:rsidR="000F4CD6">
        <w:trPr>
          <w:trHeight w:val="620"/>
          <w:jc w:val="center"/>
        </w:trPr>
        <w:tc>
          <w:tcPr>
            <w:tcW w:w="3256"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0F4CD6" w:rsidRDefault="00B57895">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5.60</w:t>
            </w:r>
          </w:p>
        </w:tc>
        <w:tc>
          <w:tcPr>
            <w:tcW w:w="1985"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5.60</w:t>
            </w:r>
          </w:p>
        </w:tc>
        <w:tc>
          <w:tcPr>
            <w:tcW w:w="1134"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559" w:type="dxa"/>
            <w:vAlign w:val="center"/>
          </w:tcPr>
          <w:p w:rsidR="000F4CD6" w:rsidRDefault="000F4CD6">
            <w:pPr>
              <w:widowControl/>
              <w:jc w:val="center"/>
              <w:rPr>
                <w:rFonts w:ascii="仿宋_GB2312" w:eastAsia="仿宋_GB2312" w:hAnsiTheme="minorEastAsia" w:cs="宋体" w:hint="eastAsia"/>
                <w:kern w:val="0"/>
                <w:sz w:val="18"/>
                <w:szCs w:val="18"/>
              </w:rPr>
            </w:pPr>
          </w:p>
        </w:tc>
      </w:tr>
      <w:tr w:rsidR="000F4CD6">
        <w:trPr>
          <w:trHeight w:val="620"/>
          <w:jc w:val="center"/>
        </w:trPr>
        <w:tc>
          <w:tcPr>
            <w:tcW w:w="3256"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0F4CD6" w:rsidRDefault="00B57895">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5.60</w:t>
            </w:r>
          </w:p>
        </w:tc>
        <w:tc>
          <w:tcPr>
            <w:tcW w:w="1985" w:type="dxa"/>
            <w:vAlign w:val="center"/>
          </w:tcPr>
          <w:p w:rsidR="000F4CD6" w:rsidRDefault="00B57895">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5.60</w:t>
            </w:r>
          </w:p>
        </w:tc>
        <w:tc>
          <w:tcPr>
            <w:tcW w:w="1134" w:type="dxa"/>
            <w:vAlign w:val="center"/>
          </w:tcPr>
          <w:p w:rsidR="000F4CD6" w:rsidRDefault="000F4CD6">
            <w:pPr>
              <w:widowControl/>
              <w:jc w:val="center"/>
              <w:rPr>
                <w:rFonts w:ascii="仿宋_GB2312" w:eastAsia="仿宋_GB2312" w:hAnsiTheme="minorEastAsia" w:cs="宋体" w:hint="eastAsia"/>
                <w:kern w:val="0"/>
                <w:sz w:val="18"/>
                <w:szCs w:val="18"/>
              </w:rPr>
            </w:pPr>
          </w:p>
        </w:tc>
        <w:tc>
          <w:tcPr>
            <w:tcW w:w="1559" w:type="dxa"/>
            <w:vAlign w:val="center"/>
          </w:tcPr>
          <w:p w:rsidR="000F4CD6" w:rsidRDefault="000F4CD6">
            <w:pPr>
              <w:widowControl/>
              <w:jc w:val="center"/>
              <w:rPr>
                <w:rFonts w:ascii="仿宋_GB2312" w:eastAsia="仿宋_GB2312" w:hAnsiTheme="minorEastAsia" w:cs="宋体" w:hint="eastAsia"/>
                <w:kern w:val="0"/>
                <w:sz w:val="18"/>
                <w:szCs w:val="18"/>
              </w:rPr>
            </w:pPr>
          </w:p>
        </w:tc>
      </w:tr>
    </w:tbl>
    <w:p w:rsidR="000F4CD6" w:rsidRDefault="00B57895">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0F4CD6" w:rsidRDefault="00B57895">
      <w:pPr>
        <w:widowControl/>
        <w:jc w:val="left"/>
        <w:rPr>
          <w:rFonts w:ascii="宋体" w:hAnsi="宋体" w:hint="eastAsia"/>
          <w:bCs/>
          <w:kern w:val="0"/>
          <w:sz w:val="20"/>
          <w:szCs w:val="20"/>
        </w:rPr>
      </w:pPr>
      <w:r>
        <w:rPr>
          <w:rFonts w:ascii="宋体" w:hAnsi="宋体"/>
          <w:bCs/>
          <w:kern w:val="0"/>
          <w:sz w:val="20"/>
          <w:szCs w:val="20"/>
        </w:rPr>
        <w:t>表11</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0F4CD6">
        <w:trPr>
          <w:trHeight w:val="446"/>
          <w:jc w:val="center"/>
        </w:trPr>
        <w:tc>
          <w:tcPr>
            <w:tcW w:w="8505" w:type="dxa"/>
          </w:tcPr>
          <w:p w:rsidR="000F4CD6" w:rsidRDefault="00B57895">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418" w:type="dxa"/>
          </w:tcPr>
          <w:p w:rsidR="000F4CD6" w:rsidRDefault="00B5789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0F4CD6" w:rsidRDefault="000F4CD6">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0F4CD6">
        <w:trPr>
          <w:trHeight w:val="312"/>
          <w:tblHeader/>
          <w:jc w:val="center"/>
        </w:trPr>
        <w:tc>
          <w:tcPr>
            <w:tcW w:w="1171" w:type="dxa"/>
            <w:vMerge w:val="restart"/>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0F4CD6">
        <w:trPr>
          <w:trHeight w:val="312"/>
          <w:tblHeader/>
          <w:jc w:val="center"/>
        </w:trPr>
        <w:tc>
          <w:tcPr>
            <w:tcW w:w="1171" w:type="dxa"/>
            <w:vMerge/>
            <w:vAlign w:val="center"/>
          </w:tcPr>
          <w:p w:rsidR="000F4CD6" w:rsidRDefault="000F4CD6">
            <w:pPr>
              <w:widowControl/>
              <w:spacing w:line="280" w:lineRule="exact"/>
              <w:jc w:val="center"/>
              <w:rPr>
                <w:rFonts w:eastAsia="仿宋_GB2312"/>
                <w:b/>
                <w:bCs/>
                <w:kern w:val="0"/>
                <w:sz w:val="20"/>
                <w:szCs w:val="20"/>
              </w:rPr>
            </w:pPr>
          </w:p>
        </w:tc>
        <w:tc>
          <w:tcPr>
            <w:tcW w:w="1286" w:type="dxa"/>
            <w:vMerge/>
            <w:vAlign w:val="center"/>
          </w:tcPr>
          <w:p w:rsidR="000F4CD6" w:rsidRDefault="000F4CD6">
            <w:pPr>
              <w:spacing w:line="600" w:lineRule="exact"/>
              <w:jc w:val="center"/>
              <w:rPr>
                <w:rFonts w:eastAsia="仿宋"/>
                <w:bCs/>
                <w:kern w:val="0"/>
                <w:sz w:val="28"/>
                <w:szCs w:val="28"/>
              </w:rPr>
            </w:pPr>
          </w:p>
        </w:tc>
        <w:tc>
          <w:tcPr>
            <w:tcW w:w="1933"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0F4CD6" w:rsidRDefault="00B57895">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0F4CD6">
        <w:trPr>
          <w:trHeight w:val="650"/>
          <w:jc w:val="center"/>
        </w:trPr>
        <w:tc>
          <w:tcPr>
            <w:tcW w:w="1171"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0F4CD6" w:rsidRDefault="000F4CD6">
            <w:pPr>
              <w:jc w:val="center"/>
              <w:rPr>
                <w:rFonts w:eastAsia="仿宋"/>
                <w:bCs/>
                <w:kern w:val="0"/>
                <w:sz w:val="20"/>
                <w:szCs w:val="20"/>
              </w:rPr>
            </w:pPr>
          </w:p>
        </w:tc>
        <w:tc>
          <w:tcPr>
            <w:tcW w:w="1933" w:type="dxa"/>
            <w:vAlign w:val="center"/>
          </w:tcPr>
          <w:p w:rsidR="000F4CD6" w:rsidRDefault="000F4CD6">
            <w:pPr>
              <w:jc w:val="center"/>
              <w:rPr>
                <w:rFonts w:eastAsia="仿宋"/>
                <w:bCs/>
                <w:kern w:val="0"/>
                <w:sz w:val="20"/>
                <w:szCs w:val="20"/>
              </w:rPr>
            </w:pPr>
          </w:p>
        </w:tc>
        <w:tc>
          <w:tcPr>
            <w:tcW w:w="1984" w:type="dxa"/>
            <w:vAlign w:val="center"/>
          </w:tcPr>
          <w:p w:rsidR="000F4CD6" w:rsidRDefault="000F4CD6">
            <w:pPr>
              <w:jc w:val="center"/>
              <w:rPr>
                <w:rFonts w:eastAsia="仿宋"/>
                <w:bCs/>
                <w:kern w:val="0"/>
                <w:sz w:val="20"/>
                <w:szCs w:val="20"/>
              </w:rPr>
            </w:pPr>
          </w:p>
        </w:tc>
        <w:tc>
          <w:tcPr>
            <w:tcW w:w="3254" w:type="dxa"/>
            <w:vAlign w:val="center"/>
          </w:tcPr>
          <w:p w:rsidR="000F4CD6" w:rsidRDefault="000F4CD6">
            <w:pPr>
              <w:jc w:val="center"/>
              <w:rPr>
                <w:rFonts w:eastAsia="仿宋"/>
                <w:bCs/>
                <w:kern w:val="0"/>
                <w:sz w:val="20"/>
                <w:szCs w:val="20"/>
              </w:rPr>
            </w:pPr>
          </w:p>
        </w:tc>
      </w:tr>
    </w:tbl>
    <w:p w:rsidR="000F4CD6" w:rsidRDefault="00B57895">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2124A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卫生健康委员会2026年没有委托业务费预算的支出，财政拨款委托业务费支出情况表为空表。</w:t>
      </w:r>
    </w:p>
    <w:p w:rsidR="000F4CD6" w:rsidRDefault="00B57895">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0F4CD6" w:rsidRDefault="00B57895">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0F4CD6" w:rsidRDefault="00B57895">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0F4CD6">
        <w:trPr>
          <w:trHeight w:val="357"/>
          <w:jc w:val="center"/>
        </w:trPr>
        <w:tc>
          <w:tcPr>
            <w:tcW w:w="8222" w:type="dxa"/>
            <w:vAlign w:val="bottom"/>
          </w:tcPr>
          <w:p w:rsidR="000F4CD6" w:rsidRDefault="00B57895">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2124A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卫生健康委员会</w:t>
            </w:r>
          </w:p>
        </w:tc>
        <w:tc>
          <w:tcPr>
            <w:tcW w:w="1843" w:type="dxa"/>
            <w:vAlign w:val="bottom"/>
          </w:tcPr>
          <w:p w:rsidR="000F4CD6" w:rsidRDefault="00B57895">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F4CD6">
        <w:trPr>
          <w:trHeight w:val="416"/>
          <w:tblHeader/>
        </w:trPr>
        <w:tc>
          <w:tcPr>
            <w:tcW w:w="1951"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0F4CD6">
        <w:trPr>
          <w:trHeight w:val="422"/>
          <w:tblHeader/>
        </w:trPr>
        <w:tc>
          <w:tcPr>
            <w:tcW w:w="1951" w:type="dxa"/>
            <w:vMerge/>
            <w:vAlign w:val="center"/>
          </w:tcPr>
          <w:p w:rsidR="000F4CD6" w:rsidRDefault="000F4CD6">
            <w:pPr>
              <w:widowControl/>
              <w:jc w:val="center"/>
              <w:rPr>
                <w:rFonts w:ascii="仿宋_GB2312" w:eastAsia="仿宋_GB2312" w:hAnsiTheme="minorEastAsia" w:cs="宋体" w:hint="eastAsia"/>
                <w:b/>
                <w:bCs/>
                <w:kern w:val="0"/>
                <w:sz w:val="20"/>
                <w:szCs w:val="20"/>
              </w:rPr>
            </w:pPr>
          </w:p>
        </w:tc>
        <w:tc>
          <w:tcPr>
            <w:tcW w:w="1163" w:type="dxa"/>
            <w:vMerge/>
            <w:vAlign w:val="center"/>
          </w:tcPr>
          <w:p w:rsidR="000F4CD6" w:rsidRDefault="000F4CD6">
            <w:pPr>
              <w:rPr>
                <w:rFonts w:ascii="仿宋_GB2312" w:eastAsia="仿宋_GB2312" w:hAnsiTheme="minorEastAsia" w:cs="宋体" w:hint="eastAsia"/>
                <w:b/>
                <w:bCs/>
                <w:kern w:val="0"/>
                <w:sz w:val="20"/>
                <w:szCs w:val="20"/>
              </w:rPr>
            </w:pPr>
          </w:p>
        </w:tc>
        <w:tc>
          <w:tcPr>
            <w:tcW w:w="992"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0F4CD6" w:rsidRDefault="00B57895">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0F4CD6" w:rsidRDefault="00B57895">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0F4CD6">
        <w:trPr>
          <w:trHeight w:val="765"/>
          <w:tblHeader/>
        </w:trPr>
        <w:tc>
          <w:tcPr>
            <w:tcW w:w="1951" w:type="dxa"/>
            <w:vMerge/>
            <w:vAlign w:val="center"/>
          </w:tcPr>
          <w:p w:rsidR="000F4CD6" w:rsidRDefault="000F4CD6">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0F4CD6" w:rsidRDefault="000F4CD6">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0F4CD6" w:rsidRDefault="000F4CD6">
            <w:pPr>
              <w:widowControl/>
              <w:jc w:val="center"/>
              <w:rPr>
                <w:rFonts w:asciiTheme="minorEastAsia" w:eastAsiaTheme="minorEastAsia" w:hAnsiTheme="minorEastAsia" w:cs="宋体" w:hint="eastAsia"/>
                <w:b/>
                <w:bCs/>
                <w:kern w:val="0"/>
                <w:sz w:val="20"/>
                <w:szCs w:val="20"/>
              </w:rPr>
            </w:pPr>
          </w:p>
        </w:tc>
        <w:tc>
          <w:tcPr>
            <w:tcW w:w="709"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0F4CD6" w:rsidRDefault="000F4CD6">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0F4CD6" w:rsidRDefault="000F4CD6">
            <w:pPr>
              <w:widowControl/>
              <w:jc w:val="center"/>
              <w:rPr>
                <w:rFonts w:asciiTheme="minorEastAsia" w:eastAsiaTheme="minorEastAsia" w:hAnsiTheme="minorEastAsia" w:cs="宋体" w:hint="eastAsia"/>
                <w:b/>
                <w:bCs/>
                <w:kern w:val="0"/>
                <w:sz w:val="20"/>
                <w:szCs w:val="20"/>
              </w:rPr>
            </w:pPr>
          </w:p>
        </w:tc>
        <w:tc>
          <w:tcPr>
            <w:tcW w:w="709"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0F4CD6" w:rsidRDefault="00B5789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0F4CD6" w:rsidRDefault="000F4CD6">
            <w:pPr>
              <w:widowControl/>
              <w:spacing w:line="280" w:lineRule="exact"/>
              <w:jc w:val="center"/>
              <w:rPr>
                <w:rFonts w:ascii="仿宋_GB2312" w:eastAsia="仿宋_GB2312" w:hAnsi="宋体" w:cs="宋体" w:hint="eastAsia"/>
                <w:b/>
                <w:bCs/>
                <w:kern w:val="0"/>
                <w:sz w:val="20"/>
                <w:szCs w:val="20"/>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结转项目8</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13.83</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13.83</w:t>
            </w:r>
          </w:p>
        </w:tc>
        <w:tc>
          <w:tcPr>
            <w:tcW w:w="709" w:type="dxa"/>
            <w:vAlign w:val="center"/>
          </w:tcPr>
          <w:p w:rsidR="000F4CD6" w:rsidRDefault="00B57895">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13.83</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0.69</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0.69</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0.69</w:t>
            </w: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结转项目2</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t>0.00004</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0.00004</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0.00004</w:t>
            </w: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结转项目3</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0.09</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0.09</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0.09</w:t>
            </w: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结转项目4</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t>0.000044</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0.000044</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0.000044</w:t>
            </w: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结转项目5</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t>0.00002</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0.00002</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0.00002</w:t>
            </w: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结转项目6</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0.06</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0.06</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0.06</w:t>
            </w: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结转项目7</w:t>
            </w:r>
          </w:p>
        </w:tc>
        <w:tc>
          <w:tcPr>
            <w:tcW w:w="1163" w:type="dxa"/>
            <w:vAlign w:val="center"/>
          </w:tcPr>
          <w:p w:rsidR="000F4CD6" w:rsidRDefault="00B57895">
            <w:pPr>
              <w:spacing w:line="600" w:lineRule="exact"/>
              <w:jc w:val="center"/>
              <w:rPr>
                <w:rFonts w:ascii="仿宋_GB2312" w:eastAsia="仿宋_GB2312" w:hAnsi="仿宋" w:cs="仿宋_GB2312" w:hint="eastAsia"/>
                <w:b/>
                <w:bCs/>
                <w:kern w:val="0"/>
                <w:sz w:val="18"/>
                <w:szCs w:val="18"/>
              </w:rPr>
            </w:pPr>
            <w:r>
              <w:t>0.00003</w:t>
            </w: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0.00003</w:t>
            </w: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0F4CD6" w:rsidRDefault="000F4CD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0F4CD6" w:rsidRDefault="00B57895">
            <w:pPr>
              <w:spacing w:line="600" w:lineRule="exact"/>
              <w:jc w:val="center"/>
              <w:rPr>
                <w:rFonts w:ascii="仿宋_GB2312" w:eastAsia="仿宋_GB2312" w:hAnsi="仿宋" w:cs="仿宋_GB2312" w:hint="eastAsia"/>
                <w:kern w:val="0"/>
                <w:sz w:val="18"/>
                <w:szCs w:val="18"/>
              </w:rPr>
            </w:pPr>
            <w:r>
              <w:t>0.00003</w:t>
            </w:r>
          </w:p>
        </w:tc>
        <w:tc>
          <w:tcPr>
            <w:tcW w:w="1134"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9"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708"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c>
          <w:tcPr>
            <w:tcW w:w="993" w:type="dxa"/>
            <w:vAlign w:val="center"/>
          </w:tcPr>
          <w:p w:rsidR="000F4CD6" w:rsidRDefault="000F4CD6">
            <w:pPr>
              <w:spacing w:line="600" w:lineRule="exact"/>
              <w:jc w:val="center"/>
              <w:rPr>
                <w:rFonts w:ascii="仿宋_GB2312" w:eastAsia="仿宋_GB2312" w:hAnsi="仿宋" w:cs="仿宋_GB2312" w:hint="eastAsia"/>
                <w:kern w:val="0"/>
                <w:sz w:val="18"/>
                <w:szCs w:val="18"/>
              </w:rPr>
            </w:pPr>
          </w:p>
        </w:tc>
      </w:tr>
      <w:tr w:rsidR="000F4CD6">
        <w:trPr>
          <w:trHeight w:val="618"/>
        </w:trPr>
        <w:tc>
          <w:tcPr>
            <w:tcW w:w="1951" w:type="dxa"/>
            <w:vAlign w:val="center"/>
          </w:tcPr>
          <w:p w:rsidR="000F4CD6" w:rsidRDefault="00B57895">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0F4CD6" w:rsidRDefault="00B57895">
            <w:pPr>
              <w:jc w:val="center"/>
              <w:rPr>
                <w:rFonts w:ascii="仿宋_GB2312" w:eastAsia="仿宋_GB2312"/>
                <w:b/>
                <w:bCs/>
                <w:sz w:val="18"/>
                <w:szCs w:val="18"/>
              </w:rPr>
            </w:pPr>
            <w:r>
              <w:rPr>
                <w:rFonts w:ascii="仿宋_GB2312" w:eastAsia="仿宋_GB2312" w:hint="eastAsia"/>
                <w:b/>
                <w:bCs/>
                <w:sz w:val="18"/>
                <w:szCs w:val="18"/>
              </w:rPr>
              <w:t>14.670134</w:t>
            </w:r>
          </w:p>
        </w:tc>
        <w:tc>
          <w:tcPr>
            <w:tcW w:w="992" w:type="dxa"/>
            <w:vAlign w:val="center"/>
          </w:tcPr>
          <w:p w:rsidR="000F4CD6" w:rsidRDefault="00B57895">
            <w:pPr>
              <w:jc w:val="center"/>
              <w:rPr>
                <w:rFonts w:ascii="仿宋_GB2312" w:eastAsia="仿宋_GB2312"/>
                <w:b/>
                <w:bCs/>
                <w:sz w:val="18"/>
                <w:szCs w:val="18"/>
              </w:rPr>
            </w:pPr>
            <w:r>
              <w:rPr>
                <w:rFonts w:ascii="仿宋_GB2312" w:eastAsia="仿宋_GB2312" w:hint="eastAsia"/>
                <w:b/>
                <w:bCs/>
                <w:sz w:val="18"/>
                <w:szCs w:val="18"/>
              </w:rPr>
              <w:t>14.670134</w:t>
            </w:r>
          </w:p>
        </w:tc>
        <w:tc>
          <w:tcPr>
            <w:tcW w:w="709" w:type="dxa"/>
            <w:vAlign w:val="center"/>
          </w:tcPr>
          <w:p w:rsidR="000F4CD6" w:rsidRDefault="00B57895">
            <w:pPr>
              <w:widowControl/>
              <w:jc w:val="center"/>
              <w:rPr>
                <w:rFonts w:ascii="仿宋_GB2312" w:eastAsia="仿宋_GB2312"/>
                <w:b/>
                <w:bCs/>
                <w:sz w:val="18"/>
                <w:szCs w:val="18"/>
              </w:rPr>
            </w:pPr>
            <w:r>
              <w:rPr>
                <w:rFonts w:ascii="仿宋_GB2312" w:eastAsia="仿宋_GB2312" w:hint="eastAsia"/>
                <w:b/>
                <w:bCs/>
                <w:sz w:val="18"/>
                <w:szCs w:val="18"/>
              </w:rPr>
              <w:t>13.83</w:t>
            </w:r>
          </w:p>
        </w:tc>
        <w:tc>
          <w:tcPr>
            <w:tcW w:w="709" w:type="dxa"/>
            <w:vAlign w:val="center"/>
          </w:tcPr>
          <w:p w:rsidR="000F4CD6" w:rsidRDefault="000F4CD6">
            <w:pPr>
              <w:widowControl/>
              <w:jc w:val="center"/>
              <w:rPr>
                <w:rFonts w:ascii="仿宋_GB2312" w:eastAsia="仿宋_GB2312"/>
                <w:b/>
                <w:bCs/>
                <w:sz w:val="18"/>
                <w:szCs w:val="18"/>
              </w:rPr>
            </w:pPr>
          </w:p>
        </w:tc>
        <w:tc>
          <w:tcPr>
            <w:tcW w:w="992" w:type="dxa"/>
            <w:vAlign w:val="center"/>
          </w:tcPr>
          <w:p w:rsidR="000F4CD6" w:rsidRDefault="00B57895">
            <w:pPr>
              <w:jc w:val="center"/>
              <w:rPr>
                <w:rFonts w:ascii="仿宋_GB2312" w:eastAsia="仿宋_GB2312"/>
                <w:b/>
                <w:bCs/>
                <w:sz w:val="18"/>
                <w:szCs w:val="18"/>
              </w:rPr>
            </w:pPr>
            <w:r>
              <w:rPr>
                <w:rFonts w:ascii="仿宋_GB2312" w:eastAsia="仿宋_GB2312" w:hint="eastAsia"/>
                <w:b/>
                <w:bCs/>
                <w:sz w:val="18"/>
                <w:szCs w:val="18"/>
              </w:rPr>
              <w:t>0.84</w:t>
            </w:r>
          </w:p>
        </w:tc>
        <w:tc>
          <w:tcPr>
            <w:tcW w:w="1134" w:type="dxa"/>
            <w:vAlign w:val="center"/>
          </w:tcPr>
          <w:p w:rsidR="000F4CD6" w:rsidRDefault="000F4CD6">
            <w:pPr>
              <w:jc w:val="center"/>
              <w:rPr>
                <w:rFonts w:ascii="仿宋_GB2312" w:eastAsia="仿宋_GB2312"/>
                <w:b/>
                <w:bCs/>
                <w:sz w:val="18"/>
                <w:szCs w:val="18"/>
              </w:rPr>
            </w:pPr>
          </w:p>
        </w:tc>
        <w:tc>
          <w:tcPr>
            <w:tcW w:w="709" w:type="dxa"/>
            <w:vAlign w:val="center"/>
          </w:tcPr>
          <w:p w:rsidR="000F4CD6" w:rsidRDefault="000F4CD6">
            <w:pPr>
              <w:jc w:val="center"/>
              <w:rPr>
                <w:rFonts w:ascii="仿宋_GB2312" w:eastAsia="仿宋_GB2312"/>
                <w:b/>
                <w:bCs/>
                <w:sz w:val="18"/>
                <w:szCs w:val="18"/>
              </w:rPr>
            </w:pPr>
          </w:p>
        </w:tc>
        <w:tc>
          <w:tcPr>
            <w:tcW w:w="708" w:type="dxa"/>
            <w:vAlign w:val="center"/>
          </w:tcPr>
          <w:p w:rsidR="000F4CD6" w:rsidRDefault="000F4CD6">
            <w:pPr>
              <w:jc w:val="center"/>
              <w:rPr>
                <w:rFonts w:ascii="仿宋_GB2312" w:eastAsia="仿宋_GB2312"/>
                <w:b/>
                <w:bCs/>
                <w:sz w:val="18"/>
                <w:szCs w:val="18"/>
              </w:rPr>
            </w:pPr>
          </w:p>
        </w:tc>
        <w:tc>
          <w:tcPr>
            <w:tcW w:w="993" w:type="dxa"/>
            <w:vAlign w:val="center"/>
          </w:tcPr>
          <w:p w:rsidR="000F4CD6" w:rsidRDefault="000F4CD6">
            <w:pPr>
              <w:jc w:val="center"/>
              <w:rPr>
                <w:rFonts w:ascii="仿宋_GB2312" w:eastAsia="仿宋_GB2312"/>
                <w:b/>
                <w:bCs/>
                <w:sz w:val="18"/>
                <w:szCs w:val="18"/>
              </w:rPr>
            </w:pPr>
          </w:p>
        </w:tc>
      </w:tr>
    </w:tbl>
    <w:p w:rsidR="000F4CD6" w:rsidRDefault="00B57895">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0F4CD6" w:rsidRDefault="00B57895">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0F4CD6" w:rsidRDefault="000F4CD6">
      <w:pPr>
        <w:spacing w:line="560" w:lineRule="exact"/>
        <w:jc w:val="center"/>
        <w:rPr>
          <w:rFonts w:ascii="黑体" w:eastAsia="黑体" w:hAnsi="黑体" w:hint="eastAsia"/>
          <w:kern w:val="0"/>
          <w:sz w:val="32"/>
          <w:szCs w:val="32"/>
        </w:rPr>
      </w:pP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卫生健康委员会2026年收支预算情况的总体说明</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卫生健康委员会2026年所有收入和支出均纳入部门预算管理。收支总预算1999.99万元。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收入预算包括：一般公共预算、单位资金、财政拨款结转结余。</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支出预算包括：社会保障和就业支出、卫生健康支出。</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卫生健康委员会2026年收入预算情况说明</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卫生健康委员会收入预算1999.99万元，其中：</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1193.42万元，占59.67%,比上年预算增加147.49万元，增长14.1%，主要原因是：本年度预算在职人员职务职级晋升、绩效改革、工资调整等相关政策发生变化致使人员经费增加、对个人和家庭的补助经费增加，同时新增**项目，预算数相应增加。</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789.2万元，占39.46%,比上年预算增加514.69万元，增长187.49%，主要原因是：本年预算新增其他项目，预算数增加。</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单位资金2.7万元，占0.14%,比上年预算增加2.7万元，增长100%，主要原因是：新增塔什库尔干县组织部配套党员活动经费。</w:t>
      </w:r>
    </w:p>
    <w:p w:rsidR="000F4CD6" w:rsidRDefault="00B57895">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财政拨款结转14.67万元，占0.73%,比上年预算增加13.05万元，增长805.56%，主要原因是：上年度人员类改革性补贴（“三保”以外刚性支出）-追加项目未支付完成，资金结转至本年度继续使用，预算数相应增加。</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卫生健康委员会2026年支出预算情况说明</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卫生健康委员会2026年支出预算</w:t>
      </w:r>
      <w:r>
        <w:rPr>
          <w:rFonts w:ascii="仿宋_GB2312" w:eastAsia="仿宋_GB2312" w:hAnsi="宋体" w:cs="宋体"/>
          <w:kern w:val="0"/>
          <w:sz w:val="32"/>
          <w:szCs w:val="32"/>
        </w:rPr>
        <w:t>1999.99</w:t>
      </w:r>
      <w:r>
        <w:rPr>
          <w:rFonts w:ascii="仿宋_GB2312" w:eastAsia="仿宋_GB2312" w:hAnsi="宋体" w:cs="宋体" w:hint="eastAsia"/>
          <w:kern w:val="0"/>
          <w:sz w:val="32"/>
          <w:szCs w:val="32"/>
        </w:rPr>
        <w:t>万元，其中：</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1151.93</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57.6</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106</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10.13</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848.06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42.4</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571.93</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207.12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结转项目资金增加，新增其他项目，预算数增加。</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卫生健康委员会2026年财政拨款收支预算情况的总体说明</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2026年财政拨款收支总预算1982.62万元。</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收入预算包括：一般公共预算拨款1982.62万元。</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144.37万元，主要用于：机关事业单位基本养老保险缴费、职业年金缴费支出；卫生健康支出1838.25万元，主要用于：基本工资、津贴补贴、奖金、绩效工资、职工基本医疗保险缴费、公务员医疗补助缴费、其他社会保障缴费、住房公积金、办公费、水费、电费、邮电费、取暖费、差旅费、工会经费、公务用车运行维护费、退休费、生活补助、奖励金、塔什库尔干县方舱隔离点建设项目、塔什库尔干县方舱医院建设项目、塔什库尔干县阿巴提镇等十二个乡镇场全民健康体检中心建设项目(人民医院、大同标段)施工项目、计生宣传员工资县级配套部分支出。</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卫生健康委员会2026年一般公共预算当年拨款情况说明</w:t>
      </w: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卫生健康委员会2026年一般公共预算拨款合计</w:t>
      </w:r>
      <w:r>
        <w:rPr>
          <w:rFonts w:ascii="仿宋_GB2312" w:eastAsia="仿宋_GB2312" w:hAnsi="宋体" w:cs="宋体"/>
          <w:kern w:val="0"/>
          <w:sz w:val="32"/>
          <w:szCs w:val="32"/>
        </w:rPr>
        <w:t>1982.62</w:t>
      </w:r>
      <w:r>
        <w:rPr>
          <w:rFonts w:ascii="仿宋_GB2312" w:eastAsia="仿宋_GB2312" w:hAnsi="宋体" w:cs="宋体" w:hint="eastAsia"/>
          <w:kern w:val="0"/>
          <w:sz w:val="32"/>
          <w:szCs w:val="32"/>
        </w:rPr>
        <w:t>万元，其中：</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1138.1</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92.17</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8.81</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844.52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570.01</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207.65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新增塔什库尔干县方舱隔离点建设项目、其他项目等。</w:t>
      </w: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.社会保障和就业支出（类）144.37万元，占7.28%</w:t>
      </w:r>
      <w:r>
        <w:rPr>
          <w:rFonts w:ascii="仿宋_GB2312" w:eastAsia="仿宋_GB2312" w:hAnsi="宋体" w:cs="宋体" w:hint="eastAsia"/>
          <w:kern w:val="0"/>
          <w:sz w:val="32"/>
          <w:szCs w:val="32"/>
        </w:rPr>
        <w:t>。</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.卫生健康支出（类）1838.25万元，占92.72%</w:t>
      </w:r>
      <w:r>
        <w:rPr>
          <w:rFonts w:ascii="仿宋_GB2312" w:eastAsia="仿宋_GB2312" w:hAnsi="宋体" w:cs="宋体" w:hint="eastAsia"/>
          <w:kern w:val="0"/>
          <w:sz w:val="32"/>
          <w:szCs w:val="32"/>
        </w:rPr>
        <w:t>。</w:t>
      </w: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社会保障和就业支出（类）行政事业单位养老支出（款）机关事业单位基本养老保险缴费支出（项）：2026年预算数为96.25万元，比上年预算减少2.68万元，下降2.71%，主要原因是：编外人员减少，养老保险缴费支出减少。</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行政事业单位养老支出（款）机关事业单位职业年金缴费支出（项）：2026年预算数为48.12万元，比上年预算增加48.12万元，增长100.00%，主要原因是：本年预算在职人员职业年金按月做实。</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卫生健康支出（类）卫生健康管理事务（款）行政运行（项）：2026年预算数为386.19万元，比上年预算增加38.64万元，增长11.12%，主要原因是：本年度预算在职人员职务职级晋升、绩效改革、工资调整等相关政策发生变化致使人员经费增加，预算数相应增加。</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卫生健康支出（类）卫生健康管理事务（款）其他卫生健康管理事务支出（项）：2026年预算数为30.00万元，比上年预算增加30.00万元，增长100.00%，主要原因是：新增塔什库尔干县阿巴提镇等十二个乡镇场全民健康体检中心建设项目、塔什库尔干县方舱隔离点建设项目等。</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卫生健康支出（类）基层医疗卫生机构（款）乡镇卫生院（项）：2026年预算数为605.14万元，比上年预算增加8.08万元，增长1.35%，主要原因是：本年度预算在职人员职务职级晋升、绩效改革、工资调整等相关政策发生变化致使人员经费增加，预算数相应增加。</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6.卫生健康支出（类）计划生育事务（款）计划生育服务（项）：2026年预算数为280.12万元，比上年预算增加5.61万元，增长2.04%，主要原因是：新增其他项目。</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卫生健康支出（类）行政事业单位医疗（款）公务员医疗补助（项）：2026年预算数为2.40万元，比上年预算增加0.01万元，增长0.42%，主要原因是：本年度医保基数调增，致使本年度公务员医疗保险缴费支出增加。</w:t>
      </w:r>
    </w:p>
    <w:p w:rsidR="000F4CD6" w:rsidRDefault="00B57895">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8.卫生健康支出（类）育幼服务（款）育儿补贴（项）：2026年预算数为534.40万元，比上年预算增加534.40万元，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100.00%，主要原因是：新增其他项目。</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卫生健康委员会2026年一般公共预算基本支出情况说明</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卫生健康委员会2026年一般公共预算基本支出</w:t>
      </w:r>
      <w:r>
        <w:rPr>
          <w:rFonts w:ascii="仿宋_GB2312" w:eastAsia="仿宋_GB2312" w:hAnsi="宋体" w:cs="宋体"/>
          <w:kern w:val="0"/>
          <w:sz w:val="32"/>
          <w:szCs w:val="32"/>
        </w:rPr>
        <w:t>1138.1</w:t>
      </w:r>
      <w:r>
        <w:rPr>
          <w:rFonts w:ascii="仿宋_GB2312" w:eastAsia="仿宋_GB2312" w:hAnsi="宋体" w:cs="宋体" w:hint="eastAsia"/>
          <w:kern w:val="0"/>
          <w:sz w:val="32"/>
          <w:szCs w:val="32"/>
        </w:rPr>
        <w:t>万元，其中：</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1056.94万元，主要包括：基本工资、津贴补贴、奖金、绩效工资、机关事业单位基本养老保险缴费、职业年金缴费、职工基本医疗保险缴费、公务员医疗补助缴费、其他社会保障缴费、住房公积金、退休费、生活补助、奖励金。</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公用经费81.16万元，主要包括：办公费、水费、电费、邮电费、取暖费、差旅费、工会经费、公务用车运行维护费。</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卫生健康委员会2026年一般公共预算项目支出情况说明</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（1）项目名称：塔什库尔干县方舱医院建设项目</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资金分配情况：项目资金10万元，全部用于基础设施建设支出。</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（2）项目名称：塔什库尔干县方舱隔离点建设项目</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资金分配情况：项目资金10万元，全部用于基础设施建设支出。</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（3）项目名称：塔什库尔干县阿巴提镇等十二个乡镇场全民健康体检中心建设项目(人民医院、大同标段)施工项目</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资金分配情况：项目资金10万元，全部用于基础设施建设支出。</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（4）项目名称：其他项目9</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预算安排规模：1.73万元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（5）项目名称：计生宣传员工资县级配套部分</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预算安排规模：10.32万元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资金分配情况：项目资金10.32万元，全部用于其他对个人和家庭的补助。</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（6）项目名称：其他项目2</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预算安排规模：42.24万元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（7）项目名称：其他项目6</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预算安排规模：8.61万元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（8）项目名称：其他项目7</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预算安排规模：5.04万元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（9）项目名称：其他项目8</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（10）项目名称：其他项目5</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预算安排规模：211.18万元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（11）项目名称：其他项目3</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预算安排规模：510.44万元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（12）项目名称：其他项目4</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预算安排规模：8.96万元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（13）项目名称：其他项目1</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预算安排规模：15.00万元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资金分配情况：该项目完全不予公开。</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卫生健康委员会2026年政府性基金预算拨款情况说明</w:t>
      </w:r>
    </w:p>
    <w:p w:rsidR="000F4CD6" w:rsidRDefault="00B57895">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卫生健康委员会2026年没有使用政府性基金预算拨款安排的支出，政府性基金预算支出情况表为空表。</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卫生健康委员会2026年国有资本经营预算拨款情况说明</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卫生健康委员会2026年没有使用国有资本经营预算拨款安排的支出，国有资本经营预算支出情况表为空表。</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卫生健康委员会2026年财政拨款“三公”经费预算情况说明</w:t>
      </w:r>
    </w:p>
    <w:p w:rsidR="000F4CD6" w:rsidRDefault="00B57895">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卫生健康委员会2026年财政拨款“三公”经费数为5.6万元，其中：因公出国（境）费用0万元，公务用车购置费0万元，公务用车运行费5.6万元，公务接待费0万元。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rsidR="000F4CD6" w:rsidRDefault="00B57895">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2124A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卫生健康委员会2026年没有委托业务费预算的支出，财政拨款委托业务费支出情况表为空表。</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2124A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卫生健康委员会2026年上年结转结余预算情况说明</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2124AC">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卫生健康委员会2026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年上年结转结余14.67万元，包括：财政拨款14.67万元，非财政拨款0万元，其中：</w:t>
      </w:r>
      <w:r>
        <w:rPr>
          <w:rFonts w:ascii="MS Gothic" w:eastAsia="MS Gothic" w:hAnsi="MS Gothic" w:cs="MS Gothic" w:hint="eastAsia"/>
          <w:kern w:val="0"/>
          <w:sz w:val="32"/>
          <w:szCs w:val="32"/>
          <w:cs/>
        </w:rPr>
        <w:t>‎</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1.结转项目8结转13.83万元，主要用于：津贴补贴、绩效工资、退休费。 ‎</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2.结转项目1结转0.69万元，主要用于：其他对个人和家庭的补助。 ‎</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3.结转项目2结转0.00004万元，主要用于：完全不予公开。 ‎</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4.结转项目3结转0.09万元，主要用于：完全不予公开。 ‎</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5.结转项目4结转0.000044万元，主要用于：完全不予公开。 ‎</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6.结转项目5结转0.00002万元，主要用于：完全不予公开。 ‎</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7.结转项目6结转0.06万元，主要用于：完全不予公开。 ‎</w:t>
      </w:r>
    </w:p>
    <w:p w:rsidR="000F4CD6" w:rsidRDefault="00B57895">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8.结转项目7结转0.00003万元，主要用于：完全不予公开。 ‎</w:t>
      </w:r>
    </w:p>
    <w:p w:rsidR="000F4CD6" w:rsidRDefault="00B57895">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卫生健康委员会2026年的机关运行经费财政拨款预算81.16万元，比上年预算增加43.84万元，增长117.47%。主要原因是：本年度预算在职人员增加，公用经费增加。</w:t>
      </w: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卫生健康委员会政府采购预算0.60万元，其中：政府采购货物预算0.00万元，政府采购工程预算0.00万元，政府采购服务预算0.60万元。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卫生健康委员会面向中小企业预留政府采购项目预算金额0.60万元，其中：小微企业预留政府采购项目预算金额0.60万元。</w:t>
      </w: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卫生健康委员会占用使用国有资产总体情况为：</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1.房屋3656.66平方米，价值2379.94万元。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2.车辆7辆，价值98.34万元；其中：一般公务用车7辆，价值98.34万元；执法执勤用车0辆，价值0.00万元；其他车辆0辆，价值0.00万元。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3.办公家具价值31.78万元。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4.其他资产价值1845.46万元。</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0F4CD6" w:rsidRDefault="00B57895">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0F4CD6" w:rsidRDefault="00B57895">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2026年，本部门预算绩效管理整体预算绩效目标1个，涉及预算金额1999.99万元；当年预算安排项目共14个，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844.52万元；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2.7万元。具体情况见下表：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0F4CD6" w:rsidRDefault="00B57895">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F4CD6">
        <w:trPr>
          <w:trHeight w:val="516"/>
          <w:jc w:val="center"/>
        </w:trPr>
        <w:tc>
          <w:tcPr>
            <w:tcW w:w="10065" w:type="dxa"/>
            <w:gridSpan w:val="6"/>
            <w:tcBorders>
              <w:top w:val="nil"/>
              <w:left w:val="nil"/>
              <w:bottom w:val="nil"/>
              <w:right w:val="nil"/>
            </w:tcBorders>
            <w:vAlign w:val="center"/>
          </w:tcPr>
          <w:p w:rsidR="000F4CD6" w:rsidRDefault="00B57895">
            <w:pPr>
              <w:jc w:val="center"/>
            </w:pPr>
            <w:r>
              <w:t>（</w:t>
            </w:r>
            <w:r>
              <w:t>2026</w:t>
            </w:r>
            <w:r>
              <w:t>年）</w:t>
            </w:r>
          </w:p>
        </w:tc>
      </w:tr>
      <w:tr w:rsidR="000F4CD6">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2124AC">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卫生健康委员会</w:t>
            </w:r>
            <w:r>
              <w:rPr>
                <w:rFonts w:asciiTheme="majorEastAsia" w:eastAsiaTheme="majorEastAsia" w:hAnsiTheme="majorEastAsia" w:cs="MS Gothic" w:hint="eastAsia"/>
                <w:color w:val="000000"/>
                <w:sz w:val="20"/>
                <w:szCs w:val="20"/>
                <w:cs/>
              </w:rPr>
              <w:t>‎</w:t>
            </w:r>
          </w:p>
        </w:tc>
      </w:tr>
      <w:tr w:rsidR="000F4CD6">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何正欣</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19999451247</w:t>
            </w:r>
            <w:r>
              <w:rPr>
                <w:rFonts w:asciiTheme="majorEastAsia" w:eastAsiaTheme="majorEastAsia" w:hAnsiTheme="majorEastAsia" w:cs="MS Gothic" w:hint="eastAsia"/>
                <w:color w:val="000000"/>
                <w:sz w:val="20"/>
                <w:szCs w:val="20"/>
                <w:cs/>
              </w:rPr>
              <w:t>‎</w:t>
            </w:r>
          </w:p>
        </w:tc>
      </w:tr>
      <w:tr w:rsidR="000F4CD6">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习近平总书记在全国卫生与健康大会发表重要讲话时强调：“在推进健康中国建设的过程中，我们要坚持中国特色卫生与健康发展道路，把握好一些重大问题。要坚持正确的卫生与健康工作方针，以基层为重点，以改革创新为动力，预防为主，中西医并重，将健康融入所有政策，人民共建共享。”目前塔什库尔干县正在聚力打造世界级旅游目的地，各级各部门积极参与，推动道路交通、医疗救治、市场监管、舆情化解等各项工作有序开展，形成“大旅游”发展格局，进一步提升旅游服务品质，满足游客多层次、多样化需求，同样对县域医疗卫生服务质量提出了新要求。“帕米尔旅游区”5A级景区、“花儿为什么这么红”4A级景区、红其拉甫国门4A级景区等塔县著名旅游景点均在乡村两级，基层医疗救治应急能力成为旅游服务质量的关键环节，要坚持把夯实旅游基础服务作为重点，不断补齐短板弱项，提升医疗救治能力，防范化解医疗舆情纠纷，坚定不移推动旅游业高质量发展。计划生育惠民政策得到有效落实。促进计划生育政策的实施，提高家庭生育健康水平，推动人口与经济社会协调发展。以下是根据您提供的信息，整理出的计划生育奖励工作计划概要：确保补助和补贴准确发放到符合条件的家庭和个人，通过信息化手段核实信息，减少误差。南疆地区农村部分计划生育家庭特殊奖励制度补助补受益户数：974户，国家两项计划生育家庭特别扶助补助受益人数：78人。自治区计划生育服务补助：每人每月800元。人员配置：共配备44人，意味着有44名计生专干负责宣传普及：加大政策宣传力度，确保广大农民群众了解各项奖励政策的内容、申请流程等，提高政策知晓率相关工作的推进与执行，开展优化生育政策宣传咨询服务8次，通过全方位、多层次的宣传咨询服务，提升群众对优化生育政策的知晓率和理解度，引导群众树立科学、文明、进步的生育观念。做到惠民惠农补贴发放率100%，计划生育奖励享受对象满意度达到96%，资金监管：建立健全财务管理制度，确保资金使用的透明度和效率，接受社会监督。</w:t>
            </w:r>
            <w:r>
              <w:rPr>
                <w:rFonts w:asciiTheme="majorEastAsia" w:eastAsiaTheme="majorEastAsia" w:hAnsiTheme="majorEastAsia" w:cs="MS Gothic" w:hint="eastAsia"/>
                <w:color w:val="000000"/>
                <w:sz w:val="20"/>
                <w:szCs w:val="20"/>
                <w:cs/>
              </w:rPr>
              <w:t>‎</w:t>
            </w:r>
          </w:p>
        </w:tc>
      </w:tr>
      <w:tr w:rsidR="000F4CD6">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0F4CD6" w:rsidRDefault="00B57895">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0F4CD6">
        <w:trPr>
          <w:trHeight w:val="684"/>
          <w:jc w:val="center"/>
        </w:trPr>
        <w:tc>
          <w:tcPr>
            <w:tcW w:w="2552" w:type="dxa"/>
            <w:gridSpan w:val="2"/>
            <w:vMerge/>
            <w:tcBorders>
              <w:left w:val="single" w:sz="4" w:space="0" w:color="000000"/>
              <w:right w:val="single" w:sz="4" w:space="0" w:color="000000"/>
            </w:tcBorders>
            <w:vAlign w:val="center"/>
          </w:tcPr>
          <w:p w:rsidR="000F4CD6" w:rsidRDefault="000F4CD6">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803.87</w:t>
            </w:r>
            <w:r>
              <w:rPr>
                <w:rFonts w:asciiTheme="majorEastAsia" w:eastAsiaTheme="majorEastAsia" w:hAnsiTheme="majorEastAsia" w:cs="MS Gothic" w:hint="eastAsia"/>
                <w:color w:val="000000"/>
                <w:sz w:val="20"/>
                <w:szCs w:val="20"/>
                <w:cs/>
              </w:rPr>
              <w:t>‎</w:t>
            </w:r>
          </w:p>
        </w:tc>
      </w:tr>
      <w:tr w:rsidR="000F4CD6">
        <w:trPr>
          <w:trHeight w:val="689"/>
          <w:jc w:val="center"/>
        </w:trPr>
        <w:tc>
          <w:tcPr>
            <w:tcW w:w="2552" w:type="dxa"/>
            <w:gridSpan w:val="2"/>
            <w:vMerge/>
            <w:tcBorders>
              <w:left w:val="single" w:sz="4" w:space="0" w:color="000000"/>
              <w:right w:val="single" w:sz="4" w:space="0" w:color="000000"/>
            </w:tcBorders>
            <w:vAlign w:val="center"/>
          </w:tcPr>
          <w:p w:rsidR="000F4CD6" w:rsidRDefault="000F4CD6">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1193.42</w:t>
            </w:r>
          </w:p>
        </w:tc>
      </w:tr>
      <w:tr w:rsidR="000F4CD6">
        <w:trPr>
          <w:trHeight w:val="507"/>
          <w:jc w:val="center"/>
        </w:trPr>
        <w:tc>
          <w:tcPr>
            <w:tcW w:w="2552" w:type="dxa"/>
            <w:gridSpan w:val="2"/>
            <w:vMerge/>
            <w:tcBorders>
              <w:left w:val="single" w:sz="4" w:space="0" w:color="000000"/>
              <w:right w:val="single" w:sz="4" w:space="0" w:color="000000"/>
            </w:tcBorders>
            <w:vAlign w:val="center"/>
          </w:tcPr>
          <w:p w:rsidR="000F4CD6" w:rsidRDefault="000F4CD6">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2.70</w:t>
            </w:r>
            <w:r>
              <w:rPr>
                <w:rFonts w:asciiTheme="majorEastAsia" w:eastAsiaTheme="majorEastAsia" w:hAnsiTheme="majorEastAsia" w:cs="MS Gothic" w:hint="eastAsia"/>
                <w:color w:val="000000"/>
                <w:sz w:val="20"/>
                <w:szCs w:val="20"/>
                <w:cs/>
              </w:rPr>
              <w:t>‎</w:t>
            </w:r>
          </w:p>
        </w:tc>
      </w:tr>
      <w:tr w:rsidR="000F4CD6">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0F4CD6" w:rsidRDefault="000F4CD6">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1999.99</w:t>
            </w:r>
          </w:p>
        </w:tc>
      </w:tr>
      <w:tr w:rsidR="000F4CD6">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0F4CD6">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0F4CD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1276"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0F4CD6">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★国家两项计生奖励扶助补助人数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&gt;=78人</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18</w:t>
            </w:r>
          </w:p>
        </w:tc>
      </w:tr>
      <w:tr w:rsidR="000F4CD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★南疆地区农村计划生育家庭特殊奖励制度补助户数</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&gt;=974人</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18</w:t>
            </w:r>
          </w:p>
        </w:tc>
      </w:tr>
      <w:tr w:rsidR="000F4CD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★自治区计划生育服务补助人数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&gt;=44人</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17</w:t>
            </w:r>
          </w:p>
        </w:tc>
      </w:tr>
      <w:tr w:rsidR="000F4CD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★开展优化生育政策宣传咨询服务次数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=6次</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17</w:t>
            </w:r>
          </w:p>
        </w:tc>
      </w:tr>
      <w:tr w:rsidR="000F4CD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1276" w:type="dxa"/>
            <w:vMerge/>
            <w:tcBorders>
              <w:top w:val="single" w:sz="4" w:space="0" w:color="000000"/>
              <w:left w:val="single" w:sz="4" w:space="0" w:color="000000"/>
              <w:bottom w:val="single" w:sz="4" w:space="0" w:color="000000"/>
              <w:right w:val="single" w:sz="4" w:space="0" w:color="000000"/>
            </w:tcBorders>
            <w:vAlign w:val="center"/>
          </w:tcPr>
          <w:p w:rsidR="000F4CD6" w:rsidRDefault="000F4CD6"/>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★医养结合服务人数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=0</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0</w:t>
            </w:r>
          </w:p>
        </w:tc>
      </w:tr>
      <w:tr w:rsidR="000F4CD6">
        <w:trPr>
          <w:trHeight w:val="547"/>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服务对象满意度</w:t>
            </w:r>
          </w:p>
        </w:tc>
        <w:tc>
          <w:tcPr>
            <w:tcW w:w="1276"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★计划生育奖励享受对象满意度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塔县卫生健康委员会2026年工作计划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0F4CD6" w:rsidRDefault="00B57895">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0F4CD6" w:rsidRDefault="000F4CD6">
      <w:pPr>
        <w:spacing w:line="20" w:lineRule="exact"/>
        <w:jc w:val="center"/>
        <w:rPr>
          <w:rFonts w:ascii="宋体" w:hAnsi="宋体" w:cs="宋体" w:hint="eastAsia"/>
          <w:kern w:val="0"/>
          <w:sz w:val="2"/>
          <w:szCs w:val="2"/>
        </w:rPr>
      </w:pPr>
    </w:p>
    <w:p w:rsidR="000F4CD6" w:rsidRDefault="00B57895">
      <w:r>
        <w:br w:type="page"/>
      </w:r>
    </w:p>
    <w:p w:rsidR="000F4CD6" w:rsidRDefault="000F4CD6">
      <w:pPr>
        <w:spacing w:line="20" w:lineRule="exact"/>
        <w:jc w:val="center"/>
        <w:rPr>
          <w:rFonts w:ascii="宋体" w:hAnsi="宋体" w:cs="宋体" w:hint="eastAsia"/>
          <w:kern w:val="0"/>
          <w:sz w:val="2"/>
          <w:szCs w:val="2"/>
        </w:rPr>
      </w:pPr>
    </w:p>
    <w:p w:rsidR="000F4CD6" w:rsidRDefault="00B5789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F4CD6" w:rsidRDefault="00B5789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F4CD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2124A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卫生健康委员会</w:t>
            </w:r>
            <w:r>
              <w:rPr>
                <w:rFonts w:asciiTheme="majorEastAsia" w:eastAsiaTheme="majorEastAsia" w:hAnsiTheme="majorEastAsia"/>
                <w:sz w:val="18"/>
                <w:szCs w:val="18"/>
                <w:cs/>
              </w:rPr>
              <w:t>‎</w:t>
            </w:r>
          </w:p>
        </w:tc>
      </w:tr>
      <w:tr w:rsidR="000F4CD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塔什库尔干县方舱医院建设项目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何正欣</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F4CD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0F4CD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方舱医院建设项目的总体目标可概括为：快速、大量、安全地集中收治轻症患者及无症状感染者，实现“应收尽收、应治尽治”；构建平急结合、应急优先的医疗救治体系，提升公共卫生应急响应能力。 1.快速部署、高效运行，短时间内形成大规模收治能力，保障轻症与无症状感染者集中收治。 2.完善公共卫生应急医疗资源布局，避免医疗挤兑，提升区域应对重大公共卫生事件的韧性。</w:t>
            </w:r>
          </w:p>
        </w:tc>
      </w:tr>
      <w:tr w:rsidR="000F4CD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F4CD6">
        <w:trPr>
          <w:trHeight w:val="859"/>
          <w:jc w:val="center"/>
        </w:trPr>
        <w:tc>
          <w:tcPr>
            <w:tcW w:w="1131" w:type="dxa"/>
            <w:vMerge w:val="restart"/>
            <w:tcBorders>
              <w:left w:val="single" w:sz="2" w:space="0" w:color="000000"/>
              <w:right w:val="single" w:sz="2" w:space="0" w:color="000000"/>
            </w:tcBorders>
            <w:vAlign w:val="center"/>
          </w:tcPr>
          <w:p w:rsidR="000F4CD6" w:rsidRDefault="00B57895">
            <w:pPr>
              <w:jc w:val="center"/>
            </w:pPr>
            <w:r>
              <w:t>产出指标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方舱医院建设改造面积（平方米）</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8496.21㎡</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资金规范管理使用率（%）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12/30/26</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应急启用响应时长率（%）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成本指标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建设项目成本（万元）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效益指标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应急收治保障能力</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医护人员工作环境满意度（%）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F4CD6" w:rsidRDefault="000F4CD6">
      <w:pPr>
        <w:jc w:val="center"/>
      </w:pPr>
    </w:p>
    <w:p w:rsidR="000F4CD6" w:rsidRDefault="00B57895">
      <w:r>
        <w:br w:type="page"/>
      </w:r>
    </w:p>
    <w:p w:rsidR="000F4CD6" w:rsidRDefault="000F4CD6">
      <w:pPr>
        <w:jc w:val="center"/>
      </w:pPr>
    </w:p>
    <w:p w:rsidR="000F4CD6" w:rsidRDefault="00B5789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F4CD6" w:rsidRDefault="00B5789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F4CD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2124A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卫生健康委员会</w:t>
            </w:r>
            <w:r>
              <w:rPr>
                <w:rFonts w:asciiTheme="majorEastAsia" w:eastAsiaTheme="majorEastAsia" w:hAnsiTheme="majorEastAsia"/>
                <w:sz w:val="18"/>
                <w:szCs w:val="18"/>
                <w:cs/>
              </w:rPr>
              <w:t>‎</w:t>
            </w:r>
          </w:p>
        </w:tc>
      </w:tr>
      <w:tr w:rsidR="000F4CD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计生宣传员工资县级配套部分</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何正欣</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F4CD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10.32</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10.32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0F4CD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10.32万元，县级配套部分10.32;计生专干补贴10.32万元，用于计生专干发放补助每人每月200元；计划生育登记准确率和人口信息登记准确率不低于98%，逐步提高居民优生优育、生殖健康知识知晓率，使受益计生专干人员满意度达98%及以上。</w:t>
            </w:r>
          </w:p>
        </w:tc>
      </w:tr>
      <w:tr w:rsidR="000F4CD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F4CD6">
        <w:trPr>
          <w:trHeight w:val="859"/>
          <w:jc w:val="center"/>
        </w:trPr>
        <w:tc>
          <w:tcPr>
            <w:tcW w:w="1131" w:type="dxa"/>
            <w:vMerge w:val="restart"/>
            <w:tcBorders>
              <w:left w:val="single" w:sz="2" w:space="0" w:color="000000"/>
              <w:right w:val="single" w:sz="2" w:space="0" w:color="000000"/>
            </w:tcBorders>
            <w:vAlign w:val="center"/>
          </w:tcPr>
          <w:p w:rsidR="000F4CD6" w:rsidRDefault="00B57895">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0F4CD6" w:rsidRDefault="00B57895">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计生专干人员发放补助次数</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&gt;=12次</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每季度对辖区内农村育龄妇女检查覆盖率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&gt;=99%</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99%</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计划生育登记准确率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98%</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人口信息登记准确率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98%</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补助资金发放到位及时率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成本指标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计生专干补贴标准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&lt;=200元/月/人</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200元/月/人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效益指标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居民优生优育、生殖健康知识知晓率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F4CD6" w:rsidRDefault="000F4CD6">
      <w:pPr>
        <w:jc w:val="center"/>
      </w:pPr>
    </w:p>
    <w:p w:rsidR="000F4CD6" w:rsidRDefault="00B57895">
      <w:r>
        <w:br w:type="page"/>
      </w:r>
    </w:p>
    <w:p w:rsidR="000F4CD6" w:rsidRDefault="000F4CD6">
      <w:pPr>
        <w:jc w:val="center"/>
      </w:pPr>
    </w:p>
    <w:p w:rsidR="000F4CD6" w:rsidRDefault="00B5789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F4CD6" w:rsidRDefault="00B5789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F4CD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2124A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卫生健康委员会</w:t>
            </w:r>
            <w:r>
              <w:rPr>
                <w:rFonts w:asciiTheme="majorEastAsia" w:eastAsiaTheme="majorEastAsia" w:hAnsiTheme="majorEastAsia"/>
                <w:sz w:val="18"/>
                <w:szCs w:val="18"/>
                <w:cs/>
              </w:rPr>
              <w:t>‎</w:t>
            </w:r>
          </w:p>
        </w:tc>
      </w:tr>
      <w:tr w:rsidR="000F4CD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塔什库尔干县阿巴提镇等十二个乡镇场全民健康体检中心建设项目(人民医院、大同标段)施工项目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何正欣</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F4CD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10</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0F4CD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补齐乡镇公共卫生服务短板，健全全民健康检查、慢病管理、基础诊疗服务阵地，改善基层就医体检环境，提升县域基层健康服务承载力，满足辖区群众常态化健康体检与基本医疗服务需求，夯实乡村医疗卫生高质量发展基础。</w:t>
            </w:r>
          </w:p>
        </w:tc>
      </w:tr>
      <w:tr w:rsidR="000F4CD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F4CD6">
        <w:trPr>
          <w:trHeight w:val="859"/>
          <w:jc w:val="center"/>
        </w:trPr>
        <w:tc>
          <w:tcPr>
            <w:tcW w:w="1131" w:type="dxa"/>
            <w:vMerge w:val="restart"/>
            <w:tcBorders>
              <w:left w:val="single" w:sz="2" w:space="0" w:color="000000"/>
              <w:right w:val="single" w:sz="2" w:space="0" w:color="000000"/>
            </w:tcBorders>
            <w:vAlign w:val="center"/>
          </w:tcPr>
          <w:p w:rsidR="000F4CD6" w:rsidRDefault="00B57895">
            <w:pPr>
              <w:jc w:val="center"/>
            </w:pPr>
            <w:r>
              <w:t>产出指标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完成体检中心功能用房改造建设总面积（平方米）</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7400㎡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医疗卫生用房建设标准达标率（%）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资金规范管理使用率（%）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12/30/26</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保障体检工作正常开展率（%）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成本指标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建设项目成本（万元）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效益指标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保障辖区农牧民常态化健康体检全覆盖</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F4CD6" w:rsidRDefault="000F4CD6">
      <w:pPr>
        <w:jc w:val="center"/>
      </w:pPr>
    </w:p>
    <w:p w:rsidR="000F4CD6" w:rsidRDefault="00B57895">
      <w:r>
        <w:br w:type="page"/>
      </w:r>
    </w:p>
    <w:p w:rsidR="000F4CD6" w:rsidRDefault="000F4CD6">
      <w:pPr>
        <w:jc w:val="center"/>
      </w:pPr>
    </w:p>
    <w:p w:rsidR="000F4CD6" w:rsidRDefault="00B5789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F4CD6" w:rsidRDefault="00B5789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F4CD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2124A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卫生健康委员会</w:t>
            </w:r>
            <w:r>
              <w:rPr>
                <w:rFonts w:asciiTheme="majorEastAsia" w:eastAsiaTheme="majorEastAsia" w:hAnsiTheme="majorEastAsia"/>
                <w:sz w:val="18"/>
                <w:szCs w:val="18"/>
                <w:cs/>
              </w:rPr>
              <w:t>‎</w:t>
            </w:r>
          </w:p>
        </w:tc>
      </w:tr>
      <w:tr w:rsidR="000F4CD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塔什库尔干县方舱隔离点建设项目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何正欣</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F4CD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0F4CD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1.快速建成标准化、规范化集中隔离场所，满足区域突发疫情时密接、次密接及风险人员集中隔离管控需求，阻断病毒传播链条，降低社区感染风险。 2.完善住宿、消杀、医护、垃圾处理、通风排污、消防、安防等配套设施，具备隔离观察、健康监测、基础诊疗、生活保障全流程服务能力。 3.严格遵循防疫建筑规范、卫生防护标准，分区（清洁区、半污染区、污染区）合理划分，实现人流、物流分离，杜绝交叉感染，保障工作人员与隔离人员双向安全。</w:t>
            </w:r>
          </w:p>
        </w:tc>
      </w:tr>
      <w:tr w:rsidR="000F4CD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F4CD6">
        <w:trPr>
          <w:trHeight w:val="859"/>
          <w:jc w:val="center"/>
        </w:trPr>
        <w:tc>
          <w:tcPr>
            <w:tcW w:w="1131" w:type="dxa"/>
            <w:vMerge w:val="restart"/>
            <w:tcBorders>
              <w:left w:val="single" w:sz="2" w:space="0" w:color="000000"/>
              <w:right w:val="single" w:sz="2" w:space="0" w:color="000000"/>
            </w:tcBorders>
            <w:vAlign w:val="center"/>
          </w:tcPr>
          <w:p w:rsidR="000F4CD6" w:rsidRDefault="00B57895">
            <w:pPr>
              <w:jc w:val="center"/>
            </w:pPr>
            <w:r>
              <w:t>产出指标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方舱隔离点建设改造面积（平方米）</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9435㎡</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资金规范管理使用率（%）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12/30/26</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突发应急情况下可快速投入使用率（%）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成本指标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建设项目成本（万元）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效益指标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提升辖区突发公共卫生事件应急处置能力</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隔离人员生活保障、居住环境满意度（%）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F4CD6" w:rsidRDefault="000F4CD6">
      <w:pPr>
        <w:jc w:val="center"/>
      </w:pPr>
    </w:p>
    <w:p w:rsidR="000F4CD6" w:rsidRDefault="00B57895">
      <w:r>
        <w:br w:type="page"/>
      </w:r>
    </w:p>
    <w:p w:rsidR="000F4CD6" w:rsidRDefault="000F4CD6">
      <w:pPr>
        <w:jc w:val="center"/>
      </w:pPr>
    </w:p>
    <w:p w:rsidR="000F4CD6" w:rsidRDefault="00B57895">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0F4CD6" w:rsidRDefault="00B57895">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0F4CD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2124A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卫生健康委员会</w:t>
            </w:r>
            <w:r>
              <w:rPr>
                <w:rFonts w:asciiTheme="majorEastAsia" w:eastAsiaTheme="majorEastAsia" w:hAnsiTheme="majorEastAsia"/>
                <w:sz w:val="18"/>
                <w:szCs w:val="18"/>
                <w:cs/>
              </w:rPr>
              <w:t>‎</w:t>
            </w:r>
          </w:p>
        </w:tc>
      </w:tr>
      <w:tr w:rsidR="000F4CD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塔什库尔干县组织部配套党员活动经费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何正欣</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0F4CD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2.70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2.70</w:t>
            </w:r>
            <w:r>
              <w:rPr>
                <w:rFonts w:asciiTheme="majorEastAsia" w:eastAsiaTheme="majorEastAsia" w:hAnsiTheme="majorEastAsia"/>
                <w:sz w:val="18"/>
                <w:szCs w:val="18"/>
                <w:cs/>
              </w:rPr>
              <w:t>‎</w:t>
            </w:r>
          </w:p>
        </w:tc>
      </w:tr>
      <w:tr w:rsidR="000F4CD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0F4CD6" w:rsidRDefault="00B57895">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党员活动专项经费、规范基层党组织“三会一课”、主题党日、党员教育培训、铸牢中华民族共同体意识宣讲、党员志愿服务等组织生活开展。立足本县边境高原、多民族聚居实际，重点保障塔吉克、柯尔克孜等各族农牧民党员学习教育、红色实践、基层治理相关活动需求，持续强化党员思想政治教育，提升全体党员党性修养与民族团结意识，夯实边境一线基层党组织战斗堡垒。基层党务工作者、各族党员综合满意度达到96%以上。</w:t>
            </w:r>
          </w:p>
        </w:tc>
      </w:tr>
      <w:tr w:rsidR="000F4CD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0F4CD6">
        <w:trPr>
          <w:trHeight w:val="859"/>
          <w:jc w:val="center"/>
        </w:trPr>
        <w:tc>
          <w:tcPr>
            <w:tcW w:w="1131" w:type="dxa"/>
            <w:vMerge w:val="restart"/>
            <w:tcBorders>
              <w:left w:val="single" w:sz="2" w:space="0" w:color="000000"/>
              <w:right w:val="single" w:sz="2" w:space="0" w:color="000000"/>
            </w:tcBorders>
            <w:vAlign w:val="center"/>
          </w:tcPr>
          <w:p w:rsidR="000F4CD6" w:rsidRDefault="00B57895">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覆盖党支部数量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党员慰问、党员志愿服务活动</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≥4次</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val="restart"/>
            <w:tcBorders>
              <w:left w:val="single" w:sz="2" w:space="0" w:color="000000"/>
              <w:bottom w:val="single" w:sz="2" w:space="0" w:color="000000"/>
              <w:right w:val="single" w:sz="2" w:space="0" w:color="000000"/>
            </w:tcBorders>
            <w:vAlign w:val="center"/>
          </w:tcPr>
          <w:p w:rsidR="000F4CD6" w:rsidRDefault="00B57895">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经费使用合规率（%）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vMerge/>
            <w:tcBorders>
              <w:left w:val="single" w:sz="2" w:space="0" w:color="000000"/>
              <w:bottom w:val="single" w:sz="2" w:space="0" w:color="000000"/>
              <w:right w:val="single" w:sz="2" w:space="0" w:color="000000"/>
            </w:tcBorders>
            <w:vAlign w:val="center"/>
          </w:tcPr>
          <w:p w:rsidR="000F4CD6" w:rsidRDefault="000F4CD6"/>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主题活动规范达标率（%）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vMerge/>
            <w:tcBorders>
              <w:left w:val="single" w:sz="2" w:space="0" w:color="000000"/>
              <w:right w:val="single" w:sz="2" w:space="0" w:color="000000"/>
            </w:tcBorders>
            <w:vAlign w:val="center"/>
          </w:tcPr>
          <w:p w:rsidR="000F4CD6" w:rsidRDefault="000F4CD6"/>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年度配套经费拨付及时率（%）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成本指标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项目总支出</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2.6986万元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效益指标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党员参与志愿服务、乡村振兴、边境管控、民生服务积极性明显提高</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0F4CD6">
        <w:trPr>
          <w:trHeight w:val="859"/>
          <w:jc w:val="center"/>
        </w:trPr>
        <w:tc>
          <w:tcPr>
            <w:tcW w:w="1131" w:type="dxa"/>
            <w:tcBorders>
              <w:left w:val="single" w:sz="2" w:space="0" w:color="000000"/>
              <w:right w:val="single" w:sz="2" w:space="0" w:color="000000"/>
            </w:tcBorders>
            <w:vAlign w:val="center"/>
          </w:tcPr>
          <w:p w:rsidR="000F4CD6" w:rsidRDefault="00B57895">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0F4CD6" w:rsidRDefault="00B57895">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参与活动各族党员满意度（%）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≥96%</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0F4CD6" w:rsidRDefault="00B57895">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0F4CD6" w:rsidRDefault="000F4CD6">
      <w:pPr>
        <w:jc w:val="center"/>
      </w:pPr>
    </w:p>
    <w:p w:rsidR="000F4CD6" w:rsidRDefault="00B57895">
      <w:r>
        <w:br w:type="page"/>
      </w:r>
    </w:p>
    <w:p w:rsidR="000F4CD6" w:rsidRDefault="000F4CD6">
      <w:pPr>
        <w:jc w:val="center"/>
      </w:pPr>
    </w:p>
    <w:p w:rsidR="000F4CD6" w:rsidRDefault="00B57895">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0F4CD6" w:rsidRDefault="00B57895">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1、本次未公开项目支出绩效目标表共有9个，全部为sm项目，涉及财政拨款资金804.2万元，非财政拨款资金0万元，全部不予公开。</w:t>
      </w:r>
    </w:p>
    <w:p w:rsidR="000F4CD6" w:rsidRDefault="00B57895">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0F4CD6" w:rsidRDefault="00B57895">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0F4CD6" w:rsidRDefault="000F4CD6">
      <w:pPr>
        <w:spacing w:line="520" w:lineRule="exact"/>
        <w:ind w:firstLine="642"/>
        <w:rPr>
          <w:rFonts w:ascii="仿宋_GB2312" w:eastAsia="仿宋_GB2312" w:hAnsi="宋体" w:cs="宋体" w:hint="eastAsia"/>
          <w:b/>
          <w:kern w:val="0"/>
          <w:sz w:val="28"/>
          <w:szCs w:val="28"/>
        </w:rPr>
      </w:pPr>
    </w:p>
    <w:p w:rsidR="000F4CD6" w:rsidRDefault="00B57895">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0F4CD6" w:rsidRDefault="00B57895">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0F4CD6" w:rsidRDefault="00B57895">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0F4CD6" w:rsidRDefault="00B57895">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0F4CD6" w:rsidRDefault="00B57895">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0F4CD6" w:rsidRDefault="00B57895">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0F4CD6" w:rsidRDefault="00B57895">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0F4CD6" w:rsidRDefault="00B57895">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0F4CD6" w:rsidRDefault="00B57895">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0F4CD6" w:rsidRDefault="000F4CD6">
      <w:pPr>
        <w:widowControl/>
        <w:spacing w:line="520" w:lineRule="exact"/>
        <w:jc w:val="right"/>
        <w:rPr>
          <w:rFonts w:ascii="仿宋_GB2312" w:eastAsia="仿宋_GB2312" w:hAnsi="宋体" w:cs="宋体" w:hint="eastAsia"/>
          <w:kern w:val="0"/>
          <w:sz w:val="28"/>
          <w:szCs w:val="28"/>
        </w:rPr>
      </w:pPr>
    </w:p>
    <w:p w:rsidR="000F4CD6" w:rsidRDefault="000F4CD6">
      <w:pPr>
        <w:widowControl/>
        <w:spacing w:line="520" w:lineRule="exact"/>
        <w:jc w:val="right"/>
        <w:rPr>
          <w:rFonts w:ascii="仿宋_GB2312" w:eastAsia="仿宋_GB2312" w:hAnsi="宋体" w:cs="宋体" w:hint="eastAsia"/>
          <w:kern w:val="0"/>
          <w:sz w:val="28"/>
          <w:szCs w:val="28"/>
        </w:rPr>
      </w:pPr>
    </w:p>
    <w:p w:rsidR="000F4CD6" w:rsidRDefault="000F4CD6">
      <w:pPr>
        <w:widowControl/>
        <w:spacing w:line="520" w:lineRule="exact"/>
        <w:jc w:val="right"/>
        <w:rPr>
          <w:rFonts w:ascii="仿宋_GB2312" w:eastAsia="仿宋_GB2312" w:hAnsi="宋体" w:cs="宋体" w:hint="eastAsia"/>
          <w:kern w:val="0"/>
          <w:sz w:val="28"/>
          <w:szCs w:val="28"/>
        </w:rPr>
      </w:pPr>
    </w:p>
    <w:p w:rsidR="000F4CD6" w:rsidRDefault="000F4CD6">
      <w:pPr>
        <w:widowControl/>
        <w:spacing w:line="520" w:lineRule="exact"/>
        <w:jc w:val="right"/>
        <w:rPr>
          <w:rFonts w:ascii="仿宋_GB2312" w:eastAsia="仿宋_GB2312" w:hAnsi="宋体" w:cs="宋体" w:hint="eastAsia"/>
          <w:kern w:val="0"/>
          <w:sz w:val="28"/>
          <w:szCs w:val="28"/>
        </w:rPr>
      </w:pPr>
    </w:p>
    <w:p w:rsidR="000F4CD6" w:rsidRDefault="00B57895">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2124A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卫生健康委员会</w:t>
      </w:r>
    </w:p>
    <w:p w:rsidR="000F4CD6" w:rsidRDefault="00B57895">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0F4CD6" w:rsidRDefault="000F4CD6"/>
    <w:sectPr w:rsidR="000F4CD6">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7895" w:rsidRDefault="00B57895">
      <w:pPr>
        <w:spacing w:after="0" w:line="240" w:lineRule="auto"/>
      </w:pPr>
      <w:r>
        <w:separator/>
      </w:r>
    </w:p>
  </w:endnote>
  <w:endnote w:type="continuationSeparator" w:id="0">
    <w:p w:rsidR="00B57895" w:rsidRDefault="00B5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4CD6" w:rsidRDefault="00B57895">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0F4CD6" w:rsidRDefault="000F4CD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4CD6" w:rsidRDefault="00B57895">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0F4CD6" w:rsidRDefault="000F4C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7895" w:rsidRDefault="00B57895">
      <w:pPr>
        <w:spacing w:after="0" w:line="240" w:lineRule="auto"/>
      </w:pPr>
      <w:r>
        <w:separator/>
      </w:r>
    </w:p>
  </w:footnote>
  <w:footnote w:type="continuationSeparator" w:id="0">
    <w:p w:rsidR="00B57895" w:rsidRDefault="00B578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4CD6"/>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1279"/>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4AC"/>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442F"/>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99"/>
    <w:rsid w:val="00596CC0"/>
    <w:rsid w:val="005A05C9"/>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66CF"/>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0E5C"/>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3AF"/>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57895"/>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4FBD"/>
    <w:rsid w:val="00D458D3"/>
    <w:rsid w:val="00D47630"/>
    <w:rsid w:val="00D47844"/>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2DC62AE4"/>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3432</TotalTime>
  <Pages>2</Pages>
  <Words>3425</Words>
  <Characters>19529</Characters>
  <Application>Microsoft Office Word</Application>
  <DocSecurity>0</DocSecurity>
  <Lines>162</Lines>
  <Paragraphs>45</Paragraphs>
  <ScaleCrop>false</ScaleCrop>
  <Manager>海哥</Manager>
  <Company>喀什跃达共创信息技术有限责任公司</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2026-09-08T05:39:00Z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