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i w:val="0"/>
          <w:iCs w:val="0"/>
          <w:caps w:val="0"/>
          <w:color w:val="333333"/>
          <w:spacing w:val="0"/>
          <w:sz w:val="44"/>
          <w:szCs w:val="44"/>
          <w:shd w:val="clear" w:fill="FFFFFF"/>
          <w:lang w:eastAsia="zh-CN"/>
        </w:rPr>
      </w:pPr>
      <w:r>
        <w:rPr>
          <w:rFonts w:hint="eastAsia" w:ascii="仿宋_GB2312" w:hAnsi="仿宋_GB2312" w:eastAsia="仿宋_GB2312" w:cs="仿宋_GB2312"/>
          <w:b/>
          <w:bCs/>
          <w:i w:val="0"/>
          <w:iCs w:val="0"/>
          <w:caps w:val="0"/>
          <w:color w:val="333333"/>
          <w:spacing w:val="0"/>
          <w:sz w:val="44"/>
          <w:szCs w:val="44"/>
          <w:shd w:val="clear" w:fill="FFFFFF"/>
          <w:lang w:val="en-US" w:eastAsia="zh-CN"/>
        </w:rPr>
        <w:t>塔什库尔干县</w:t>
      </w:r>
      <w:r>
        <w:rPr>
          <w:rFonts w:hint="eastAsia" w:ascii="仿宋_GB2312" w:hAnsi="仿宋_GB2312" w:eastAsia="仿宋_GB2312" w:cs="仿宋_GB2312"/>
          <w:b/>
          <w:bCs/>
          <w:i w:val="0"/>
          <w:iCs w:val="0"/>
          <w:caps w:val="0"/>
          <w:color w:val="333333"/>
          <w:spacing w:val="0"/>
          <w:sz w:val="44"/>
          <w:szCs w:val="44"/>
          <w:shd w:val="clear" w:fill="FFFFFF"/>
        </w:rPr>
        <w:t>广播电视领域基层政务公开标准目录</w:t>
      </w:r>
    </w:p>
    <w:tbl>
      <w:tblPr>
        <w:tblStyle w:val="3"/>
        <w:tblpPr w:leftFromText="180" w:rightFromText="180" w:vertAnchor="text" w:horzAnchor="page" w:tblpXSpec="center" w:tblpY="1236"/>
        <w:tblOverlap w:val="never"/>
        <w:tblW w:w="100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30"/>
        <w:gridCol w:w="270"/>
        <w:gridCol w:w="675"/>
        <w:gridCol w:w="765"/>
        <w:gridCol w:w="1500"/>
        <w:gridCol w:w="1440"/>
        <w:gridCol w:w="899"/>
        <w:gridCol w:w="315"/>
        <w:gridCol w:w="1755"/>
        <w:gridCol w:w="360"/>
        <w:gridCol w:w="405"/>
        <w:gridCol w:w="300"/>
        <w:gridCol w:w="345"/>
        <w:gridCol w:w="345"/>
        <w:gridCol w:w="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40" w:hRule="atLeast"/>
          <w:jc w:val="center"/>
        </w:trPr>
        <w:tc>
          <w:tcPr>
            <w:tcW w:w="330" w:type="dxa"/>
            <w:vMerge w:val="restart"/>
            <w:shd w:val="clear" w:color="auto" w:fill="auto"/>
            <w:tcMar>
              <w:top w:w="15" w:type="dxa"/>
              <w:left w:w="8" w:type="dxa"/>
              <w:right w:w="8" w:type="dxa"/>
            </w:tcMar>
            <w:vAlign w:val="center"/>
          </w:tcPr>
          <w:p>
            <w:pPr>
              <w:jc w:val="center"/>
              <w:rPr>
                <w:rFonts w:hint="eastAsia" w:ascii="宋体"/>
                <w:b/>
                <w:bCs/>
                <w:color w:val="333333"/>
                <w:sz w:val="24"/>
                <w:szCs w:val="24"/>
              </w:rPr>
            </w:pPr>
            <w:r>
              <w:rPr>
                <w:rFonts w:hint="eastAsia" w:ascii="宋体"/>
                <w:b/>
                <w:bCs/>
                <w:color w:val="333333"/>
                <w:sz w:val="24"/>
                <w:szCs w:val="24"/>
              </w:rPr>
              <w:t>序</w:t>
            </w:r>
          </w:p>
          <w:p>
            <w:pPr>
              <w:jc w:val="center"/>
              <w:rPr>
                <w:rFonts w:hint="eastAsia" w:ascii="宋体"/>
                <w:b/>
                <w:bCs/>
                <w:color w:val="333333"/>
                <w:sz w:val="24"/>
                <w:szCs w:val="24"/>
              </w:rPr>
            </w:pPr>
            <w:r>
              <w:rPr>
                <w:rFonts w:hint="eastAsia" w:ascii="宋体"/>
                <w:b/>
                <w:bCs/>
                <w:color w:val="333333"/>
                <w:sz w:val="24"/>
                <w:szCs w:val="24"/>
              </w:rPr>
              <w:t>号</w:t>
            </w:r>
          </w:p>
        </w:tc>
        <w:tc>
          <w:tcPr>
            <w:tcW w:w="270" w:type="dxa"/>
            <w:vMerge w:val="restart"/>
            <w:shd w:val="clear" w:color="auto" w:fill="auto"/>
            <w:tcMar>
              <w:top w:w="15" w:type="dxa"/>
              <w:left w:w="8" w:type="dxa"/>
              <w:right w:w="8" w:type="dxa"/>
            </w:tcMar>
            <w:vAlign w:val="center"/>
          </w:tcPr>
          <w:p>
            <w:pPr>
              <w:jc w:val="center"/>
              <w:rPr>
                <w:rFonts w:hint="eastAsia" w:ascii="宋体"/>
                <w:b/>
                <w:bCs/>
                <w:color w:val="333333"/>
                <w:sz w:val="24"/>
                <w:szCs w:val="24"/>
              </w:rPr>
            </w:pPr>
            <w:r>
              <w:rPr>
                <w:rFonts w:hint="eastAsia" w:ascii="宋体"/>
                <w:b/>
                <w:bCs/>
                <w:color w:val="333333"/>
                <w:sz w:val="24"/>
                <w:szCs w:val="24"/>
              </w:rPr>
              <w:t>事项类型</w:t>
            </w:r>
          </w:p>
        </w:tc>
        <w:tc>
          <w:tcPr>
            <w:tcW w:w="1440" w:type="dxa"/>
            <w:gridSpan w:val="2"/>
            <w:shd w:val="clear" w:color="auto" w:fill="auto"/>
            <w:tcMar>
              <w:top w:w="15" w:type="dxa"/>
              <w:left w:w="8" w:type="dxa"/>
              <w:right w:w="8" w:type="dxa"/>
            </w:tcMar>
            <w:vAlign w:val="center"/>
          </w:tcPr>
          <w:p>
            <w:pPr>
              <w:jc w:val="center"/>
              <w:rPr>
                <w:rFonts w:hint="eastAsia" w:ascii="宋体"/>
                <w:b/>
                <w:bCs/>
                <w:color w:val="333333"/>
                <w:sz w:val="24"/>
                <w:szCs w:val="24"/>
              </w:rPr>
            </w:pPr>
            <w:r>
              <w:rPr>
                <w:rFonts w:hint="eastAsia" w:ascii="宋体"/>
                <w:b/>
                <w:bCs/>
                <w:color w:val="333333"/>
                <w:sz w:val="24"/>
                <w:szCs w:val="24"/>
              </w:rPr>
              <w:t>公开事项</w:t>
            </w:r>
          </w:p>
        </w:tc>
        <w:tc>
          <w:tcPr>
            <w:tcW w:w="1500" w:type="dxa"/>
            <w:vMerge w:val="restart"/>
            <w:shd w:val="clear" w:color="auto" w:fill="auto"/>
            <w:tcMar>
              <w:top w:w="15" w:type="dxa"/>
              <w:left w:w="8" w:type="dxa"/>
              <w:right w:w="8" w:type="dxa"/>
            </w:tcMar>
            <w:vAlign w:val="center"/>
          </w:tcPr>
          <w:p>
            <w:pPr>
              <w:jc w:val="center"/>
              <w:rPr>
                <w:rFonts w:hint="eastAsia" w:ascii="宋体"/>
                <w:b/>
                <w:bCs/>
                <w:color w:val="333333"/>
                <w:sz w:val="24"/>
                <w:szCs w:val="24"/>
              </w:rPr>
            </w:pPr>
            <w:r>
              <w:rPr>
                <w:rFonts w:hint="eastAsia" w:ascii="宋体"/>
                <w:b/>
                <w:bCs/>
                <w:color w:val="333333"/>
                <w:sz w:val="24"/>
                <w:szCs w:val="24"/>
              </w:rPr>
              <w:t>公开内容（要素）</w:t>
            </w:r>
          </w:p>
        </w:tc>
        <w:tc>
          <w:tcPr>
            <w:tcW w:w="1440" w:type="dxa"/>
            <w:vMerge w:val="restart"/>
            <w:shd w:val="clear" w:color="auto" w:fill="auto"/>
            <w:tcMar>
              <w:top w:w="15" w:type="dxa"/>
              <w:left w:w="8" w:type="dxa"/>
              <w:right w:w="8" w:type="dxa"/>
            </w:tcMar>
            <w:vAlign w:val="center"/>
          </w:tcPr>
          <w:p>
            <w:pPr>
              <w:jc w:val="center"/>
              <w:rPr>
                <w:rFonts w:hint="eastAsia" w:ascii="宋体"/>
                <w:b/>
                <w:bCs/>
                <w:color w:val="333333"/>
                <w:sz w:val="24"/>
                <w:szCs w:val="24"/>
              </w:rPr>
            </w:pPr>
            <w:r>
              <w:rPr>
                <w:rFonts w:hint="eastAsia" w:ascii="宋体"/>
                <w:b/>
                <w:bCs/>
                <w:color w:val="333333"/>
                <w:sz w:val="24"/>
                <w:szCs w:val="24"/>
              </w:rPr>
              <w:t>公开依据</w:t>
            </w:r>
          </w:p>
        </w:tc>
        <w:tc>
          <w:tcPr>
            <w:tcW w:w="899" w:type="dxa"/>
            <w:vMerge w:val="restart"/>
            <w:shd w:val="clear" w:color="auto" w:fill="auto"/>
            <w:tcMar>
              <w:top w:w="15" w:type="dxa"/>
              <w:left w:w="8" w:type="dxa"/>
              <w:right w:w="8" w:type="dxa"/>
            </w:tcMar>
            <w:vAlign w:val="center"/>
          </w:tcPr>
          <w:p>
            <w:pPr>
              <w:jc w:val="center"/>
              <w:rPr>
                <w:rFonts w:hint="eastAsia" w:ascii="宋体"/>
                <w:b/>
                <w:bCs/>
                <w:color w:val="333333"/>
                <w:sz w:val="24"/>
                <w:szCs w:val="24"/>
              </w:rPr>
            </w:pPr>
            <w:r>
              <w:rPr>
                <w:rFonts w:hint="eastAsia" w:ascii="宋体"/>
                <w:b/>
                <w:bCs/>
                <w:color w:val="333333"/>
                <w:sz w:val="24"/>
                <w:szCs w:val="24"/>
              </w:rPr>
              <w:t>公开时限</w:t>
            </w:r>
          </w:p>
        </w:tc>
        <w:tc>
          <w:tcPr>
            <w:tcW w:w="315" w:type="dxa"/>
            <w:vMerge w:val="restart"/>
            <w:shd w:val="clear" w:color="auto" w:fill="auto"/>
            <w:tcMar>
              <w:top w:w="15" w:type="dxa"/>
              <w:left w:w="8" w:type="dxa"/>
              <w:right w:w="8" w:type="dxa"/>
            </w:tcMar>
            <w:vAlign w:val="center"/>
          </w:tcPr>
          <w:p>
            <w:pPr>
              <w:jc w:val="center"/>
              <w:rPr>
                <w:rFonts w:hint="eastAsia" w:ascii="宋体"/>
                <w:b/>
                <w:bCs/>
                <w:color w:val="333333"/>
                <w:sz w:val="24"/>
                <w:szCs w:val="24"/>
              </w:rPr>
            </w:pPr>
            <w:r>
              <w:rPr>
                <w:rFonts w:hint="eastAsia" w:ascii="宋体"/>
                <w:b/>
                <w:bCs/>
                <w:color w:val="333333"/>
                <w:sz w:val="24"/>
                <w:szCs w:val="24"/>
              </w:rPr>
              <w:t>公开</w:t>
            </w:r>
            <w:r>
              <w:rPr>
                <w:rFonts w:hint="eastAsia" w:ascii="宋体"/>
                <w:b/>
                <w:bCs/>
                <w:color w:val="333333"/>
                <w:sz w:val="24"/>
                <w:szCs w:val="24"/>
              </w:rPr>
              <w:br w:type="textWrapping"/>
            </w:r>
            <w:r>
              <w:rPr>
                <w:rFonts w:hint="eastAsia" w:ascii="宋体"/>
                <w:b/>
                <w:bCs/>
                <w:color w:val="333333"/>
                <w:sz w:val="24"/>
                <w:szCs w:val="24"/>
              </w:rPr>
              <w:t>主体</w:t>
            </w:r>
          </w:p>
        </w:tc>
        <w:tc>
          <w:tcPr>
            <w:tcW w:w="1755" w:type="dxa"/>
            <w:vMerge w:val="restart"/>
            <w:shd w:val="clear" w:color="auto" w:fill="auto"/>
            <w:tcMar>
              <w:top w:w="15" w:type="dxa"/>
              <w:left w:w="8" w:type="dxa"/>
              <w:right w:w="8" w:type="dxa"/>
            </w:tcMar>
            <w:vAlign w:val="center"/>
          </w:tcPr>
          <w:p>
            <w:pPr>
              <w:jc w:val="center"/>
              <w:rPr>
                <w:rFonts w:hint="eastAsia" w:ascii="宋体"/>
                <w:b/>
                <w:bCs/>
                <w:color w:val="333333"/>
                <w:sz w:val="24"/>
                <w:szCs w:val="24"/>
              </w:rPr>
            </w:pPr>
            <w:r>
              <w:rPr>
                <w:rFonts w:hint="eastAsia" w:ascii="宋体"/>
                <w:b/>
                <w:bCs/>
                <w:color w:val="333333"/>
                <w:sz w:val="24"/>
                <w:szCs w:val="24"/>
              </w:rPr>
              <w:t>公开渠道和载体</w:t>
            </w:r>
          </w:p>
        </w:tc>
        <w:tc>
          <w:tcPr>
            <w:tcW w:w="765" w:type="dxa"/>
            <w:gridSpan w:val="2"/>
            <w:shd w:val="clear" w:color="auto" w:fill="auto"/>
            <w:tcMar>
              <w:top w:w="15" w:type="dxa"/>
              <w:left w:w="8" w:type="dxa"/>
              <w:right w:w="8" w:type="dxa"/>
            </w:tcMar>
            <w:vAlign w:val="center"/>
          </w:tcPr>
          <w:p>
            <w:pPr>
              <w:jc w:val="center"/>
              <w:rPr>
                <w:rFonts w:hint="eastAsia" w:ascii="宋体"/>
                <w:b/>
                <w:bCs/>
                <w:color w:val="333333"/>
                <w:sz w:val="24"/>
                <w:szCs w:val="24"/>
              </w:rPr>
            </w:pPr>
            <w:r>
              <w:rPr>
                <w:rFonts w:hint="eastAsia" w:ascii="宋体"/>
                <w:b/>
                <w:bCs/>
                <w:color w:val="333333"/>
                <w:sz w:val="24"/>
                <w:szCs w:val="24"/>
              </w:rPr>
              <w:t>公开</w:t>
            </w:r>
          </w:p>
          <w:p>
            <w:pPr>
              <w:jc w:val="center"/>
              <w:rPr>
                <w:rFonts w:hint="eastAsia" w:ascii="宋体"/>
                <w:b/>
                <w:bCs/>
                <w:color w:val="333333"/>
                <w:sz w:val="24"/>
                <w:szCs w:val="24"/>
              </w:rPr>
            </w:pPr>
            <w:r>
              <w:rPr>
                <w:rFonts w:hint="eastAsia" w:ascii="宋体"/>
                <w:b/>
                <w:bCs/>
                <w:color w:val="333333"/>
                <w:sz w:val="24"/>
                <w:szCs w:val="24"/>
              </w:rPr>
              <w:t>对象</w:t>
            </w:r>
          </w:p>
        </w:tc>
        <w:tc>
          <w:tcPr>
            <w:tcW w:w="645" w:type="dxa"/>
            <w:gridSpan w:val="2"/>
            <w:shd w:val="clear" w:color="auto" w:fill="auto"/>
            <w:tcMar>
              <w:top w:w="15" w:type="dxa"/>
              <w:left w:w="8" w:type="dxa"/>
              <w:right w:w="8" w:type="dxa"/>
            </w:tcMar>
            <w:vAlign w:val="center"/>
          </w:tcPr>
          <w:p>
            <w:pPr>
              <w:jc w:val="center"/>
              <w:rPr>
                <w:rFonts w:hint="eastAsia" w:ascii="宋体"/>
                <w:b/>
                <w:bCs/>
                <w:color w:val="333333"/>
                <w:sz w:val="24"/>
                <w:szCs w:val="24"/>
              </w:rPr>
            </w:pPr>
            <w:r>
              <w:rPr>
                <w:rFonts w:hint="eastAsia" w:ascii="宋体"/>
                <w:b/>
                <w:bCs/>
                <w:color w:val="333333"/>
                <w:sz w:val="24"/>
                <w:szCs w:val="24"/>
              </w:rPr>
              <w:t>公开方式</w:t>
            </w:r>
          </w:p>
        </w:tc>
        <w:tc>
          <w:tcPr>
            <w:tcW w:w="690" w:type="dxa"/>
            <w:gridSpan w:val="2"/>
            <w:shd w:val="clear" w:color="auto" w:fill="auto"/>
            <w:tcMar>
              <w:top w:w="15" w:type="dxa"/>
              <w:left w:w="8" w:type="dxa"/>
              <w:right w:w="8" w:type="dxa"/>
            </w:tcMar>
            <w:vAlign w:val="center"/>
          </w:tcPr>
          <w:p>
            <w:pPr>
              <w:jc w:val="center"/>
              <w:rPr>
                <w:rFonts w:hint="eastAsia" w:ascii="宋体"/>
                <w:b/>
                <w:bCs/>
                <w:color w:val="333333"/>
                <w:sz w:val="24"/>
                <w:szCs w:val="24"/>
              </w:rPr>
            </w:pPr>
            <w:r>
              <w:rPr>
                <w:rFonts w:hint="eastAsia" w:ascii="宋体"/>
                <w:b/>
                <w:bCs/>
                <w:color w:val="333333"/>
                <w:sz w:val="24"/>
                <w:szCs w:val="24"/>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241" w:hRule="atLeast"/>
          <w:jc w:val="center"/>
        </w:trPr>
        <w:tc>
          <w:tcPr>
            <w:tcW w:w="330" w:type="dxa"/>
            <w:vMerge w:val="continue"/>
            <w:shd w:val="clear" w:color="auto" w:fill="auto"/>
            <w:tcMar>
              <w:top w:w="15" w:type="dxa"/>
              <w:left w:w="8" w:type="dxa"/>
              <w:right w:w="8" w:type="dxa"/>
            </w:tcMar>
            <w:vAlign w:val="center"/>
          </w:tcPr>
          <w:p>
            <w:pPr>
              <w:jc w:val="center"/>
              <w:rPr>
                <w:rFonts w:hint="eastAsia" w:ascii="宋体"/>
                <w:b/>
                <w:bCs/>
                <w:color w:val="333333"/>
                <w:sz w:val="24"/>
                <w:szCs w:val="24"/>
              </w:rPr>
            </w:pPr>
          </w:p>
        </w:tc>
        <w:tc>
          <w:tcPr>
            <w:tcW w:w="270" w:type="dxa"/>
            <w:vMerge w:val="continue"/>
            <w:shd w:val="clear" w:color="auto" w:fill="auto"/>
            <w:tcMar>
              <w:top w:w="15" w:type="dxa"/>
              <w:left w:w="8" w:type="dxa"/>
              <w:right w:w="8" w:type="dxa"/>
            </w:tcMar>
            <w:vAlign w:val="center"/>
          </w:tcPr>
          <w:p>
            <w:pPr>
              <w:jc w:val="center"/>
              <w:rPr>
                <w:rFonts w:hint="eastAsia" w:ascii="宋体"/>
                <w:b/>
                <w:bCs/>
                <w:color w:val="333333"/>
                <w:sz w:val="24"/>
                <w:szCs w:val="24"/>
              </w:rPr>
            </w:pPr>
          </w:p>
        </w:tc>
        <w:tc>
          <w:tcPr>
            <w:tcW w:w="675" w:type="dxa"/>
            <w:shd w:val="clear" w:color="auto" w:fill="auto"/>
            <w:tcMar>
              <w:top w:w="15" w:type="dxa"/>
              <w:left w:w="8" w:type="dxa"/>
              <w:right w:w="8" w:type="dxa"/>
            </w:tcMar>
            <w:vAlign w:val="center"/>
          </w:tcPr>
          <w:p>
            <w:pPr>
              <w:jc w:val="center"/>
              <w:rPr>
                <w:rFonts w:hint="eastAsia" w:ascii="宋体"/>
                <w:b/>
                <w:bCs/>
                <w:color w:val="333333"/>
                <w:sz w:val="24"/>
                <w:szCs w:val="24"/>
              </w:rPr>
            </w:pPr>
            <w:r>
              <w:rPr>
                <w:rFonts w:hint="eastAsia" w:ascii="宋体"/>
                <w:b/>
                <w:bCs/>
                <w:color w:val="333333"/>
                <w:sz w:val="24"/>
                <w:szCs w:val="24"/>
              </w:rPr>
              <w:t>一级</w:t>
            </w:r>
          </w:p>
          <w:p>
            <w:pPr>
              <w:jc w:val="center"/>
              <w:rPr>
                <w:rFonts w:hint="eastAsia" w:ascii="宋体"/>
                <w:b/>
                <w:bCs/>
                <w:color w:val="333333"/>
                <w:sz w:val="24"/>
                <w:szCs w:val="24"/>
              </w:rPr>
            </w:pPr>
            <w:r>
              <w:rPr>
                <w:rFonts w:hint="eastAsia" w:ascii="宋体"/>
                <w:b/>
                <w:bCs/>
                <w:color w:val="333333"/>
                <w:sz w:val="24"/>
                <w:szCs w:val="24"/>
              </w:rPr>
              <w:t>事项</w:t>
            </w:r>
          </w:p>
        </w:tc>
        <w:tc>
          <w:tcPr>
            <w:tcW w:w="765" w:type="dxa"/>
            <w:shd w:val="clear" w:color="auto" w:fill="auto"/>
            <w:tcMar>
              <w:top w:w="15" w:type="dxa"/>
              <w:left w:w="8" w:type="dxa"/>
              <w:right w:w="8" w:type="dxa"/>
            </w:tcMar>
            <w:vAlign w:val="center"/>
          </w:tcPr>
          <w:p>
            <w:pPr>
              <w:jc w:val="center"/>
              <w:rPr>
                <w:rFonts w:hint="eastAsia" w:ascii="宋体"/>
                <w:b/>
                <w:bCs/>
                <w:color w:val="333333"/>
                <w:sz w:val="24"/>
                <w:szCs w:val="24"/>
              </w:rPr>
            </w:pPr>
            <w:r>
              <w:rPr>
                <w:rFonts w:hint="eastAsia" w:ascii="宋体"/>
                <w:b/>
                <w:bCs/>
                <w:color w:val="333333"/>
                <w:sz w:val="24"/>
                <w:szCs w:val="24"/>
              </w:rPr>
              <w:t>二级</w:t>
            </w:r>
          </w:p>
          <w:p>
            <w:pPr>
              <w:jc w:val="center"/>
              <w:rPr>
                <w:rFonts w:hint="eastAsia" w:ascii="宋体"/>
                <w:b/>
                <w:bCs/>
                <w:color w:val="333333"/>
                <w:sz w:val="24"/>
                <w:szCs w:val="24"/>
              </w:rPr>
            </w:pPr>
            <w:r>
              <w:rPr>
                <w:rFonts w:hint="eastAsia" w:ascii="宋体"/>
                <w:b/>
                <w:bCs/>
                <w:color w:val="333333"/>
                <w:sz w:val="24"/>
                <w:szCs w:val="24"/>
              </w:rPr>
              <w:t>事项</w:t>
            </w:r>
          </w:p>
        </w:tc>
        <w:tc>
          <w:tcPr>
            <w:tcW w:w="1500" w:type="dxa"/>
            <w:vMerge w:val="continue"/>
            <w:shd w:val="clear" w:color="auto" w:fill="auto"/>
            <w:tcMar>
              <w:top w:w="15" w:type="dxa"/>
              <w:left w:w="8" w:type="dxa"/>
              <w:right w:w="8" w:type="dxa"/>
            </w:tcMar>
            <w:vAlign w:val="center"/>
          </w:tcPr>
          <w:p>
            <w:pPr>
              <w:jc w:val="center"/>
              <w:rPr>
                <w:rFonts w:hint="eastAsia" w:ascii="宋体"/>
                <w:b/>
                <w:bCs/>
                <w:color w:val="333333"/>
                <w:sz w:val="24"/>
                <w:szCs w:val="24"/>
              </w:rPr>
            </w:pPr>
          </w:p>
        </w:tc>
        <w:tc>
          <w:tcPr>
            <w:tcW w:w="1440" w:type="dxa"/>
            <w:vMerge w:val="continue"/>
            <w:shd w:val="clear" w:color="auto" w:fill="auto"/>
            <w:tcMar>
              <w:top w:w="15" w:type="dxa"/>
              <w:left w:w="8" w:type="dxa"/>
              <w:right w:w="8" w:type="dxa"/>
            </w:tcMar>
            <w:vAlign w:val="center"/>
          </w:tcPr>
          <w:p>
            <w:pPr>
              <w:jc w:val="center"/>
              <w:rPr>
                <w:rFonts w:hint="eastAsia" w:ascii="宋体"/>
                <w:b/>
                <w:bCs/>
                <w:color w:val="333333"/>
                <w:sz w:val="24"/>
                <w:szCs w:val="24"/>
              </w:rPr>
            </w:pPr>
          </w:p>
        </w:tc>
        <w:tc>
          <w:tcPr>
            <w:tcW w:w="899" w:type="dxa"/>
            <w:vMerge w:val="continue"/>
            <w:shd w:val="clear" w:color="auto" w:fill="auto"/>
            <w:tcMar>
              <w:top w:w="15" w:type="dxa"/>
              <w:left w:w="8" w:type="dxa"/>
              <w:right w:w="8" w:type="dxa"/>
            </w:tcMar>
            <w:vAlign w:val="center"/>
          </w:tcPr>
          <w:p>
            <w:pPr>
              <w:jc w:val="center"/>
              <w:rPr>
                <w:rFonts w:hint="eastAsia" w:ascii="宋体"/>
                <w:b/>
                <w:bCs/>
                <w:color w:val="333333"/>
                <w:sz w:val="24"/>
                <w:szCs w:val="24"/>
              </w:rPr>
            </w:pPr>
          </w:p>
        </w:tc>
        <w:tc>
          <w:tcPr>
            <w:tcW w:w="315" w:type="dxa"/>
            <w:vMerge w:val="continue"/>
            <w:shd w:val="clear" w:color="auto" w:fill="auto"/>
            <w:tcMar>
              <w:top w:w="15" w:type="dxa"/>
              <w:left w:w="8" w:type="dxa"/>
              <w:right w:w="8" w:type="dxa"/>
            </w:tcMar>
            <w:vAlign w:val="center"/>
          </w:tcPr>
          <w:p>
            <w:pPr>
              <w:jc w:val="center"/>
              <w:rPr>
                <w:rFonts w:hint="eastAsia" w:ascii="宋体"/>
                <w:b/>
                <w:bCs/>
                <w:color w:val="333333"/>
                <w:sz w:val="24"/>
                <w:szCs w:val="24"/>
              </w:rPr>
            </w:pPr>
          </w:p>
        </w:tc>
        <w:tc>
          <w:tcPr>
            <w:tcW w:w="1755" w:type="dxa"/>
            <w:vMerge w:val="continue"/>
            <w:shd w:val="clear" w:color="auto" w:fill="auto"/>
            <w:tcMar>
              <w:top w:w="15" w:type="dxa"/>
              <w:left w:w="8" w:type="dxa"/>
              <w:right w:w="8" w:type="dxa"/>
            </w:tcMar>
            <w:vAlign w:val="center"/>
          </w:tcPr>
          <w:p>
            <w:pPr>
              <w:jc w:val="center"/>
              <w:rPr>
                <w:rFonts w:hint="eastAsia" w:ascii="宋体"/>
                <w:b/>
                <w:bCs/>
                <w:color w:val="333333"/>
                <w:sz w:val="24"/>
                <w:szCs w:val="24"/>
              </w:rPr>
            </w:pPr>
          </w:p>
        </w:tc>
        <w:tc>
          <w:tcPr>
            <w:tcW w:w="360" w:type="dxa"/>
            <w:shd w:val="clear" w:color="auto" w:fill="auto"/>
            <w:tcMar>
              <w:top w:w="15" w:type="dxa"/>
              <w:left w:w="8" w:type="dxa"/>
              <w:right w:w="8" w:type="dxa"/>
            </w:tcMar>
            <w:vAlign w:val="top"/>
          </w:tcPr>
          <w:p>
            <w:pPr>
              <w:jc w:val="center"/>
              <w:rPr>
                <w:rFonts w:hint="eastAsia" w:ascii="宋体"/>
                <w:b/>
                <w:bCs/>
                <w:color w:val="333333"/>
                <w:sz w:val="24"/>
                <w:szCs w:val="24"/>
              </w:rPr>
            </w:pPr>
            <w:r>
              <w:rPr>
                <w:rFonts w:hint="eastAsia" w:ascii="宋体"/>
                <w:b/>
                <w:bCs/>
                <w:color w:val="333333"/>
                <w:sz w:val="24"/>
                <w:szCs w:val="24"/>
              </w:rPr>
              <w:t>全社会</w:t>
            </w:r>
          </w:p>
        </w:tc>
        <w:tc>
          <w:tcPr>
            <w:tcW w:w="405" w:type="dxa"/>
            <w:shd w:val="clear" w:color="auto" w:fill="auto"/>
            <w:tcMar>
              <w:top w:w="15" w:type="dxa"/>
              <w:left w:w="8" w:type="dxa"/>
              <w:right w:w="8" w:type="dxa"/>
            </w:tcMar>
            <w:vAlign w:val="top"/>
          </w:tcPr>
          <w:p>
            <w:pPr>
              <w:jc w:val="center"/>
              <w:rPr>
                <w:rFonts w:hint="eastAsia" w:ascii="宋体"/>
                <w:b/>
                <w:bCs/>
                <w:color w:val="333333"/>
                <w:sz w:val="24"/>
                <w:szCs w:val="24"/>
              </w:rPr>
            </w:pPr>
            <w:r>
              <w:rPr>
                <w:rFonts w:hint="eastAsia" w:ascii="宋体"/>
                <w:b/>
                <w:bCs/>
                <w:color w:val="333333"/>
                <w:sz w:val="24"/>
                <w:szCs w:val="24"/>
              </w:rPr>
              <w:t>特定群体</w:t>
            </w:r>
          </w:p>
        </w:tc>
        <w:tc>
          <w:tcPr>
            <w:tcW w:w="300" w:type="dxa"/>
            <w:shd w:val="clear" w:color="auto" w:fill="auto"/>
            <w:tcMar>
              <w:top w:w="15" w:type="dxa"/>
              <w:left w:w="8" w:type="dxa"/>
              <w:right w:w="8" w:type="dxa"/>
            </w:tcMar>
            <w:vAlign w:val="top"/>
          </w:tcPr>
          <w:p>
            <w:pPr>
              <w:jc w:val="center"/>
              <w:rPr>
                <w:rFonts w:hint="eastAsia" w:ascii="宋体"/>
                <w:b/>
                <w:bCs/>
                <w:color w:val="333333"/>
                <w:sz w:val="24"/>
                <w:szCs w:val="24"/>
              </w:rPr>
            </w:pPr>
            <w:r>
              <w:rPr>
                <w:rFonts w:hint="eastAsia" w:ascii="宋体"/>
                <w:b/>
                <w:bCs/>
                <w:color w:val="333333"/>
                <w:sz w:val="24"/>
                <w:szCs w:val="24"/>
              </w:rPr>
              <w:t>主动</w:t>
            </w:r>
          </w:p>
        </w:tc>
        <w:tc>
          <w:tcPr>
            <w:tcW w:w="345" w:type="dxa"/>
            <w:shd w:val="clear" w:color="auto" w:fill="auto"/>
            <w:tcMar>
              <w:top w:w="15" w:type="dxa"/>
              <w:left w:w="8" w:type="dxa"/>
              <w:right w:w="8" w:type="dxa"/>
            </w:tcMar>
            <w:vAlign w:val="top"/>
          </w:tcPr>
          <w:p>
            <w:pPr>
              <w:jc w:val="center"/>
              <w:rPr>
                <w:rFonts w:hint="eastAsia" w:ascii="宋体"/>
                <w:b/>
                <w:bCs/>
                <w:color w:val="333333"/>
                <w:sz w:val="24"/>
                <w:szCs w:val="24"/>
              </w:rPr>
            </w:pPr>
            <w:r>
              <w:rPr>
                <w:rFonts w:hint="eastAsia" w:ascii="宋体"/>
                <w:b/>
                <w:bCs/>
                <w:color w:val="333333"/>
                <w:sz w:val="24"/>
                <w:szCs w:val="24"/>
              </w:rPr>
              <w:t>依申请</w:t>
            </w:r>
          </w:p>
        </w:tc>
        <w:tc>
          <w:tcPr>
            <w:tcW w:w="345" w:type="dxa"/>
            <w:shd w:val="clear" w:color="auto" w:fill="auto"/>
            <w:tcMar>
              <w:top w:w="15" w:type="dxa"/>
              <w:left w:w="8" w:type="dxa"/>
              <w:right w:w="8" w:type="dxa"/>
            </w:tcMar>
            <w:vAlign w:val="top"/>
          </w:tcPr>
          <w:p>
            <w:pPr>
              <w:jc w:val="center"/>
              <w:rPr>
                <w:rFonts w:hint="eastAsia" w:ascii="宋体"/>
                <w:b/>
                <w:bCs/>
                <w:color w:val="333333"/>
                <w:sz w:val="24"/>
                <w:szCs w:val="24"/>
              </w:rPr>
            </w:pPr>
            <w:r>
              <w:rPr>
                <w:rFonts w:hint="eastAsia" w:ascii="宋体"/>
                <w:b/>
                <w:bCs/>
                <w:color w:val="333333"/>
                <w:sz w:val="24"/>
                <w:szCs w:val="24"/>
              </w:rPr>
              <w:t>区级</w:t>
            </w:r>
          </w:p>
        </w:tc>
        <w:tc>
          <w:tcPr>
            <w:tcW w:w="345" w:type="dxa"/>
            <w:shd w:val="clear" w:color="auto" w:fill="auto"/>
            <w:tcMar>
              <w:top w:w="15" w:type="dxa"/>
              <w:left w:w="8" w:type="dxa"/>
              <w:right w:w="8" w:type="dxa"/>
            </w:tcMar>
            <w:vAlign w:val="top"/>
          </w:tcPr>
          <w:p>
            <w:pPr>
              <w:jc w:val="center"/>
              <w:rPr>
                <w:rFonts w:hint="eastAsia" w:ascii="宋体"/>
                <w:b/>
                <w:bCs/>
                <w:color w:val="333333"/>
                <w:sz w:val="24"/>
                <w:szCs w:val="24"/>
              </w:rPr>
            </w:pPr>
            <w:r>
              <w:rPr>
                <w:rFonts w:hint="eastAsia" w:ascii="宋体"/>
                <w:b/>
                <w:bCs/>
                <w:color w:val="333333"/>
                <w:sz w:val="24"/>
                <w:szCs w:val="24"/>
              </w:rPr>
              <w:t>镇街级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行政许可</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设置卫星电视广播地面接收设施审批（接收境内节目）</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1.办事指南：主要包括事项名称、设定依据、申请条件、办理材料、办理地点、办理时间、联系电话、办理流程、办理期限、申请行政许可需要提交的全部材料目录及办理情况。</w:t>
            </w:r>
            <w:r>
              <w:rPr>
                <w:rFonts w:hint="default"/>
                <w:color w:val="333333"/>
                <w:kern w:val="2"/>
                <w:sz w:val="18"/>
                <w:szCs w:val="18"/>
                <w:lang w:bidi="ar-SA"/>
              </w:rPr>
              <w:br w:type="textWrapping"/>
            </w:r>
            <w:r>
              <w:rPr>
                <w:rFonts w:hint="eastAsia"/>
                <w:color w:val="333333"/>
                <w:kern w:val="2"/>
                <w:sz w:val="18"/>
                <w:szCs w:val="18"/>
                <w:lang w:bidi="ar-SA"/>
              </w:rPr>
              <w:t>2.行政许可决定。</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1.《中华人民共和国行政许可法》</w:t>
            </w:r>
            <w:r>
              <w:rPr>
                <w:rFonts w:hint="default"/>
                <w:color w:val="333333"/>
                <w:kern w:val="2"/>
                <w:sz w:val="18"/>
                <w:szCs w:val="18"/>
                <w:lang w:bidi="ar-SA"/>
              </w:rPr>
              <w:br w:type="textWrapping"/>
            </w:r>
            <w:r>
              <w:rPr>
                <w:rFonts w:hint="eastAsia"/>
                <w:color w:val="333333"/>
                <w:kern w:val="2"/>
                <w:sz w:val="18"/>
                <w:szCs w:val="18"/>
                <w:lang w:bidi="ar-SA"/>
              </w:rPr>
              <w:t>2.《中华人民共和国政府信息公开条例》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3. 《卫星电视广播地面接收设施管理规定》</w:t>
            </w:r>
            <w:r>
              <w:rPr>
                <w:rFonts w:hint="default"/>
                <w:color w:val="333333"/>
                <w:kern w:val="2"/>
                <w:sz w:val="18"/>
                <w:szCs w:val="18"/>
                <w:lang w:bidi="ar-SA"/>
              </w:rPr>
              <w:br w:type="textWrapping"/>
            </w:r>
            <w:r>
              <w:rPr>
                <w:rFonts w:hint="eastAsia"/>
                <w:color w:val="333333"/>
                <w:kern w:val="2"/>
                <w:sz w:val="18"/>
                <w:szCs w:val="18"/>
                <w:lang w:bidi="ar-SA"/>
              </w:rPr>
              <w:t>4. 《卫星电视广播地面接收设施安装服务暂行办法》</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val="en-US" w:eastAsia="zh-CN" w:bidi="ar-SA"/>
              </w:rPr>
            </w:pPr>
            <w:r>
              <w:rPr>
                <w:rFonts w:hint="default"/>
                <w:color w:val="333333"/>
                <w:kern w:val="2"/>
                <w:sz w:val="18"/>
                <w:szCs w:val="18"/>
                <w:lang w:bidi="ar-SA"/>
              </w:rPr>
              <w:t>塔什库尔干县</w:t>
            </w:r>
            <w:r>
              <w:rPr>
                <w:rFonts w:hint="eastAsia"/>
                <w:color w:val="333333"/>
                <w:kern w:val="2"/>
                <w:sz w:val="18"/>
                <w:szCs w:val="18"/>
                <w:lang w:val="en-US" w:eastAsia="zh-CN" w:bidi="ar-SA"/>
              </w:rPr>
              <w:t>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455"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2</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行政许可</w:t>
            </w:r>
          </w:p>
        </w:tc>
        <w:tc>
          <w:tcPr>
            <w:tcW w:w="675" w:type="dxa"/>
            <w:vMerge w:val="restart"/>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广播电视视频点播业务许可证（乙种）审批</w:t>
            </w:r>
          </w:p>
        </w:tc>
        <w:tc>
          <w:tcPr>
            <w:tcW w:w="76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广播电视视频点播业务许可证（乙种）审批（设立）</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1.办事指南：主要包括事项名称、设定依据、申请条件、办理材料、办理地点、办理时间、联系电话、办理流程、办理期限、申请行政许可需要提交的全部材料目录及办理情况。</w:t>
            </w:r>
            <w:r>
              <w:rPr>
                <w:rFonts w:hint="default"/>
                <w:color w:val="333333"/>
                <w:kern w:val="2"/>
                <w:sz w:val="18"/>
                <w:szCs w:val="18"/>
                <w:lang w:bidi="ar-SA"/>
              </w:rPr>
              <w:br w:type="textWrapping"/>
            </w:r>
            <w:r>
              <w:rPr>
                <w:rFonts w:hint="eastAsia"/>
                <w:color w:val="333333"/>
                <w:kern w:val="2"/>
                <w:sz w:val="18"/>
                <w:szCs w:val="18"/>
                <w:lang w:bidi="ar-SA"/>
              </w:rPr>
              <w:t>2.行政许可决定。</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1.《中华人民共和国行政许可法》</w:t>
            </w:r>
            <w:r>
              <w:rPr>
                <w:rFonts w:hint="default"/>
                <w:color w:val="333333"/>
                <w:kern w:val="2"/>
                <w:sz w:val="18"/>
                <w:szCs w:val="18"/>
                <w:lang w:bidi="ar-SA"/>
              </w:rPr>
              <w:br w:type="textWrapping"/>
            </w:r>
            <w:r>
              <w:rPr>
                <w:rFonts w:hint="eastAsia"/>
                <w:color w:val="333333"/>
                <w:kern w:val="2"/>
                <w:sz w:val="18"/>
                <w:szCs w:val="18"/>
                <w:lang w:bidi="ar-SA"/>
              </w:rPr>
              <w:t>2.《中华人民共和国政府信息公开条例》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3.《广播电视视频点播业务管理办法》</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bookmarkStart w:id="0" w:name="_GoBack"/>
            <w:bookmarkEnd w:id="0"/>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0"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3</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行政许可</w:t>
            </w:r>
          </w:p>
        </w:tc>
        <w:tc>
          <w:tcPr>
            <w:tcW w:w="675" w:type="dxa"/>
            <w:vMerge w:val="continue"/>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p>
        </w:tc>
        <w:tc>
          <w:tcPr>
            <w:tcW w:w="76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广播电视视频点播业务许可证（乙种）审批（变更）</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1.办事指南：主要包括事项名称、设定依据、申请条件、办理材料、办理地点、办理时间、联系电话、办理流程、办理期限、申请行政许可需要提交的全部材料目录及办理情况。</w:t>
            </w:r>
            <w:r>
              <w:rPr>
                <w:rFonts w:hint="default"/>
                <w:color w:val="333333"/>
                <w:kern w:val="2"/>
                <w:sz w:val="18"/>
                <w:szCs w:val="18"/>
                <w:lang w:bidi="ar-SA"/>
              </w:rPr>
              <w:br w:type="textWrapping"/>
            </w:r>
            <w:r>
              <w:rPr>
                <w:rFonts w:hint="eastAsia"/>
                <w:color w:val="333333"/>
                <w:kern w:val="2"/>
                <w:sz w:val="18"/>
                <w:szCs w:val="18"/>
                <w:lang w:bidi="ar-SA"/>
              </w:rPr>
              <w:t>2.行政许可决定。</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1.《中华人民共和国行政许可法》</w:t>
            </w:r>
            <w:r>
              <w:rPr>
                <w:rFonts w:hint="default"/>
                <w:color w:val="333333"/>
                <w:kern w:val="2"/>
                <w:sz w:val="18"/>
                <w:szCs w:val="18"/>
                <w:lang w:bidi="ar-SA"/>
              </w:rPr>
              <w:br w:type="textWrapping"/>
            </w:r>
            <w:r>
              <w:rPr>
                <w:rFonts w:hint="eastAsia"/>
                <w:color w:val="333333"/>
                <w:kern w:val="2"/>
                <w:sz w:val="18"/>
                <w:szCs w:val="18"/>
                <w:lang w:bidi="ar-SA"/>
              </w:rPr>
              <w:t>2.《中华人民共和国政府信息公开条例》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3.《广播电视视频点播业务管理办法》</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83"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4</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行政许可</w:t>
            </w:r>
          </w:p>
        </w:tc>
        <w:tc>
          <w:tcPr>
            <w:tcW w:w="67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广播电视视频点播业务许可证（乙种）审批</w:t>
            </w:r>
          </w:p>
        </w:tc>
        <w:tc>
          <w:tcPr>
            <w:tcW w:w="76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广播电视视频点播业务许可证（乙种）审批（延续）</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1.办事指南：主要包括事项名称、设定依据、申请条件、办理材料、办理地点、办理时间、联系电话、办理流程、办理期限、申请行政许可需要提交的全部材料目录及办理情况。</w:t>
            </w:r>
            <w:r>
              <w:rPr>
                <w:rFonts w:hint="default"/>
                <w:color w:val="333333"/>
                <w:kern w:val="2"/>
                <w:sz w:val="18"/>
                <w:szCs w:val="18"/>
                <w:lang w:bidi="ar-SA"/>
              </w:rPr>
              <w:br w:type="textWrapping"/>
            </w:r>
            <w:r>
              <w:rPr>
                <w:rFonts w:hint="eastAsia"/>
                <w:color w:val="333333"/>
                <w:kern w:val="2"/>
                <w:sz w:val="18"/>
                <w:szCs w:val="18"/>
                <w:lang w:bidi="ar-SA"/>
              </w:rPr>
              <w:t>2.行政许可决定。</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1.《中华人民共和国行政许可法》</w:t>
            </w:r>
            <w:r>
              <w:rPr>
                <w:rFonts w:hint="default"/>
                <w:color w:val="333333"/>
                <w:kern w:val="2"/>
                <w:sz w:val="18"/>
                <w:szCs w:val="18"/>
                <w:lang w:bidi="ar-SA"/>
              </w:rPr>
              <w:br w:type="textWrapping"/>
            </w:r>
            <w:r>
              <w:rPr>
                <w:rFonts w:hint="eastAsia"/>
                <w:color w:val="333333"/>
                <w:kern w:val="2"/>
                <w:sz w:val="18"/>
                <w:szCs w:val="18"/>
                <w:lang w:bidi="ar-SA"/>
              </w:rPr>
              <w:t>2.《中华人民共和国政府信息公开条例》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3.《广播电视视频点播业务管理办法》</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68"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5</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行政许可</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乡镇设立广播电视站和机关、部队、团体、企业事业单位设立有线广播电视站审批</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1.办事指南：主要包括事项名称、设定依据、申请条件、办理材料、办理地点、办理时间、联系电话、办理流程、办理期限、申请行政许可需要提交的全部材料目录及办理情况。</w:t>
            </w:r>
            <w:r>
              <w:rPr>
                <w:rFonts w:hint="default"/>
                <w:color w:val="333333"/>
                <w:kern w:val="2"/>
                <w:sz w:val="18"/>
                <w:szCs w:val="18"/>
                <w:lang w:bidi="ar-SA"/>
              </w:rPr>
              <w:br w:type="textWrapping"/>
            </w:r>
            <w:r>
              <w:rPr>
                <w:rFonts w:hint="eastAsia"/>
                <w:color w:val="333333"/>
                <w:kern w:val="2"/>
                <w:sz w:val="18"/>
                <w:szCs w:val="18"/>
                <w:lang w:bidi="ar-SA"/>
              </w:rPr>
              <w:t>2.行政许可决定。</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1.《中华人民共和国行政许可法》</w:t>
            </w:r>
            <w:r>
              <w:rPr>
                <w:rFonts w:hint="default"/>
                <w:color w:val="333333"/>
                <w:kern w:val="2"/>
                <w:sz w:val="18"/>
                <w:szCs w:val="18"/>
                <w:lang w:bidi="ar-SA"/>
              </w:rPr>
              <w:br w:type="textWrapping"/>
            </w:r>
            <w:r>
              <w:rPr>
                <w:rFonts w:hint="eastAsia"/>
                <w:color w:val="333333"/>
                <w:kern w:val="2"/>
                <w:sz w:val="18"/>
                <w:szCs w:val="18"/>
                <w:lang w:bidi="ar-SA"/>
              </w:rPr>
              <w:t>2.《中华人民共和国政府信息公开条例》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3. 《广播电视管理条例》</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610"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6</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对转播、传输广播电视节目时违反《广播电视广告播出管理办法》第二十一条规定，以游动字幕、叠加字幕、挂角广告等任何形式插播自行组织的广告的处罚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944"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7</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对《〈卫星电视广播地面接收设施管理规定〉实施细则》第十九条第一款第（一）项、第（二）项所列情形的处罚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70"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8</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对未经批准擅自从事专网及定向传播视听节目服务的处罚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85"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9</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对专网及定向传播视听节目服务单位传播的节目内容违反《专网及定向传播视听节目服务管理规定》的处罚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40"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10</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对违反《专网及定向传播视听节目服务管理规定》第二十七条的处罚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00"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11</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对违反《专网及定向传播视听节目服务管理规定》第二十八条的处罚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10"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12</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对违反《专网及定向传播视听节目服务管理规定》第二十九条的处罚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15"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13</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对擅自在互联网上使用广播电视专有名称开展业务等《互联网视听节目服务管理规定》第二十三条所列违法行为的处罚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40"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14</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对擅自从事互联网视听节目服务的处罚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00"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15</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对传播的视听节目内容违反《互联网视听节目服务管理规定》的处罚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5"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16</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对未按照许可证载明或备案的事项从事互联网视听节目服务的或违规播出时政类视听新闻节目的处罚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0"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17</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对转播、链接、聚合、集成非法的广播电视频道和视听节目网站内容的，擅自插播、截留视听节目信号的处罚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20"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18</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对擅自设立广播电台、电视台、教育电视台、有线广播电视传输覆盖网、广播电视站和广播电视发射台、转播台、微波站、卫星上行站的处罚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50"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19</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对擅自设立广播电视节目制作经营单位或者擅自制作电视剧及其他广播电视节目的处罚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55"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20</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对制作、播放、向境外提供含有《广播电视管理条例》第三十二条规定禁止内容的节目的处罚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80"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21</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对未经批准，擅自变更台名、台标、节目设置范围或者节目套数等《广播电视管理条例》第五十条所列违法行为的处罚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0"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22</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对出租、转让频率、频段，擅自变更广播电视发射台、转播台技术参数等《广播电视管理条例》第五十一条所列违法行为的处罚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5"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23</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对危害广播电台、电视台安全播出的，破坏广播电视设施的处罚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70"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24</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对违反《广播电视设施保护条例》规定的单位和个人在广播电视设施保护范围内进行建筑施工、兴建设施或者爆破作业、烧荒等活动的处罚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610"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25</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对损坏广播电视设施的处罚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65"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26</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对在广播电视设施保护范围内种植树木、农作物等《广播电视设施保护条例》第二十二条所列违法行为的处罚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595"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27</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对未经同意，擅自在广播电视传输线路保护范围内堆放笨重物品、种植树木、平整土地等《广播电视设施保护条例》第二十三条所列违法行为的处罚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790"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28</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对安全播出责任单位的机构和人员设置、技术系统配置、管理制度、运行流程、应急预案等不符合有关规定，导致播出质量达不到要求等《广播电视安全播出管理规定》第四十一条所列违法行为的处罚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25"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29</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对违反《有线电视管理暂行办法》第八条、第九条、第十条或者第十一条的规定的有线电视台、有线电视站的处罚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10"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30</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对未经批准，擅自开办视频点播业务的处罚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10"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31</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对未经批准，擅自开办视频点播业务的处罚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20"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32</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对未按《广播电视视频点播业务许可证》载明的事项从事视频点播业务等《广播电视视频点播业务管理办法》第三十条所列违法行为的处罚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75"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33</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对宾馆饭店允许未获得《广播电视视频点播业务许可证》的机构在其宾馆饭店内经营视频点播业务的处罚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2"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34</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对擅自从事广播电视节目传送业务的处罚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0"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35</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对有线广播电视运营服务提供者停止经营某项业务时，未提前30日通知所涉及用户等违反《有线广播电视运营服务管理暂行规定》第四十三条规定的行为的处罚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80"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36</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对有线广播电视运营服务提供者未设立统一的客服电话等违反《有线广播电视运营服务管理暂行规定》第四十四条规定的行为的处罚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95"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37</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对违反《广播电视广告播出管理办法》第八条、第九条规定的处罚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5"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38</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对播出机构违反《广播电视广告播出管理办法》的第十五条、第十六条、第十七条规定的处罚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85"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39</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对违反《广播电视广告播出管理办法》第四十一条规定的行为的处罚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0"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40</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对违反《广播电视设备器材入网认定管理办法》第二十一条规定的处罚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95"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41</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对违反《电视剧内容管理规定》，擅自制作、发行、播出电视剧或者变更主要事项未重新报审的处罚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85"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42</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对违反《电视剧内容管理规定》，制作、发行、播出的电视剧含有第五条禁止内容的处罚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40"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43</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对已获得入网认定证书的生产企业未按照入网认定标准生产产品，产品质量或者性能明显下降等《广播电视设备器材入网认定管理办法》第二十条所列违法行为的处罚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30"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44</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对擅自安装和使用卫星地面接收设施的处罚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10"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45</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对未持有《卫星地面接收设施安装许可证》而承担安装卫星地面接收设施施工任务的单位的处罚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5"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46</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对违反《〈卫星电视广播地面接收设施管理规定〉实施细则》第十四条规定的处罚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400"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default"/>
                <w:color w:val="333333"/>
                <w:kern w:val="2"/>
                <w:sz w:val="18"/>
                <w:szCs w:val="18"/>
                <w:lang w:bidi="ar-SA"/>
              </w:rPr>
              <w:t>47</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对未持有《卫星地面接收设施接收外国卫星传送的电视节目许可证》而擅自设置卫星地面接收设施或者接收外国卫星传送的电视节目的单位的处罚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65"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48</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对违反《卫星地面接收设施接收外国卫星传送电视节目管理办法》第八条、第九条规定的单位的处罚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执法决定信息在决定作出之日起7个工作日内公开，其他相关信息形成或变更之日起28个工作日内公开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303"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49</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有线广播电视运营服务提供者未向社会公布其业务种类、服务范围、服务时限、资费标准，也未向省、自治区、直辖市人民政府广播影视行政部门备案等违反《有线广播电视运营服务管理暂行规定》第四十二条规定的行为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执法决定信息在决定作出之日起7个工作日内公开，其他相关信息形成或变更之日起28个工作日内公开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605"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50</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对未获有线电视台或者有线电视站、共用天线系统设计（安装）许可证，私自承揽有线电视台、有线电视站或者共用天线系统设计、安装任务的处罚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执法决定信息在决定作出之日起7个工作日内公开，其他相关信息形成或变更之日起28个工作日内公开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78"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51</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对违反《广播电视广告播出管理办法》第四十条规定的行为的处罚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执法决定信息在决定作出之日起7个工作日内公开，其他相关信息形成或变更之日起28个工作日内公开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865"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52</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行政处罚</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对未获得许可证私自开办有线电视台、有线电视站和私自利用有线电视站播映自制电视节目以及私自利用共用天线系统播映自制电视节目或者录像片的处罚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1.主体信息</w:t>
            </w:r>
            <w:r>
              <w:rPr>
                <w:rFonts w:hint="default"/>
                <w:color w:val="333333"/>
                <w:kern w:val="2"/>
                <w:sz w:val="18"/>
                <w:szCs w:val="18"/>
                <w:lang w:bidi="ar-SA"/>
              </w:rPr>
              <w:br w:type="textWrapping"/>
            </w:r>
            <w:r>
              <w:rPr>
                <w:rFonts w:hint="eastAsia"/>
                <w:color w:val="333333"/>
                <w:kern w:val="2"/>
                <w:sz w:val="18"/>
                <w:szCs w:val="18"/>
                <w:lang w:bidi="ar-SA"/>
              </w:rPr>
              <w:t>2.案由</w:t>
            </w:r>
            <w:r>
              <w:rPr>
                <w:rFonts w:hint="default"/>
                <w:color w:val="333333"/>
                <w:kern w:val="2"/>
                <w:sz w:val="18"/>
                <w:szCs w:val="18"/>
                <w:lang w:bidi="ar-SA"/>
              </w:rPr>
              <w:br w:type="textWrapping"/>
            </w:r>
            <w:r>
              <w:rPr>
                <w:rFonts w:hint="eastAsia"/>
                <w:color w:val="333333"/>
                <w:kern w:val="2"/>
                <w:sz w:val="18"/>
                <w:szCs w:val="18"/>
                <w:lang w:bidi="ar-SA"/>
              </w:rPr>
              <w:t>3.处罚依据</w:t>
            </w:r>
            <w:r>
              <w:rPr>
                <w:rFonts w:hint="default"/>
                <w:color w:val="333333"/>
                <w:kern w:val="2"/>
                <w:sz w:val="18"/>
                <w:szCs w:val="18"/>
                <w:lang w:bidi="ar-SA"/>
              </w:rPr>
              <w:br w:type="textWrapping"/>
            </w:r>
            <w:r>
              <w:rPr>
                <w:rFonts w:hint="eastAsia"/>
                <w:color w:val="333333"/>
                <w:kern w:val="2"/>
                <w:sz w:val="18"/>
                <w:szCs w:val="18"/>
                <w:lang w:bidi="ar-SA"/>
              </w:rPr>
              <w:t>4.处罚结果</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1.《中华人民共和国政府信息公开条例》；</w:t>
            </w:r>
            <w:r>
              <w:rPr>
                <w:rFonts w:hint="default"/>
                <w:color w:val="333333"/>
                <w:kern w:val="2"/>
                <w:sz w:val="18"/>
                <w:szCs w:val="18"/>
                <w:lang w:bidi="ar-SA"/>
              </w:rPr>
              <w:br w:type="textWrapping"/>
            </w:r>
            <w:r>
              <w:rPr>
                <w:rFonts w:hint="eastAsia"/>
                <w:color w:val="333333"/>
                <w:kern w:val="2"/>
                <w:sz w:val="18"/>
                <w:szCs w:val="18"/>
                <w:lang w:bidi="ar-SA"/>
              </w:rPr>
              <w:t>2.《国务院办公厅关于全面推行行政执法公示制度执法全过程记录制度重大执法决定法制审核制度的指导意见》（国办发〔2018〕118号）</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执法决定信息在决定作出之日起7个工作日内公开，其他相关信息形成或变更之日起28个工作日内公开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501"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53</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公共服务</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五类特殊群体有线数字电视收视维护费减免</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减免标准</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《中华人民共和国政府信息公开条例》</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10" w:hRule="atLeast"/>
          <w:jc w:val="center"/>
        </w:trPr>
        <w:tc>
          <w:tcPr>
            <w:tcW w:w="33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54</w:t>
            </w:r>
          </w:p>
        </w:tc>
        <w:tc>
          <w:tcPr>
            <w:tcW w:w="27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公共服务</w:t>
            </w:r>
          </w:p>
        </w:tc>
        <w:tc>
          <w:tcPr>
            <w:tcW w:w="1440" w:type="dxa"/>
            <w:gridSpan w:val="2"/>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广播电视设备的安装、调试、开通</w:t>
            </w:r>
          </w:p>
        </w:tc>
        <w:tc>
          <w:tcPr>
            <w:tcW w:w="15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1.依申请公开的政府信息</w:t>
            </w:r>
            <w:r>
              <w:rPr>
                <w:rFonts w:hint="default"/>
                <w:color w:val="333333"/>
                <w:kern w:val="2"/>
                <w:sz w:val="18"/>
                <w:szCs w:val="18"/>
                <w:lang w:bidi="ar-SA"/>
              </w:rPr>
              <w:br w:type="textWrapping"/>
            </w:r>
            <w:r>
              <w:rPr>
                <w:rFonts w:hint="eastAsia"/>
                <w:color w:val="333333"/>
                <w:kern w:val="2"/>
                <w:sz w:val="18"/>
                <w:szCs w:val="18"/>
                <w:lang w:bidi="ar-SA"/>
              </w:rPr>
              <w:t>2.政府信息公开告知书</w:t>
            </w:r>
          </w:p>
        </w:tc>
        <w:tc>
          <w:tcPr>
            <w:tcW w:w="144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《中华人民共和国政府信息公开条例》</w:t>
            </w:r>
          </w:p>
        </w:tc>
        <w:tc>
          <w:tcPr>
            <w:tcW w:w="899"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信息形成或变更之日起20个工作日内公开</w:t>
            </w:r>
          </w:p>
        </w:tc>
        <w:tc>
          <w:tcPr>
            <w:tcW w:w="31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color w:val="333333"/>
                <w:kern w:val="2"/>
                <w:sz w:val="18"/>
                <w:szCs w:val="18"/>
                <w:lang w:eastAsia="zh-CN" w:bidi="ar-SA"/>
              </w:rPr>
            </w:pPr>
            <w:r>
              <w:rPr>
                <w:rFonts w:hint="eastAsia"/>
                <w:color w:val="333333"/>
                <w:kern w:val="2"/>
                <w:sz w:val="18"/>
                <w:szCs w:val="18"/>
                <w:lang w:eastAsia="zh-CN" w:bidi="ar-SA"/>
              </w:rPr>
              <w:t>塔什库尔干县文旅局</w:t>
            </w:r>
          </w:p>
        </w:tc>
        <w:tc>
          <w:tcPr>
            <w:tcW w:w="175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■政府网站    □政府公报</w:t>
            </w:r>
            <w:r>
              <w:rPr>
                <w:rFonts w:hint="default"/>
                <w:color w:val="333333"/>
                <w:kern w:val="2"/>
                <w:sz w:val="18"/>
                <w:szCs w:val="18"/>
                <w:lang w:bidi="ar-SA"/>
              </w:rPr>
              <w:br w:type="textWrapping"/>
            </w:r>
            <w:r>
              <w:rPr>
                <w:rFonts w:hint="eastAsia"/>
                <w:color w:val="333333"/>
                <w:kern w:val="2"/>
                <w:sz w:val="18"/>
                <w:szCs w:val="18"/>
                <w:lang w:bidi="ar-SA"/>
              </w:rPr>
              <w:t>□两微一端    □发布会/听证会</w:t>
            </w:r>
            <w:r>
              <w:rPr>
                <w:rFonts w:hint="default"/>
                <w:color w:val="333333"/>
                <w:kern w:val="2"/>
                <w:sz w:val="18"/>
                <w:szCs w:val="18"/>
                <w:lang w:bidi="ar-SA"/>
              </w:rPr>
              <w:br w:type="textWrapping"/>
            </w:r>
            <w:r>
              <w:rPr>
                <w:rFonts w:hint="eastAsia"/>
                <w:color w:val="333333"/>
                <w:kern w:val="2"/>
                <w:sz w:val="18"/>
                <w:szCs w:val="18"/>
                <w:lang w:bidi="ar-SA"/>
              </w:rPr>
              <w:t>□广播电视    □纸质媒体</w:t>
            </w:r>
            <w:r>
              <w:rPr>
                <w:rFonts w:hint="default"/>
                <w:color w:val="333333"/>
                <w:kern w:val="2"/>
                <w:sz w:val="18"/>
                <w:szCs w:val="18"/>
                <w:lang w:bidi="ar-SA"/>
              </w:rPr>
              <w:br w:type="textWrapping"/>
            </w:r>
            <w:r>
              <w:rPr>
                <w:rFonts w:hint="eastAsia"/>
                <w:color w:val="333333"/>
                <w:kern w:val="2"/>
                <w:sz w:val="18"/>
                <w:szCs w:val="18"/>
                <w:lang w:bidi="ar-SA"/>
              </w:rPr>
              <w:t>□公开查阅点  □政务服务中心</w:t>
            </w:r>
            <w:r>
              <w:rPr>
                <w:rFonts w:hint="default"/>
                <w:color w:val="333333"/>
                <w:kern w:val="2"/>
                <w:sz w:val="18"/>
                <w:szCs w:val="18"/>
                <w:lang w:bidi="ar-SA"/>
              </w:rPr>
              <w:br w:type="textWrapping"/>
            </w:r>
            <w:r>
              <w:rPr>
                <w:rFonts w:hint="eastAsia"/>
                <w:color w:val="333333"/>
                <w:kern w:val="2"/>
                <w:sz w:val="18"/>
                <w:szCs w:val="18"/>
                <w:lang w:bidi="ar-SA"/>
              </w:rPr>
              <w:t>□便民服务站  □入户/现场</w:t>
            </w:r>
            <w:r>
              <w:rPr>
                <w:rFonts w:hint="default"/>
                <w:color w:val="333333"/>
                <w:kern w:val="2"/>
                <w:sz w:val="18"/>
                <w:szCs w:val="18"/>
                <w:lang w:bidi="ar-SA"/>
              </w:rPr>
              <w:br w:type="textWrapping"/>
            </w:r>
            <w:r>
              <w:rPr>
                <w:rFonts w:hint="eastAsia"/>
                <w:color w:val="333333"/>
                <w:kern w:val="2"/>
                <w:sz w:val="18"/>
                <w:szCs w:val="18"/>
                <w:lang w:bidi="ar-SA"/>
              </w:rPr>
              <w:t>□社区/企事业单位/村公示栏（电子屏）</w:t>
            </w:r>
            <w:r>
              <w:rPr>
                <w:rFonts w:hint="default"/>
                <w:color w:val="333333"/>
                <w:kern w:val="2"/>
                <w:sz w:val="18"/>
                <w:szCs w:val="18"/>
                <w:lang w:bidi="ar-SA"/>
              </w:rPr>
              <w:br w:type="textWrapping"/>
            </w:r>
            <w:r>
              <w:rPr>
                <w:rFonts w:hint="eastAsia"/>
                <w:color w:val="333333"/>
                <w:kern w:val="2"/>
                <w:sz w:val="18"/>
                <w:szCs w:val="18"/>
                <w:lang w:bidi="ar-SA"/>
              </w:rPr>
              <w:t>□精准推送    □其他</w:t>
            </w:r>
          </w:p>
        </w:tc>
        <w:tc>
          <w:tcPr>
            <w:tcW w:w="36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40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00"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w:t>
            </w:r>
          </w:p>
        </w:tc>
        <w:tc>
          <w:tcPr>
            <w:tcW w:w="345" w:type="dxa"/>
            <w:shd w:val="clear" w:color="auto" w:fill="auto"/>
            <w:tcMar>
              <w:top w:w="15" w:type="dxa"/>
              <w:left w:w="8" w:type="dxa"/>
              <w:right w:w="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333333"/>
                <w:kern w:val="2"/>
                <w:sz w:val="18"/>
                <w:szCs w:val="18"/>
                <w:lang w:bidi="ar-SA"/>
              </w:rPr>
            </w:pPr>
            <w:r>
              <w:rPr>
                <w:rFonts w:hint="eastAsia"/>
                <w:color w:val="333333"/>
                <w:kern w:val="2"/>
                <w:sz w:val="18"/>
                <w:szCs w:val="18"/>
                <w:lang w:bidi="ar-SA"/>
              </w:rPr>
              <w:t> </w:t>
            </w:r>
          </w:p>
        </w:tc>
      </w:tr>
    </w:tbl>
    <w:p>
      <w:pPr>
        <w:tabs>
          <w:tab w:val="left" w:pos="643"/>
        </w:tabs>
        <w:bidi w:val="0"/>
        <w:jc w:val="left"/>
      </w:pPr>
      <w:r>
        <w:rPr>
          <w:rFonts w:hint="eastAsia"/>
          <w:lang w:eastAsia="zh-CN"/>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yNDhlY2YwMTdkOTk5ODhhMGU3MGRlN2IwZGE5MWYifQ=="/>
  </w:docVars>
  <w:rsids>
    <w:rsidRoot w:val="00000000"/>
    <w:rsid w:val="12D27FAD"/>
    <w:rsid w:val="1AD72AEF"/>
    <w:rsid w:val="27DD0796"/>
    <w:rsid w:val="2F3F75B5"/>
    <w:rsid w:val="57863B52"/>
    <w:rsid w:val="5E5A6020"/>
    <w:rsid w:val="6E997A07"/>
    <w:rsid w:val="707E0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2023-10-13T08:53:00Z</dcterms:created>
  <dc:creator>Administrator</dc:creator>
  <cp:lastModifiedBy>Admin</cp:lastModifiedBy>
  <dcterms:modified xsi:type="dcterms:W3CDTF">2023-10-13T13:43:41Z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6E48F918063F42528259CE6AC9AF9E64</vt:lpwstr>
  </property>
</Properties>
</file>