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黑体" w:cs="Times New Roman"/>
          <w:b/>
          <w:sz w:val="44"/>
          <w:szCs w:val="44"/>
        </w:rPr>
      </w:pPr>
    </w:p>
    <w:p>
      <w:pPr>
        <w:rPr>
          <w:rFonts w:hint="default" w:ascii="Times New Roman" w:hAnsi="Times New Roman" w:eastAsia="黑体" w:cs="Times New Roman"/>
          <w:b/>
          <w:sz w:val="44"/>
          <w:szCs w:val="44"/>
        </w:rPr>
      </w:pPr>
    </w:p>
    <w:p>
      <w:pPr>
        <w:pStyle w:val="3"/>
        <w:bidi w:val="0"/>
        <w:rPr>
          <w:rFonts w:hint="default" w:ascii="Times New Roman" w:hAnsi="Times New Roman" w:cs="Times New Roman"/>
          <w:sz w:val="44"/>
          <w:szCs w:val="36"/>
        </w:rPr>
      </w:pPr>
      <w:r>
        <w:rPr>
          <w:rFonts w:hint="default" w:ascii="Times New Roman" w:hAnsi="Times New Roman" w:cs="Times New Roman"/>
          <w:sz w:val="44"/>
          <w:szCs w:val="36"/>
        </w:rPr>
        <w:t>塔什库尔干县区域声环境功能区调整</w:t>
      </w:r>
    </w:p>
    <w:p>
      <w:pPr>
        <w:pStyle w:val="3"/>
        <w:bidi w:val="0"/>
        <w:rPr>
          <w:rFonts w:hint="default" w:ascii="Times New Roman" w:hAnsi="Times New Roman" w:cs="Times New Roman"/>
          <w:sz w:val="44"/>
          <w:szCs w:val="36"/>
        </w:rPr>
      </w:pPr>
      <w:r>
        <w:rPr>
          <w:rFonts w:hint="default" w:ascii="Times New Roman" w:hAnsi="Times New Roman" w:cs="Times New Roman"/>
          <w:sz w:val="44"/>
          <w:szCs w:val="36"/>
        </w:rPr>
        <w:t>划分方案</w:t>
      </w:r>
    </w:p>
    <w:p>
      <w:pPr>
        <w:jc w:val="center"/>
        <w:rPr>
          <w:rFonts w:hint="eastAsia" w:ascii="Times New Roman" w:hAnsi="Times New Roman" w:eastAsia="方正小标宋_GBK" w:cs="Times New Roman"/>
          <w:bCs/>
          <w:kern w:val="2"/>
          <w:sz w:val="44"/>
          <w:szCs w:val="36"/>
          <w:lang w:val="en-US" w:eastAsia="zh-CN" w:bidi="ar"/>
        </w:rPr>
      </w:pPr>
      <w:r>
        <w:rPr>
          <w:rFonts w:hint="eastAsia" w:ascii="Times New Roman" w:hAnsi="Times New Roman" w:eastAsia="方正小标宋_GBK" w:cs="Times New Roman"/>
          <w:bCs/>
          <w:kern w:val="2"/>
          <w:sz w:val="44"/>
          <w:szCs w:val="36"/>
          <w:lang w:val="en-US" w:eastAsia="zh-CN" w:bidi="ar"/>
        </w:rPr>
        <w:t>（2024年）</w:t>
      </w:r>
    </w:p>
    <w:p>
      <w:pPr>
        <w:jc w:val="center"/>
        <w:rPr>
          <w:rFonts w:hint="default" w:ascii="Times New Roman" w:hAnsi="Times New Roman" w:eastAsia="黑体" w:cs="Times New Roman"/>
          <w:b/>
          <w:sz w:val="44"/>
          <w:szCs w:val="44"/>
        </w:rPr>
      </w:pPr>
    </w:p>
    <w:p>
      <w:pPr>
        <w:jc w:val="center"/>
        <w:rPr>
          <w:rFonts w:hint="default" w:ascii="Times New Roman" w:hAnsi="Times New Roman" w:eastAsia="黑体" w:cs="Times New Roman"/>
          <w:b/>
          <w:sz w:val="44"/>
          <w:szCs w:val="44"/>
        </w:rPr>
      </w:pPr>
    </w:p>
    <w:p>
      <w:pPr>
        <w:jc w:val="center"/>
        <w:rPr>
          <w:rFonts w:hint="default" w:ascii="Times New Roman" w:hAnsi="Times New Roman" w:eastAsia="黑体" w:cs="Times New Roman"/>
          <w:b/>
          <w:sz w:val="44"/>
          <w:szCs w:val="44"/>
        </w:rPr>
      </w:pPr>
    </w:p>
    <w:p>
      <w:pPr>
        <w:jc w:val="center"/>
        <w:rPr>
          <w:rFonts w:hint="default" w:ascii="Times New Roman" w:hAnsi="Times New Roman" w:eastAsia="黑体" w:cs="Times New Roman"/>
          <w:b/>
          <w:sz w:val="44"/>
          <w:szCs w:val="44"/>
        </w:rPr>
      </w:pPr>
    </w:p>
    <w:p>
      <w:pPr>
        <w:jc w:val="center"/>
        <w:rPr>
          <w:rFonts w:hint="default" w:ascii="Times New Roman" w:hAnsi="Times New Roman" w:eastAsia="黑体" w:cs="Times New Roman"/>
          <w:b/>
          <w:sz w:val="44"/>
          <w:szCs w:val="44"/>
        </w:rPr>
      </w:pPr>
    </w:p>
    <w:p>
      <w:pPr>
        <w:jc w:val="center"/>
        <w:rPr>
          <w:rFonts w:hint="default" w:ascii="Times New Roman" w:hAnsi="Times New Roman" w:eastAsia="黑体" w:cs="Times New Roman"/>
          <w:b/>
          <w:sz w:val="44"/>
          <w:szCs w:val="44"/>
        </w:rPr>
      </w:pPr>
    </w:p>
    <w:p>
      <w:pPr>
        <w:jc w:val="center"/>
        <w:rPr>
          <w:rFonts w:hint="default" w:ascii="Times New Roman" w:hAnsi="Times New Roman" w:eastAsia="黑体" w:cs="Times New Roman"/>
          <w:b/>
          <w:sz w:val="44"/>
          <w:szCs w:val="44"/>
        </w:rPr>
      </w:pPr>
    </w:p>
    <w:p>
      <w:pPr>
        <w:jc w:val="center"/>
        <w:rPr>
          <w:rFonts w:hint="default" w:ascii="Times New Roman" w:hAnsi="Times New Roman" w:eastAsia="黑体" w:cs="Times New Roman"/>
          <w:b/>
          <w:sz w:val="44"/>
          <w:szCs w:val="44"/>
        </w:rPr>
      </w:pPr>
    </w:p>
    <w:p>
      <w:pPr>
        <w:jc w:val="center"/>
        <w:rPr>
          <w:rFonts w:hint="default" w:ascii="Times New Roman" w:hAnsi="Times New Roman" w:eastAsia="黑体" w:cs="Times New Roman"/>
          <w:b/>
          <w:sz w:val="44"/>
          <w:szCs w:val="44"/>
        </w:rPr>
      </w:pPr>
    </w:p>
    <w:p>
      <w:pPr>
        <w:jc w:val="center"/>
        <w:rPr>
          <w:rFonts w:hint="default" w:ascii="Times New Roman" w:hAnsi="Times New Roman" w:eastAsia="黑体" w:cs="Times New Roman"/>
          <w:b/>
          <w:sz w:val="44"/>
          <w:szCs w:val="44"/>
        </w:rPr>
      </w:pPr>
    </w:p>
    <w:p>
      <w:pPr>
        <w:pStyle w:val="4"/>
        <w:bidi w:val="0"/>
        <w:jc w:val="center"/>
        <w:rPr>
          <w:rFonts w:hint="default" w:ascii="Times New Roman" w:hAnsi="Times New Roman" w:cs="Times New Roman"/>
        </w:rPr>
      </w:pPr>
    </w:p>
    <w:p>
      <w:pPr>
        <w:pStyle w:val="4"/>
        <w:bidi w:val="0"/>
        <w:jc w:val="center"/>
        <w:rPr>
          <w:rFonts w:hint="default" w:ascii="Times New Roman" w:hAnsi="Times New Roman" w:cs="Times New Roman"/>
        </w:rPr>
      </w:pPr>
    </w:p>
    <w:p>
      <w:pPr>
        <w:pStyle w:val="4"/>
        <w:bidi w:val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喀什地区生态环境局塔什库尔干塔吉克自治县分局</w:t>
      </w:r>
    </w:p>
    <w:p>
      <w:pPr>
        <w:pStyle w:val="4"/>
        <w:bidi w:val="0"/>
        <w:jc w:val="center"/>
        <w:rPr>
          <w:rFonts w:hint="default" w:ascii="Times New Roman" w:hAnsi="Times New Roman" w:cs="Times New Roman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588" w:right="1588" w:bottom="1588" w:left="1588" w:header="1021" w:footer="992" w:gutter="170"/>
          <w:pgNumType w:fmt="decimal" w:start="0"/>
          <w:cols w:space="720" w:num="1"/>
          <w:docGrid w:type="lines" w:linePitch="312" w:charSpace="0"/>
        </w:sectPr>
      </w:pPr>
      <w:r>
        <w:rPr>
          <w:rFonts w:hint="default" w:ascii="Times New Roman" w:hAnsi="Times New Roman" w:cs="Times New Roman"/>
        </w:rPr>
        <w:t>二〇</w:t>
      </w:r>
      <w:r>
        <w:rPr>
          <w:rFonts w:hint="default" w:ascii="Times New Roman" w:hAnsi="Times New Roman" w:cs="Times New Roman"/>
          <w:lang w:val="en-US" w:eastAsia="zh-CN"/>
        </w:rPr>
        <w:t>二四</w:t>
      </w:r>
      <w:r>
        <w:rPr>
          <w:rFonts w:hint="default" w:ascii="Times New Roman" w:hAnsi="Times New Roman" w:cs="Times New Roman"/>
        </w:rPr>
        <w:t>年</w:t>
      </w:r>
      <w:r>
        <w:rPr>
          <w:rFonts w:hint="default" w:ascii="Times New Roman" w:hAnsi="Times New Roman" w:cs="Times New Roman"/>
          <w:lang w:val="en-US" w:eastAsia="zh-CN"/>
        </w:rPr>
        <w:t>七</w:t>
      </w:r>
      <w:r>
        <w:rPr>
          <w:rFonts w:hint="default" w:ascii="Times New Roman" w:hAnsi="Times New Roman" w:cs="Times New Roman"/>
        </w:rPr>
        <w:t>月</w:t>
      </w:r>
    </w:p>
    <w:p>
      <w:pPr>
        <w:pStyle w:val="13"/>
        <w:numPr>
          <w:ilvl w:val="0"/>
          <w:numId w:val="0"/>
        </w:numPr>
        <w:adjustRightInd w:val="0"/>
        <w:snapToGrid w:val="0"/>
        <w:spacing w:before="0" w:beforeLines="0" w:after="156" w:afterLines="50" w:line="560" w:lineRule="exact"/>
        <w:outlineLvl w:val="0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1 适用范围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00" w:firstLineChars="200"/>
        <w:textAlignment w:val="auto"/>
        <w:rPr>
          <w:rFonts w:hint="default" w:ascii="Times New Roman" w:hAnsi="Times New Roman" w:eastAsia="仿宋" w:cs="Times New Roman"/>
          <w:sz w:val="30"/>
          <w:szCs w:val="30"/>
        </w:rPr>
      </w:pPr>
      <w:r>
        <w:rPr>
          <w:rFonts w:hint="default" w:ascii="Times New Roman" w:hAnsi="Times New Roman" w:eastAsia="仿宋" w:cs="Times New Roman"/>
          <w:sz w:val="30"/>
          <w:szCs w:val="30"/>
        </w:rPr>
        <w:t>本</w:t>
      </w:r>
      <w:r>
        <w:rPr>
          <w:rFonts w:hint="default" w:ascii="Times New Roman" w:hAnsi="Times New Roman" w:eastAsia="仿宋" w:cs="Times New Roman"/>
          <w:sz w:val="30"/>
          <w:szCs w:val="30"/>
          <w:lang w:eastAsia="zh-CN"/>
        </w:rPr>
        <w:t>划分方案</w:t>
      </w:r>
      <w:r>
        <w:rPr>
          <w:rFonts w:hint="default" w:ascii="Times New Roman" w:hAnsi="Times New Roman" w:eastAsia="仿宋" w:cs="Times New Roman"/>
          <w:sz w:val="30"/>
          <w:szCs w:val="30"/>
        </w:rPr>
        <w:t>划定了塔什库尔干县城范围的声环境功能区类别。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00" w:firstLineChars="200"/>
        <w:textAlignment w:val="auto"/>
        <w:rPr>
          <w:rFonts w:hint="default" w:ascii="Times New Roman" w:hAnsi="Times New Roman" w:eastAsia="仿宋" w:cs="Times New Roman"/>
          <w:sz w:val="30"/>
          <w:szCs w:val="30"/>
        </w:rPr>
      </w:pPr>
      <w:r>
        <w:rPr>
          <w:rFonts w:hint="default" w:ascii="Times New Roman" w:hAnsi="Times New Roman" w:eastAsia="仿宋" w:cs="Times New Roman"/>
          <w:sz w:val="30"/>
          <w:szCs w:val="30"/>
        </w:rPr>
        <w:t>本</w:t>
      </w:r>
      <w:r>
        <w:rPr>
          <w:rFonts w:hint="default" w:ascii="Times New Roman" w:hAnsi="Times New Roman" w:eastAsia="仿宋" w:cs="Times New Roman"/>
          <w:sz w:val="30"/>
          <w:szCs w:val="30"/>
          <w:lang w:eastAsia="zh-CN"/>
        </w:rPr>
        <w:t>划分方案</w:t>
      </w:r>
      <w:r>
        <w:rPr>
          <w:rFonts w:hint="default" w:ascii="Times New Roman" w:hAnsi="Times New Roman" w:eastAsia="仿宋" w:cs="Times New Roman"/>
          <w:sz w:val="30"/>
          <w:szCs w:val="30"/>
        </w:rPr>
        <w:t>适用于声环境质量标准（GB3096-2008）和环境噪声排放标准规定的各类区域。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00" w:firstLineChars="200"/>
        <w:textAlignment w:val="auto"/>
        <w:rPr>
          <w:rFonts w:hint="default" w:ascii="Times New Roman" w:hAnsi="Times New Roman" w:eastAsia="仿宋" w:cs="Times New Roman"/>
          <w:sz w:val="30"/>
          <w:szCs w:val="30"/>
        </w:rPr>
      </w:pPr>
      <w:r>
        <w:rPr>
          <w:rFonts w:hint="default" w:ascii="Times New Roman" w:hAnsi="Times New Roman" w:eastAsia="仿宋" w:cs="Times New Roman"/>
          <w:sz w:val="30"/>
          <w:szCs w:val="30"/>
        </w:rPr>
        <w:t>本</w:t>
      </w:r>
      <w:r>
        <w:rPr>
          <w:rFonts w:hint="default" w:ascii="Times New Roman" w:hAnsi="Times New Roman" w:eastAsia="仿宋" w:cs="Times New Roman"/>
          <w:sz w:val="30"/>
          <w:szCs w:val="30"/>
          <w:lang w:eastAsia="zh-CN"/>
        </w:rPr>
        <w:t>划分方案</w:t>
      </w:r>
      <w:r>
        <w:rPr>
          <w:rFonts w:hint="default" w:ascii="Times New Roman" w:hAnsi="Times New Roman" w:eastAsia="仿宋" w:cs="Times New Roman"/>
          <w:sz w:val="30"/>
          <w:szCs w:val="30"/>
        </w:rPr>
        <w:t>包括区划文本和区划图。方案文本和区划图应同时对照使用。</w:t>
      </w:r>
    </w:p>
    <w:p>
      <w:pPr>
        <w:pStyle w:val="13"/>
        <w:numPr>
          <w:ilvl w:val="1"/>
          <w:numId w:val="0"/>
        </w:numPr>
        <w:adjustRightInd w:val="0"/>
        <w:snapToGrid w:val="0"/>
        <w:spacing w:before="0" w:beforeLines="0" w:after="156" w:afterLines="50" w:line="560" w:lineRule="exact"/>
        <w:outlineLvl w:val="0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2 区划范围</w:t>
      </w:r>
    </w:p>
    <w:p>
      <w:pPr>
        <w:adjustRightInd w:val="0"/>
        <w:snapToGrid w:val="0"/>
        <w:spacing w:line="360" w:lineRule="auto"/>
        <w:ind w:firstLine="600" w:firstLineChars="200"/>
        <w:rPr>
          <w:rFonts w:hint="default" w:ascii="Times New Roman" w:hAnsi="Times New Roman" w:eastAsia="仿宋" w:cs="Times New Roman"/>
          <w:color w:val="auto"/>
          <w:sz w:val="30"/>
          <w:szCs w:val="30"/>
        </w:rPr>
      </w:pPr>
      <w:r>
        <w:rPr>
          <w:rFonts w:hint="default" w:ascii="Times New Roman" w:hAnsi="Times New Roman" w:eastAsia="仿宋" w:cs="Times New Roman"/>
          <w:sz w:val="30"/>
          <w:szCs w:val="30"/>
        </w:rPr>
        <w:t>本方案划分范围为塔什库尔干县城行政区域，区划范围面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</w:rPr>
        <w:t>积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lang w:val="en-US" w:eastAsia="zh-CN"/>
        </w:rPr>
        <w:t>9.1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</w:rPr>
        <w:t>km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vertAlign w:val="superscript"/>
        </w:rPr>
        <w:t>2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</w:rPr>
        <w:t>。</w:t>
      </w:r>
    </w:p>
    <w:p>
      <w:pPr>
        <w:pStyle w:val="13"/>
        <w:numPr>
          <w:ilvl w:val="0"/>
          <w:numId w:val="0"/>
        </w:numPr>
        <w:adjustRightInd w:val="0"/>
        <w:snapToGrid w:val="0"/>
        <w:spacing w:before="0" w:beforeLines="0" w:after="156" w:afterLines="50" w:line="560" w:lineRule="exact"/>
        <w:outlineLvl w:val="0"/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</w:rPr>
        <w:t>3 区划结果</w:t>
      </w:r>
    </w:p>
    <w:p>
      <w:pPr>
        <w:pStyle w:val="14"/>
        <w:numPr>
          <w:ilvl w:val="1"/>
          <w:numId w:val="0"/>
        </w:numPr>
        <w:adjustRightInd w:val="0"/>
        <w:snapToGrid w:val="0"/>
        <w:spacing w:after="156" w:afterLines="50" w:line="560" w:lineRule="exact"/>
        <w:rPr>
          <w:rFonts w:hint="default" w:ascii="Times New Roman" w:hAnsi="Times New Roman" w:eastAsia="仿宋" w:cs="Times New Roman"/>
          <w:b/>
          <w:bCs/>
          <w:color w:val="auto"/>
          <w:sz w:val="30"/>
          <w:szCs w:val="30"/>
          <w:highlight w:val="none"/>
        </w:rPr>
      </w:pPr>
      <w:r>
        <w:rPr>
          <w:rFonts w:hint="default" w:ascii="Times New Roman" w:hAnsi="Times New Roman" w:eastAsia="仿宋" w:cs="Times New Roman"/>
          <w:b/>
          <w:bCs/>
          <w:color w:val="auto"/>
          <w:sz w:val="30"/>
          <w:szCs w:val="30"/>
          <w:highlight w:val="none"/>
        </w:rPr>
        <w:t>3.1  区划总况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00" w:firstLineChars="200"/>
        <w:textAlignment w:val="auto"/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</w:pP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>本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lang w:eastAsia="zh-CN"/>
        </w:rPr>
        <w:t>划分方案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>划定声环境功能区共4大类，总面积约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lang w:val="en-US" w:eastAsia="zh-CN"/>
        </w:rPr>
        <w:t>9.1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>km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vertAlign w:val="superscript"/>
        </w:rPr>
        <w:t>2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>。其中l类声环境功能区（以下简称</w:t>
      </w:r>
      <w:r>
        <w:rPr>
          <w:rFonts w:hint="eastAsia" w:ascii="Times New Roman" w:hAnsi="Times New Roman" w:eastAsia="仿宋" w:cs="Times New Roman"/>
          <w:color w:val="auto"/>
          <w:sz w:val="30"/>
          <w:szCs w:val="30"/>
          <w:highlight w:val="none"/>
          <w:lang w:eastAsia="zh-CN"/>
        </w:rPr>
        <w:t>“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>l类区</w:t>
      </w:r>
      <w:r>
        <w:rPr>
          <w:rFonts w:hint="eastAsia" w:ascii="Times New Roman" w:hAnsi="Times New Roman" w:eastAsia="仿宋" w:cs="Times New Roman"/>
          <w:color w:val="auto"/>
          <w:sz w:val="30"/>
          <w:szCs w:val="30"/>
          <w:highlight w:val="none"/>
          <w:lang w:eastAsia="zh-CN"/>
        </w:rPr>
        <w:t>”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>）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lang w:val="en-US" w:eastAsia="zh-CN"/>
        </w:rPr>
        <w:t>9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>个，总面积约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lang w:val="en-US" w:eastAsia="zh-CN"/>
        </w:rPr>
        <w:t>5.627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>km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vertAlign w:val="superscript"/>
        </w:rPr>
        <w:t>2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>；2类声环境功能区（以下简称</w:t>
      </w:r>
      <w:r>
        <w:rPr>
          <w:rFonts w:hint="eastAsia" w:ascii="Times New Roman" w:hAnsi="Times New Roman" w:eastAsia="仿宋" w:cs="Times New Roman"/>
          <w:color w:val="auto"/>
          <w:sz w:val="30"/>
          <w:szCs w:val="30"/>
          <w:highlight w:val="none"/>
          <w:lang w:eastAsia="zh-CN"/>
        </w:rPr>
        <w:t>“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>2类区</w:t>
      </w:r>
      <w:r>
        <w:rPr>
          <w:rFonts w:hint="eastAsia" w:ascii="Times New Roman" w:hAnsi="Times New Roman" w:eastAsia="仿宋" w:cs="Times New Roman"/>
          <w:color w:val="auto"/>
          <w:sz w:val="30"/>
          <w:szCs w:val="30"/>
          <w:highlight w:val="none"/>
          <w:lang w:eastAsia="zh-CN"/>
        </w:rPr>
        <w:t>”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>）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lang w:val="en-US" w:eastAsia="zh-CN"/>
        </w:rPr>
        <w:t>4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>个，总面积约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lang w:val="en-US" w:eastAsia="zh-CN"/>
        </w:rPr>
        <w:t>2.001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>km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vertAlign w:val="superscript"/>
        </w:rPr>
        <w:t>2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>；3类声环境功能区（以下简称</w:t>
      </w:r>
      <w:r>
        <w:rPr>
          <w:rFonts w:hint="eastAsia" w:ascii="Times New Roman" w:hAnsi="Times New Roman" w:eastAsia="仿宋" w:cs="Times New Roman"/>
          <w:color w:val="auto"/>
          <w:sz w:val="30"/>
          <w:szCs w:val="30"/>
          <w:highlight w:val="none"/>
          <w:lang w:eastAsia="zh-CN"/>
        </w:rPr>
        <w:t>“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>3类区</w:t>
      </w:r>
      <w:r>
        <w:rPr>
          <w:rFonts w:hint="eastAsia" w:ascii="Times New Roman" w:hAnsi="Times New Roman" w:eastAsia="仿宋" w:cs="Times New Roman"/>
          <w:color w:val="auto"/>
          <w:sz w:val="30"/>
          <w:szCs w:val="30"/>
          <w:highlight w:val="none"/>
          <w:lang w:eastAsia="zh-CN"/>
        </w:rPr>
        <w:t>”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>）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lang w:val="en-US" w:eastAsia="zh-CN"/>
        </w:rPr>
        <w:t>4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>个，总面积约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lang w:val="en-US" w:eastAsia="zh-CN"/>
        </w:rPr>
        <w:t>0.546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>km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vertAlign w:val="superscript"/>
        </w:rPr>
        <w:t>2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>；4a类声环境功能区（以下简称</w:t>
      </w:r>
      <w:r>
        <w:rPr>
          <w:rFonts w:hint="eastAsia" w:ascii="Times New Roman" w:hAnsi="Times New Roman" w:eastAsia="仿宋" w:cs="Times New Roman"/>
          <w:color w:val="auto"/>
          <w:sz w:val="30"/>
          <w:szCs w:val="30"/>
          <w:highlight w:val="none"/>
          <w:lang w:eastAsia="zh-CN"/>
        </w:rPr>
        <w:t>“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>4a类区</w:t>
      </w:r>
      <w:r>
        <w:rPr>
          <w:rFonts w:hint="eastAsia" w:ascii="Times New Roman" w:hAnsi="Times New Roman" w:eastAsia="仿宋" w:cs="Times New Roman"/>
          <w:color w:val="auto"/>
          <w:sz w:val="30"/>
          <w:szCs w:val="30"/>
          <w:highlight w:val="none"/>
          <w:lang w:eastAsia="zh-CN"/>
        </w:rPr>
        <w:t>”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 xml:space="preserve"> ）总面积约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lang w:val="en-US" w:eastAsia="zh-CN"/>
        </w:rPr>
        <w:t>0.926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>km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vertAlign w:val="superscript"/>
        </w:rPr>
        <w:t>2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>。区划范围面积包括水域和道路。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00" w:firstLineChars="200"/>
        <w:textAlignment w:val="auto"/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</w:pP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>本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lang w:eastAsia="zh-CN"/>
        </w:rPr>
        <w:t>划分方案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</w:rPr>
        <w:t>没有划定0类声环境功能区。</w:t>
      </w:r>
    </w:p>
    <w:p>
      <w:pPr>
        <w:pStyle w:val="14"/>
        <w:numPr>
          <w:ilvl w:val="1"/>
          <w:numId w:val="0"/>
        </w:numPr>
        <w:adjustRightInd w:val="0"/>
        <w:snapToGrid w:val="0"/>
        <w:spacing w:after="156" w:afterLines="50" w:line="560" w:lineRule="exact"/>
        <w:rPr>
          <w:rFonts w:hint="default" w:ascii="Times New Roman" w:hAnsi="Times New Roman" w:eastAsia="仿宋" w:cs="Times New Roman"/>
          <w:b/>
          <w:bCs/>
          <w:sz w:val="30"/>
          <w:szCs w:val="30"/>
          <w:highlight w:val="none"/>
        </w:rPr>
      </w:pPr>
      <w:r>
        <w:rPr>
          <w:rFonts w:hint="default" w:ascii="Times New Roman" w:hAnsi="Times New Roman" w:eastAsia="仿宋" w:cs="Times New Roman"/>
          <w:b/>
          <w:bCs/>
          <w:sz w:val="30"/>
          <w:szCs w:val="30"/>
          <w:highlight w:val="none"/>
        </w:rPr>
        <w:t>3.2  1类区划分结果</w:t>
      </w:r>
    </w:p>
    <w:p>
      <w:pPr>
        <w:adjustRightInd w:val="0"/>
        <w:snapToGrid w:val="0"/>
        <w:spacing w:line="360" w:lineRule="auto"/>
        <w:ind w:firstLine="600" w:firstLineChars="200"/>
        <w:rPr>
          <w:rFonts w:hint="default" w:ascii="Times New Roman" w:hAnsi="Times New Roman" w:eastAsia="仿宋" w:cs="Times New Roman"/>
          <w:sz w:val="30"/>
          <w:szCs w:val="30"/>
          <w:highlight w:val="none"/>
        </w:rPr>
      </w:pPr>
      <w:r>
        <w:rPr>
          <w:rFonts w:hint="default" w:ascii="Times New Roman" w:hAnsi="Times New Roman" w:eastAsia="仿宋" w:cs="Times New Roman"/>
          <w:sz w:val="30"/>
          <w:szCs w:val="30"/>
          <w:highlight w:val="none"/>
        </w:rPr>
        <w:t>划定1类区</w:t>
      </w:r>
      <w:r>
        <w:rPr>
          <w:rFonts w:hint="default" w:ascii="Times New Roman" w:hAnsi="Times New Roman" w:eastAsia="仿宋" w:cs="Times New Roman"/>
          <w:sz w:val="30"/>
          <w:szCs w:val="30"/>
          <w:highlight w:val="none"/>
          <w:lang w:val="en-US" w:eastAsia="zh-CN"/>
        </w:rPr>
        <w:t>9</w:t>
      </w:r>
      <w:r>
        <w:rPr>
          <w:rFonts w:hint="default" w:ascii="Times New Roman" w:hAnsi="Times New Roman" w:eastAsia="仿宋" w:cs="Times New Roman"/>
          <w:sz w:val="30"/>
          <w:szCs w:val="30"/>
          <w:highlight w:val="none"/>
        </w:rPr>
        <w:t>个，总</w:t>
      </w:r>
      <w:bookmarkStart w:id="0" w:name="_GoBack"/>
      <w:bookmarkEnd w:id="0"/>
      <w:r>
        <w:rPr>
          <w:rFonts w:hint="default" w:ascii="Times New Roman" w:hAnsi="Times New Roman" w:eastAsia="仿宋" w:cs="Times New Roman"/>
          <w:sz w:val="30"/>
          <w:szCs w:val="30"/>
          <w:highlight w:val="none"/>
        </w:rPr>
        <w:t>面积约</w:t>
      </w:r>
      <w:r>
        <w:rPr>
          <w:rFonts w:hint="default" w:ascii="Times New Roman" w:hAnsi="Times New Roman" w:eastAsia="仿宋" w:cs="Times New Roman"/>
          <w:sz w:val="30"/>
          <w:szCs w:val="30"/>
          <w:highlight w:val="none"/>
          <w:lang w:val="en-US" w:eastAsia="zh-CN"/>
        </w:rPr>
        <w:t>5.627</w:t>
      </w:r>
      <w:r>
        <w:rPr>
          <w:rFonts w:hint="default" w:ascii="Times New Roman" w:hAnsi="Times New Roman" w:eastAsia="仿宋" w:cs="Times New Roman"/>
          <w:sz w:val="30"/>
          <w:szCs w:val="30"/>
          <w:highlight w:val="none"/>
        </w:rPr>
        <w:t>km</w:t>
      </w:r>
      <w:r>
        <w:rPr>
          <w:rFonts w:hint="default" w:ascii="Times New Roman" w:hAnsi="Times New Roman" w:eastAsia="仿宋" w:cs="Times New Roman"/>
          <w:sz w:val="30"/>
          <w:szCs w:val="30"/>
          <w:highlight w:val="none"/>
          <w:vertAlign w:val="superscript"/>
        </w:rPr>
        <w:t>2</w:t>
      </w:r>
      <w:r>
        <w:rPr>
          <w:rFonts w:hint="default" w:ascii="Times New Roman" w:hAnsi="Times New Roman" w:eastAsia="仿宋" w:cs="Times New Roman"/>
          <w:sz w:val="30"/>
          <w:szCs w:val="30"/>
          <w:highlight w:val="none"/>
        </w:rPr>
        <w:t>，划分结果见表</w:t>
      </w:r>
      <w:r>
        <w:rPr>
          <w:rFonts w:hint="default" w:ascii="Times New Roman" w:hAnsi="Times New Roman" w:eastAsia="仿宋" w:cs="Times New Roman"/>
          <w:sz w:val="30"/>
          <w:szCs w:val="30"/>
          <w:highlight w:val="none"/>
          <w:lang w:val="en-US" w:eastAsia="zh-CN"/>
        </w:rPr>
        <w:t>3-</w:t>
      </w:r>
      <w:r>
        <w:rPr>
          <w:rFonts w:hint="default" w:ascii="Times New Roman" w:hAnsi="Times New Roman" w:eastAsia="仿宋" w:cs="Times New Roman"/>
          <w:sz w:val="30"/>
          <w:szCs w:val="30"/>
          <w:highlight w:val="none"/>
        </w:rPr>
        <w:t>1。</w:t>
      </w:r>
    </w:p>
    <w:p>
      <w:pPr>
        <w:adjustRightInd w:val="0"/>
        <w:snapToGrid w:val="0"/>
        <w:spacing w:before="156" w:beforeLines="50"/>
        <w:jc w:val="center"/>
        <w:rPr>
          <w:rFonts w:hint="default" w:ascii="Times New Roman" w:hAnsi="Times New Roman" w:eastAsia="仿宋" w:cs="Times New Roman"/>
          <w:sz w:val="21"/>
          <w:szCs w:val="21"/>
        </w:rPr>
      </w:pPr>
    </w:p>
    <w:p>
      <w:pPr>
        <w:adjustRightInd w:val="0"/>
        <w:snapToGrid w:val="0"/>
        <w:spacing w:before="156" w:beforeLines="50"/>
        <w:jc w:val="center"/>
        <w:rPr>
          <w:rFonts w:hint="default" w:ascii="Times New Roman" w:hAnsi="Times New Roman" w:eastAsia="仿宋" w:cs="Times New Roman"/>
          <w:b/>
          <w:bCs/>
          <w:sz w:val="21"/>
          <w:szCs w:val="21"/>
        </w:rPr>
      </w:pPr>
    </w:p>
    <w:p>
      <w:pPr>
        <w:adjustRightInd w:val="0"/>
        <w:snapToGrid w:val="0"/>
        <w:spacing w:before="156" w:beforeLines="50"/>
        <w:jc w:val="center"/>
        <w:rPr>
          <w:rFonts w:hint="default" w:ascii="Times New Roman" w:hAnsi="Times New Roman" w:eastAsia="仿宋" w:cs="Times New Roman"/>
          <w:b/>
          <w:bCs/>
          <w:sz w:val="21"/>
          <w:szCs w:val="21"/>
        </w:rPr>
      </w:pPr>
      <w:r>
        <w:rPr>
          <w:rFonts w:hint="default" w:ascii="Times New Roman" w:hAnsi="Times New Roman" w:eastAsia="仿宋" w:cs="Times New Roman"/>
          <w:b/>
          <w:bCs/>
          <w:sz w:val="21"/>
          <w:szCs w:val="21"/>
        </w:rPr>
        <w:t>表</w:t>
      </w:r>
      <w:r>
        <w:rPr>
          <w:rFonts w:hint="default" w:ascii="Times New Roman" w:hAnsi="Times New Roman" w:eastAsia="仿宋" w:cs="Times New Roman"/>
          <w:b/>
          <w:bCs/>
          <w:sz w:val="21"/>
          <w:szCs w:val="21"/>
          <w:lang w:val="en-US" w:eastAsia="zh-CN"/>
        </w:rPr>
        <w:t>3-</w:t>
      </w:r>
      <w:r>
        <w:rPr>
          <w:rFonts w:hint="default" w:ascii="Times New Roman" w:hAnsi="Times New Roman" w:eastAsia="仿宋" w:cs="Times New Roman"/>
          <w:b/>
          <w:bCs/>
          <w:sz w:val="21"/>
          <w:szCs w:val="21"/>
        </w:rPr>
        <w:t>1类区一览表</w:t>
      </w:r>
    </w:p>
    <w:tbl>
      <w:tblPr>
        <w:tblStyle w:val="9"/>
        <w:tblW w:w="844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1"/>
        <w:gridCol w:w="1527"/>
        <w:gridCol w:w="52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tblHeader/>
          <w:jc w:val="center"/>
        </w:trPr>
        <w:tc>
          <w:tcPr>
            <w:tcW w:w="1721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  <w:t>区域</w:t>
            </w:r>
          </w:p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  <w:t>编号</w:t>
            </w:r>
          </w:p>
        </w:tc>
        <w:tc>
          <w:tcPr>
            <w:tcW w:w="1527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  <w:t>面积</w:t>
            </w:r>
          </w:p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  <w:t>（km</w:t>
            </w:r>
            <w:r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  <w:t>）</w:t>
            </w:r>
          </w:p>
        </w:tc>
        <w:tc>
          <w:tcPr>
            <w:tcW w:w="5201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  <w:t>区域范围（边界）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721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</w:rPr>
              <w:t>1-1</w:t>
            </w:r>
          </w:p>
        </w:tc>
        <w:tc>
          <w:tcPr>
            <w:tcW w:w="152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color w:val="FF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0.837</w:t>
            </w:r>
          </w:p>
        </w:tc>
        <w:tc>
          <w:tcPr>
            <w:tcW w:w="5201" w:type="dxa"/>
            <w:noWrap w:val="0"/>
            <w:vAlign w:val="center"/>
          </w:tcPr>
          <w:p>
            <w:pPr>
              <w:tabs>
                <w:tab w:val="left" w:pos="1329"/>
              </w:tabs>
              <w:adjustRightInd w:val="0"/>
              <w:snapToGrid w:val="0"/>
              <w:ind w:right="-105" w:rightChars="-50"/>
              <w:jc w:val="left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G314与慕士塔格路交汇处；慕士塔格路与辛滚路交汇处；辛滚路与帕米尔路交汇处；帕米尔路与G314交汇处围成区块（除去3-1部分）。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721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</w:rPr>
              <w:t>1-2</w:t>
            </w:r>
          </w:p>
        </w:tc>
        <w:tc>
          <w:tcPr>
            <w:tcW w:w="152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0.523</w:t>
            </w:r>
          </w:p>
        </w:tc>
        <w:tc>
          <w:tcPr>
            <w:tcW w:w="5201" w:type="dxa"/>
            <w:noWrap w:val="0"/>
            <w:vAlign w:val="center"/>
          </w:tcPr>
          <w:p>
            <w:pPr>
              <w:adjustRightInd w:val="0"/>
              <w:snapToGrid w:val="0"/>
              <w:ind w:right="-105" w:rightChars="-50"/>
              <w:jc w:val="left"/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  <w:t>红旗拉普路与</w:t>
            </w: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慕士塔格路</w:t>
            </w: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  <w:t>交汇处；</w:t>
            </w: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慕士塔格路</w:t>
            </w: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  <w:t>与红古城路交汇处；古城路与帕米尔路交汇处；帕米尔路与红旗拉普路围成区块。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721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</w:rPr>
              <w:t>1-3</w:t>
            </w:r>
          </w:p>
        </w:tc>
        <w:tc>
          <w:tcPr>
            <w:tcW w:w="152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0.105</w:t>
            </w:r>
          </w:p>
        </w:tc>
        <w:tc>
          <w:tcPr>
            <w:tcW w:w="5201" w:type="dxa"/>
            <w:noWrap w:val="0"/>
            <w:vAlign w:val="center"/>
          </w:tcPr>
          <w:p>
            <w:pPr>
              <w:adjustRightInd w:val="0"/>
              <w:snapToGrid w:val="0"/>
              <w:ind w:right="-105" w:rightChars="-50"/>
              <w:jc w:val="left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  <w:t>塔什库尔干路与中巴友谊路交汇处，塔什库尔干路以北</w:t>
            </w: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1000米范围内，中巴友谊路以东1000米范围内围成区块（除去2-4部分）。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721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</w:rPr>
              <w:t>1-4</w:t>
            </w:r>
          </w:p>
        </w:tc>
        <w:tc>
          <w:tcPr>
            <w:tcW w:w="152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0.705</w:t>
            </w:r>
          </w:p>
        </w:tc>
        <w:tc>
          <w:tcPr>
            <w:tcW w:w="5201" w:type="dxa"/>
            <w:noWrap w:val="0"/>
            <w:vAlign w:val="center"/>
          </w:tcPr>
          <w:p>
            <w:pPr>
              <w:adjustRightInd w:val="0"/>
              <w:snapToGrid w:val="0"/>
              <w:ind w:right="-105" w:rightChars="-50"/>
              <w:jc w:val="left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  <w:t>塔什库尔干路与中巴友谊路交汇处，塔什库尔干路以北</w:t>
            </w: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500米范围内，中巴友谊路以西2000米范围内围成区块。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721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1-5</w:t>
            </w:r>
          </w:p>
        </w:tc>
        <w:tc>
          <w:tcPr>
            <w:tcW w:w="152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1.17</w:t>
            </w:r>
          </w:p>
        </w:tc>
        <w:tc>
          <w:tcPr>
            <w:tcW w:w="5201" w:type="dxa"/>
            <w:noWrap w:val="0"/>
            <w:vAlign w:val="center"/>
          </w:tcPr>
          <w:p>
            <w:pPr>
              <w:adjustRightInd w:val="0"/>
              <w:snapToGrid w:val="0"/>
              <w:ind w:right="-105" w:rightChars="-50"/>
              <w:jc w:val="left"/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  <w:t>帕米尔路与辛滚路交汇处；辛滚路与塔什库尔干路交汇处；塔什库尔干路与中巴友谊路交汇处；中巴友谊路与帕米尔路交汇处围成区块。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721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</w:rPr>
              <w:t>1-</w:t>
            </w: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52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0.168</w:t>
            </w:r>
          </w:p>
        </w:tc>
        <w:tc>
          <w:tcPr>
            <w:tcW w:w="5201" w:type="dxa"/>
            <w:noWrap w:val="0"/>
            <w:vAlign w:val="center"/>
          </w:tcPr>
          <w:p>
            <w:pPr>
              <w:adjustRightInd w:val="0"/>
              <w:snapToGrid w:val="0"/>
              <w:ind w:right="-105" w:rightChars="-50"/>
              <w:jc w:val="left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  <w:t>帕米尔路与辛滚路交汇处，帕米尔路以南</w:t>
            </w: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500米范围内，辛滚路以西500米范围内围成区块。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721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</w:rPr>
              <w:t>1-</w:t>
            </w: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52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0.112</w:t>
            </w:r>
          </w:p>
        </w:tc>
        <w:tc>
          <w:tcPr>
            <w:tcW w:w="5201" w:type="dxa"/>
            <w:noWrap w:val="0"/>
            <w:vAlign w:val="center"/>
          </w:tcPr>
          <w:p>
            <w:pPr>
              <w:adjustRightInd w:val="0"/>
              <w:snapToGrid w:val="0"/>
              <w:ind w:right="-105" w:rightChars="-50"/>
              <w:jc w:val="left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  <w:t>拉齐尼路与赛日库依路交汇处，拉齐尼路以南</w:t>
            </w: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200米范围内，赛日库依路以西400米，以东500米范围围成区块。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721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1-8</w:t>
            </w:r>
          </w:p>
        </w:tc>
        <w:tc>
          <w:tcPr>
            <w:tcW w:w="152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1.753</w:t>
            </w:r>
          </w:p>
        </w:tc>
        <w:tc>
          <w:tcPr>
            <w:tcW w:w="5201" w:type="dxa"/>
            <w:noWrap w:val="0"/>
            <w:vAlign w:val="center"/>
          </w:tcPr>
          <w:p>
            <w:pPr>
              <w:adjustRightInd w:val="0"/>
              <w:snapToGrid w:val="0"/>
              <w:ind w:right="-105" w:rightChars="-50"/>
              <w:jc w:val="left"/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  <w:t>帕米尔路与辛滚路交汇处；辛滚路与拉齐尼路交汇处；拉齐尼路与中巴友谊路交汇处；中巴友谊路与帕米尔路交汇处围成区块（除去</w:t>
            </w: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3-2，3-3部分</w:t>
            </w: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  <w:t>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721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</w:rPr>
              <w:t>1-</w:t>
            </w: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52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0.255</w:t>
            </w:r>
          </w:p>
        </w:tc>
        <w:tc>
          <w:tcPr>
            <w:tcW w:w="5201" w:type="dxa"/>
            <w:noWrap w:val="0"/>
            <w:vAlign w:val="center"/>
          </w:tcPr>
          <w:p>
            <w:pPr>
              <w:adjustRightInd w:val="0"/>
              <w:snapToGrid w:val="0"/>
              <w:ind w:right="-105" w:rightChars="-50"/>
              <w:jc w:val="left"/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  <w:t>慕士塔格路与中巴友谊路交汇处；中巴友谊路与红旗拉普路交汇处；红旗拉普路与慕士塔格路交汇处围成区块。</w:t>
            </w:r>
          </w:p>
        </w:tc>
      </w:tr>
    </w:tbl>
    <w:p>
      <w:pPr>
        <w:ind w:firstLine="180"/>
        <w:rPr>
          <w:rFonts w:hint="default" w:ascii="Times New Roman" w:hAnsi="Times New Roman" w:cs="Times New Roman"/>
          <w:sz w:val="24"/>
        </w:rPr>
      </w:pPr>
    </w:p>
    <w:p>
      <w:pPr>
        <w:pStyle w:val="14"/>
        <w:numPr>
          <w:ilvl w:val="1"/>
          <w:numId w:val="0"/>
        </w:numPr>
        <w:adjustRightInd w:val="0"/>
        <w:snapToGrid w:val="0"/>
        <w:spacing w:after="156" w:afterLines="50" w:line="560" w:lineRule="exact"/>
        <w:rPr>
          <w:rFonts w:hint="default" w:ascii="Times New Roman" w:hAnsi="Times New Roman" w:eastAsia="仿宋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仿宋" w:cs="Times New Roman"/>
          <w:b/>
          <w:bCs/>
          <w:sz w:val="30"/>
          <w:szCs w:val="30"/>
        </w:rPr>
        <w:t>3.3  2类区划分结果</w:t>
      </w:r>
    </w:p>
    <w:p>
      <w:pPr>
        <w:adjustRightInd w:val="0"/>
        <w:snapToGrid w:val="0"/>
        <w:spacing w:line="360" w:lineRule="auto"/>
        <w:ind w:firstLine="600" w:firstLineChars="200"/>
        <w:rPr>
          <w:rFonts w:hint="default" w:ascii="Times New Roman" w:hAnsi="Times New Roman" w:eastAsia="仿宋" w:cs="Times New Roman"/>
          <w:sz w:val="30"/>
          <w:szCs w:val="30"/>
        </w:rPr>
      </w:pPr>
      <w:r>
        <w:rPr>
          <w:rFonts w:hint="default" w:ascii="Times New Roman" w:hAnsi="Times New Roman" w:eastAsia="仿宋" w:cs="Times New Roman"/>
          <w:sz w:val="30"/>
          <w:szCs w:val="30"/>
        </w:rPr>
        <w:t>划定2类区</w:t>
      </w:r>
      <w:r>
        <w:rPr>
          <w:rFonts w:hint="default" w:ascii="Times New Roman" w:hAnsi="Times New Roman" w:eastAsia="仿宋" w:cs="Times New Roman"/>
          <w:sz w:val="30"/>
          <w:szCs w:val="30"/>
          <w:lang w:val="en-US" w:eastAsia="zh-CN"/>
        </w:rPr>
        <w:t>4</w:t>
      </w:r>
      <w:r>
        <w:rPr>
          <w:rFonts w:hint="default" w:ascii="Times New Roman" w:hAnsi="Times New Roman" w:eastAsia="仿宋" w:cs="Times New Roman"/>
          <w:sz w:val="30"/>
          <w:szCs w:val="30"/>
        </w:rPr>
        <w:t>个，总面积约</w:t>
      </w:r>
      <w:r>
        <w:rPr>
          <w:rFonts w:hint="default" w:ascii="Times New Roman" w:hAnsi="Times New Roman" w:eastAsia="仿宋" w:cs="Times New Roman"/>
          <w:sz w:val="30"/>
          <w:szCs w:val="30"/>
          <w:lang w:val="en-US" w:eastAsia="zh-CN"/>
        </w:rPr>
        <w:t>2.001</w:t>
      </w:r>
      <w:r>
        <w:rPr>
          <w:rFonts w:hint="default" w:ascii="Times New Roman" w:hAnsi="Times New Roman" w:eastAsia="仿宋" w:cs="Times New Roman"/>
          <w:sz w:val="30"/>
          <w:szCs w:val="30"/>
        </w:rPr>
        <w:t>km</w:t>
      </w:r>
      <w:r>
        <w:rPr>
          <w:rFonts w:hint="default" w:ascii="Times New Roman" w:hAnsi="Times New Roman" w:eastAsia="仿宋" w:cs="Times New Roman"/>
          <w:sz w:val="30"/>
          <w:szCs w:val="30"/>
          <w:vertAlign w:val="superscript"/>
        </w:rPr>
        <w:t>2</w:t>
      </w:r>
      <w:r>
        <w:rPr>
          <w:rFonts w:hint="default" w:ascii="Times New Roman" w:hAnsi="Times New Roman" w:eastAsia="仿宋" w:cs="Times New Roman"/>
          <w:sz w:val="30"/>
          <w:szCs w:val="30"/>
        </w:rPr>
        <w:t>，划分结果见表</w:t>
      </w:r>
      <w:r>
        <w:rPr>
          <w:rFonts w:hint="default" w:ascii="Times New Roman" w:hAnsi="Times New Roman" w:eastAsia="仿宋" w:cs="Times New Roman"/>
          <w:sz w:val="30"/>
          <w:szCs w:val="30"/>
          <w:lang w:val="en-US" w:eastAsia="zh-CN"/>
        </w:rPr>
        <w:t>3-</w:t>
      </w:r>
      <w:r>
        <w:rPr>
          <w:rFonts w:hint="default" w:ascii="Times New Roman" w:hAnsi="Times New Roman" w:eastAsia="仿宋" w:cs="Times New Roman"/>
          <w:sz w:val="30"/>
          <w:szCs w:val="30"/>
        </w:rPr>
        <w:t>2。</w:t>
      </w:r>
    </w:p>
    <w:p>
      <w:pPr>
        <w:adjustRightInd w:val="0"/>
        <w:snapToGrid w:val="0"/>
        <w:spacing w:before="156" w:beforeLines="50"/>
        <w:jc w:val="center"/>
        <w:rPr>
          <w:rFonts w:hint="default" w:ascii="Times New Roman" w:hAnsi="Times New Roman" w:eastAsia="仿宋" w:cs="Times New Roman"/>
          <w:b/>
          <w:bCs/>
          <w:sz w:val="21"/>
          <w:szCs w:val="21"/>
        </w:rPr>
      </w:pPr>
      <w:r>
        <w:rPr>
          <w:rFonts w:hint="default" w:ascii="Times New Roman" w:hAnsi="Times New Roman" w:eastAsia="仿宋" w:cs="Times New Roman"/>
          <w:b/>
          <w:bCs/>
          <w:sz w:val="21"/>
          <w:szCs w:val="21"/>
        </w:rPr>
        <w:t>表</w:t>
      </w:r>
      <w:r>
        <w:rPr>
          <w:rFonts w:hint="default" w:ascii="Times New Roman" w:hAnsi="Times New Roman" w:eastAsia="仿宋" w:cs="Times New Roman"/>
          <w:b/>
          <w:bCs/>
          <w:sz w:val="21"/>
          <w:szCs w:val="21"/>
          <w:lang w:val="en-US" w:eastAsia="zh-CN"/>
        </w:rPr>
        <w:t>3-</w:t>
      </w:r>
      <w:r>
        <w:rPr>
          <w:rFonts w:hint="default" w:ascii="Times New Roman" w:hAnsi="Times New Roman" w:eastAsia="仿宋" w:cs="Times New Roman"/>
          <w:b/>
          <w:bCs/>
          <w:sz w:val="21"/>
          <w:szCs w:val="21"/>
        </w:rPr>
        <w:t>2类区一览表</w:t>
      </w:r>
    </w:p>
    <w:tbl>
      <w:tblPr>
        <w:tblStyle w:val="9"/>
        <w:tblW w:w="837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7"/>
        <w:gridCol w:w="1544"/>
        <w:gridCol w:w="51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2" w:hRule="atLeast"/>
          <w:tblHeader/>
          <w:jc w:val="center"/>
        </w:trPr>
        <w:tc>
          <w:tcPr>
            <w:tcW w:w="1677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  <w:t>区域</w:t>
            </w:r>
          </w:p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  <w:t>编号</w:t>
            </w:r>
          </w:p>
        </w:tc>
        <w:tc>
          <w:tcPr>
            <w:tcW w:w="1544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  <w:t>面积</w:t>
            </w:r>
          </w:p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  <w:t>（km</w:t>
            </w:r>
            <w:r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  <w:t>）</w:t>
            </w:r>
          </w:p>
        </w:tc>
        <w:tc>
          <w:tcPr>
            <w:tcW w:w="5151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  <w:t>区域范围（边界）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677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</w:rPr>
              <w:t>2-1</w:t>
            </w:r>
          </w:p>
        </w:tc>
        <w:tc>
          <w:tcPr>
            <w:tcW w:w="154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0.489</w:t>
            </w:r>
          </w:p>
        </w:tc>
        <w:tc>
          <w:tcPr>
            <w:tcW w:w="5151" w:type="dxa"/>
            <w:noWrap w:val="0"/>
            <w:vAlign w:val="top"/>
          </w:tcPr>
          <w:p>
            <w:pPr>
              <w:adjustRightInd w:val="0"/>
              <w:snapToGrid w:val="0"/>
              <w:ind w:right="-105" w:rightChars="-50"/>
              <w:jc w:val="both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G314与塔什库尔干路交汇处；塔什库尔干路与辛滚路交汇处；辛滚路与慕士塔格路交汇处；慕士塔格路与G314交汇处围成区块。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677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</w:rPr>
              <w:t>2-2</w:t>
            </w:r>
          </w:p>
        </w:tc>
        <w:tc>
          <w:tcPr>
            <w:tcW w:w="154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0.454</w:t>
            </w:r>
          </w:p>
        </w:tc>
        <w:tc>
          <w:tcPr>
            <w:tcW w:w="5151" w:type="dxa"/>
            <w:noWrap w:val="0"/>
            <w:vAlign w:val="top"/>
          </w:tcPr>
          <w:p>
            <w:pPr>
              <w:adjustRightInd w:val="0"/>
              <w:snapToGrid w:val="0"/>
              <w:ind w:right="-105" w:rightChars="-50"/>
              <w:jc w:val="both"/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  <w:t>帕米尔路与红旗拉普路交汇处；红旗拉普路与中巴友谊路交汇处；中巴友谊路与古城路交汇处；古城路与帕米尔路交汇处围成区块（除去</w:t>
            </w: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3-4部分</w:t>
            </w: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  <w:t>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677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</w:rPr>
              <w:t>2-3</w:t>
            </w:r>
          </w:p>
        </w:tc>
        <w:tc>
          <w:tcPr>
            <w:tcW w:w="154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0.276</w:t>
            </w:r>
          </w:p>
        </w:tc>
        <w:tc>
          <w:tcPr>
            <w:tcW w:w="5151" w:type="dxa"/>
            <w:noWrap w:val="0"/>
            <w:vAlign w:val="top"/>
          </w:tcPr>
          <w:p>
            <w:pPr>
              <w:adjustRightInd w:val="0"/>
              <w:snapToGrid w:val="0"/>
              <w:ind w:right="-105" w:rightChars="-50"/>
              <w:jc w:val="both"/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  <w:t>塔什库尔干路与中巴友谊路交汇处；中巴友谊路与慕士塔格路交汇处；慕士塔格路与古城路交汇处；古城路与塔什库尔干路交汇处围成区块。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677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</w:rPr>
              <w:t>2-4</w:t>
            </w:r>
          </w:p>
        </w:tc>
        <w:tc>
          <w:tcPr>
            <w:tcW w:w="154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0.781</w:t>
            </w:r>
          </w:p>
        </w:tc>
        <w:tc>
          <w:tcPr>
            <w:tcW w:w="5151" w:type="dxa"/>
            <w:noWrap w:val="0"/>
            <w:vAlign w:val="top"/>
          </w:tcPr>
          <w:p>
            <w:pPr>
              <w:adjustRightInd w:val="0"/>
              <w:snapToGrid w:val="0"/>
              <w:ind w:right="-105" w:rightChars="-50"/>
              <w:jc w:val="both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  <w:t>塔什库尔干路与中巴友谊路交汇处，塔什库尔干路以北</w:t>
            </w: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1000米范围内，中巴友谊路以东1000米范围内围成区块（除去1-3部分）。</w:t>
            </w:r>
          </w:p>
        </w:tc>
      </w:tr>
    </w:tbl>
    <w:p>
      <w:pPr>
        <w:ind w:firstLine="180"/>
        <w:rPr>
          <w:rFonts w:hint="default" w:ascii="Times New Roman" w:hAnsi="Times New Roman" w:cs="Times New Roman"/>
          <w:szCs w:val="21"/>
        </w:rPr>
      </w:pPr>
    </w:p>
    <w:p>
      <w:pPr>
        <w:pStyle w:val="14"/>
        <w:numPr>
          <w:ilvl w:val="1"/>
          <w:numId w:val="0"/>
        </w:numPr>
        <w:adjustRightInd w:val="0"/>
        <w:snapToGrid w:val="0"/>
        <w:spacing w:after="156" w:afterLines="50" w:line="560" w:lineRule="exact"/>
        <w:rPr>
          <w:rFonts w:hint="default" w:ascii="Times New Roman" w:hAnsi="Times New Roman" w:eastAsia="仿宋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仿宋" w:cs="Times New Roman"/>
          <w:b/>
          <w:bCs/>
          <w:sz w:val="30"/>
          <w:szCs w:val="30"/>
        </w:rPr>
        <w:t>3.4  3类区划分结果</w:t>
      </w:r>
    </w:p>
    <w:p>
      <w:pPr>
        <w:adjustRightInd w:val="0"/>
        <w:snapToGrid w:val="0"/>
        <w:spacing w:line="360" w:lineRule="auto"/>
        <w:ind w:firstLine="600" w:firstLineChars="200"/>
        <w:rPr>
          <w:rFonts w:hint="default" w:ascii="Times New Roman" w:hAnsi="Times New Roman" w:eastAsia="仿宋" w:cs="Times New Roman"/>
          <w:sz w:val="30"/>
          <w:szCs w:val="30"/>
        </w:rPr>
      </w:pPr>
      <w:r>
        <w:rPr>
          <w:rFonts w:hint="default" w:ascii="Times New Roman" w:hAnsi="Times New Roman" w:eastAsia="仿宋" w:cs="Times New Roman"/>
          <w:sz w:val="30"/>
          <w:szCs w:val="30"/>
        </w:rPr>
        <w:t>划定3类区</w:t>
      </w:r>
      <w:r>
        <w:rPr>
          <w:rFonts w:hint="default" w:ascii="Times New Roman" w:hAnsi="Times New Roman" w:eastAsia="仿宋" w:cs="Times New Roman"/>
          <w:sz w:val="30"/>
          <w:szCs w:val="30"/>
          <w:lang w:val="en-US" w:eastAsia="zh-CN"/>
        </w:rPr>
        <w:t>4</w:t>
      </w:r>
      <w:r>
        <w:rPr>
          <w:rFonts w:hint="default" w:ascii="Times New Roman" w:hAnsi="Times New Roman" w:eastAsia="仿宋" w:cs="Times New Roman"/>
          <w:sz w:val="30"/>
          <w:szCs w:val="30"/>
        </w:rPr>
        <w:t>个，总面积约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lang w:val="en-US" w:eastAsia="zh-CN"/>
        </w:rPr>
        <w:t>0.546</w:t>
      </w:r>
      <w:r>
        <w:rPr>
          <w:rFonts w:hint="default" w:ascii="Times New Roman" w:hAnsi="Times New Roman" w:eastAsia="仿宋" w:cs="Times New Roman"/>
          <w:sz w:val="30"/>
          <w:szCs w:val="30"/>
        </w:rPr>
        <w:t>km</w:t>
      </w:r>
      <w:r>
        <w:rPr>
          <w:rFonts w:hint="default" w:ascii="Times New Roman" w:hAnsi="Times New Roman" w:eastAsia="仿宋" w:cs="Times New Roman"/>
          <w:sz w:val="30"/>
          <w:szCs w:val="30"/>
          <w:vertAlign w:val="superscript"/>
        </w:rPr>
        <w:t>2</w:t>
      </w:r>
      <w:r>
        <w:rPr>
          <w:rFonts w:hint="default" w:ascii="Times New Roman" w:hAnsi="Times New Roman" w:eastAsia="仿宋" w:cs="Times New Roman"/>
          <w:sz w:val="30"/>
          <w:szCs w:val="30"/>
        </w:rPr>
        <w:t>，划分结果见表</w:t>
      </w:r>
      <w:r>
        <w:rPr>
          <w:rFonts w:hint="default" w:ascii="Times New Roman" w:hAnsi="Times New Roman" w:eastAsia="仿宋" w:cs="Times New Roman"/>
          <w:sz w:val="30"/>
          <w:szCs w:val="30"/>
          <w:lang w:val="en-US" w:eastAsia="zh-CN"/>
        </w:rPr>
        <w:t>3-</w:t>
      </w:r>
      <w:r>
        <w:rPr>
          <w:rFonts w:hint="default" w:ascii="Times New Roman" w:hAnsi="Times New Roman" w:eastAsia="仿宋" w:cs="Times New Roman"/>
          <w:sz w:val="30"/>
          <w:szCs w:val="30"/>
        </w:rPr>
        <w:t>3。</w:t>
      </w:r>
    </w:p>
    <w:p>
      <w:pPr>
        <w:adjustRightInd w:val="0"/>
        <w:snapToGrid w:val="0"/>
        <w:spacing w:before="156" w:beforeLines="50"/>
        <w:jc w:val="center"/>
        <w:rPr>
          <w:rFonts w:hint="default" w:ascii="Times New Roman" w:hAnsi="Times New Roman" w:eastAsia="仿宋" w:cs="Times New Roman"/>
          <w:b/>
          <w:bCs/>
          <w:sz w:val="21"/>
          <w:szCs w:val="21"/>
        </w:rPr>
      </w:pPr>
      <w:r>
        <w:rPr>
          <w:rFonts w:hint="default" w:ascii="Times New Roman" w:hAnsi="Times New Roman" w:eastAsia="仿宋" w:cs="Times New Roman"/>
          <w:b/>
          <w:bCs/>
          <w:sz w:val="21"/>
          <w:szCs w:val="21"/>
        </w:rPr>
        <w:t>表3</w:t>
      </w:r>
      <w:r>
        <w:rPr>
          <w:rFonts w:hint="default" w:ascii="Times New Roman" w:hAnsi="Times New Roman" w:eastAsia="仿宋" w:cs="Times New Roman"/>
          <w:b/>
          <w:bCs/>
          <w:sz w:val="21"/>
          <w:szCs w:val="21"/>
          <w:lang w:val="en-US" w:eastAsia="zh-CN"/>
        </w:rPr>
        <w:t>-</w:t>
      </w:r>
      <w:r>
        <w:rPr>
          <w:rFonts w:hint="default" w:ascii="Times New Roman" w:hAnsi="Times New Roman" w:eastAsia="仿宋" w:cs="Times New Roman"/>
          <w:b/>
          <w:bCs/>
          <w:sz w:val="21"/>
          <w:szCs w:val="21"/>
        </w:rPr>
        <w:t>3类区一览表</w:t>
      </w:r>
    </w:p>
    <w:tbl>
      <w:tblPr>
        <w:tblStyle w:val="9"/>
        <w:tblW w:w="833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8"/>
        <w:gridCol w:w="2018"/>
        <w:gridCol w:w="51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tblHeader/>
          <w:jc w:val="center"/>
        </w:trPr>
        <w:tc>
          <w:tcPr>
            <w:tcW w:w="1158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  <w:t>区域</w:t>
            </w:r>
          </w:p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  <w:t>编号</w:t>
            </w:r>
          </w:p>
        </w:tc>
        <w:tc>
          <w:tcPr>
            <w:tcW w:w="2018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  <w:t>面积</w:t>
            </w:r>
          </w:p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  <w:t>（km</w:t>
            </w:r>
            <w:r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  <w:t>）</w:t>
            </w:r>
          </w:p>
        </w:tc>
        <w:tc>
          <w:tcPr>
            <w:tcW w:w="5162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1"/>
                <w:szCs w:val="21"/>
              </w:rPr>
              <w:t>区域范围（边界）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158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</w:rPr>
              <w:t>3-1</w:t>
            </w:r>
          </w:p>
        </w:tc>
        <w:tc>
          <w:tcPr>
            <w:tcW w:w="201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0.390</w:t>
            </w:r>
          </w:p>
        </w:tc>
        <w:tc>
          <w:tcPr>
            <w:tcW w:w="5162" w:type="dxa"/>
            <w:noWrap w:val="0"/>
            <w:vAlign w:val="top"/>
          </w:tcPr>
          <w:p>
            <w:pPr>
              <w:adjustRightInd w:val="0"/>
              <w:snapToGrid w:val="0"/>
              <w:ind w:right="-105" w:rightChars="-50"/>
              <w:jc w:val="both"/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G314与慕士塔格路交汇处；慕士塔格路与辛滚路交汇处；辛滚路与帕米尔路交汇处；帕米尔路与G314交汇处围成区块（除去1-1部分）。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1" w:hRule="atLeast"/>
          <w:jc w:val="center"/>
        </w:trPr>
        <w:tc>
          <w:tcPr>
            <w:tcW w:w="1158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</w:rPr>
              <w:t>3-2</w:t>
            </w:r>
          </w:p>
        </w:tc>
        <w:tc>
          <w:tcPr>
            <w:tcW w:w="201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0.104</w:t>
            </w:r>
          </w:p>
        </w:tc>
        <w:tc>
          <w:tcPr>
            <w:tcW w:w="5162" w:type="dxa"/>
            <w:noWrap w:val="0"/>
            <w:vAlign w:val="top"/>
          </w:tcPr>
          <w:p>
            <w:pPr>
              <w:adjustRightInd w:val="0"/>
              <w:snapToGrid w:val="0"/>
              <w:ind w:right="-105" w:rightChars="-50"/>
              <w:jc w:val="both"/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  <w:t>帕米尔路与辛滚路交汇处；辛滚路与拉齐尼路交汇处；拉齐尼路与中巴友谊路交汇处；中巴友谊路与帕米尔路交汇处围成区块（除去</w:t>
            </w: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1-8，3-3部分</w:t>
            </w: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  <w:t>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158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</w:rPr>
              <w:t>3-3</w:t>
            </w:r>
          </w:p>
        </w:tc>
        <w:tc>
          <w:tcPr>
            <w:tcW w:w="201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0.026</w:t>
            </w:r>
          </w:p>
        </w:tc>
        <w:tc>
          <w:tcPr>
            <w:tcW w:w="5162" w:type="dxa"/>
            <w:noWrap w:val="0"/>
            <w:vAlign w:val="top"/>
          </w:tcPr>
          <w:p>
            <w:pPr>
              <w:adjustRightInd w:val="0"/>
              <w:snapToGrid w:val="0"/>
              <w:ind w:right="-105" w:rightChars="-50"/>
              <w:jc w:val="both"/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  <w:t>帕米尔路与辛滚路交汇处；辛滚路与拉齐尼路交汇处；拉齐尼路与中巴友谊路交汇处；中巴友谊路与帕米尔路交汇处围成区块（除去</w:t>
            </w: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3-2，1-8部分</w:t>
            </w: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  <w:t>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158" w:type="dxa"/>
            <w:noWrap w:val="0"/>
            <w:vAlign w:val="center"/>
          </w:tcPr>
          <w:p>
            <w:pPr>
              <w:adjustRightInd w:val="0"/>
              <w:snapToGrid w:val="0"/>
              <w:ind w:left="-105" w:leftChars="-50" w:right="-105" w:rightChars="-50"/>
              <w:jc w:val="center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</w:rPr>
              <w:t>3-4</w:t>
            </w:r>
          </w:p>
        </w:tc>
        <w:tc>
          <w:tcPr>
            <w:tcW w:w="201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0.026</w:t>
            </w:r>
          </w:p>
        </w:tc>
        <w:tc>
          <w:tcPr>
            <w:tcW w:w="5162" w:type="dxa"/>
            <w:noWrap w:val="0"/>
            <w:vAlign w:val="top"/>
          </w:tcPr>
          <w:p>
            <w:pPr>
              <w:adjustRightInd w:val="0"/>
              <w:snapToGrid w:val="0"/>
              <w:ind w:right="-105" w:rightChars="-50"/>
              <w:jc w:val="both"/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  <w:t>帕米尔路与红旗拉普路交汇处；红旗拉普路与中巴友谊路交汇处；中巴友谊路与古城路交汇处；古城路与帕米尔路交汇处围成区块（除去</w:t>
            </w: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2-2部分</w:t>
            </w: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  <w:t>）。</w:t>
            </w:r>
          </w:p>
        </w:tc>
      </w:tr>
    </w:tbl>
    <w:p>
      <w:pPr>
        <w:ind w:firstLine="180"/>
        <w:rPr>
          <w:rFonts w:hint="default" w:ascii="Times New Roman" w:hAnsi="Times New Roman" w:cs="Times New Roman"/>
          <w:szCs w:val="21"/>
        </w:rPr>
      </w:pPr>
    </w:p>
    <w:p>
      <w:pPr>
        <w:pStyle w:val="14"/>
        <w:numPr>
          <w:ilvl w:val="1"/>
          <w:numId w:val="0"/>
        </w:numPr>
        <w:adjustRightInd w:val="0"/>
        <w:snapToGrid w:val="0"/>
        <w:spacing w:after="156" w:afterLines="50" w:line="560" w:lineRule="exact"/>
        <w:rPr>
          <w:rFonts w:hint="default" w:ascii="Times New Roman" w:hAnsi="Times New Roman" w:eastAsia="仿宋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仿宋" w:cs="Times New Roman"/>
          <w:b/>
          <w:bCs/>
          <w:sz w:val="30"/>
          <w:szCs w:val="30"/>
        </w:rPr>
        <w:t>3.5  4a类区划分结果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/>
        <w:textAlignment w:val="auto"/>
        <w:rPr>
          <w:rFonts w:hint="default" w:ascii="Times New Roman" w:hAnsi="Times New Roman" w:eastAsia="仿宋" w:cs="Times New Roman"/>
          <w:sz w:val="30"/>
          <w:szCs w:val="30"/>
        </w:rPr>
      </w:pPr>
      <w:r>
        <w:rPr>
          <w:rFonts w:hint="default" w:ascii="Times New Roman" w:hAnsi="Times New Roman" w:eastAsia="仿宋" w:cs="Times New Roman"/>
          <w:sz w:val="30"/>
          <w:szCs w:val="30"/>
        </w:rPr>
        <w:t>3.5.1  4a类区包括交通干线道路及其两侧区域、港口码头等区域范围。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/>
        <w:textAlignment w:val="auto"/>
        <w:rPr>
          <w:rFonts w:hint="default" w:ascii="Times New Roman" w:hAnsi="Times New Roman" w:eastAsia="仿宋" w:cs="Times New Roman"/>
          <w:sz w:val="30"/>
          <w:szCs w:val="30"/>
        </w:rPr>
      </w:pPr>
      <w:r>
        <w:rPr>
          <w:rFonts w:hint="default" w:ascii="Times New Roman" w:hAnsi="Times New Roman" w:eastAsia="仿宋" w:cs="Times New Roman"/>
          <w:sz w:val="30"/>
          <w:szCs w:val="30"/>
        </w:rPr>
        <w:t>3.5.2  交通干线道路及其两侧区域</w:t>
      </w:r>
    </w:p>
    <w:p>
      <w:pPr>
        <w:pStyle w:val="16"/>
        <w:keepNext w:val="0"/>
        <w:keepLines w:val="0"/>
        <w:pageBreakBefore w:val="0"/>
        <w:widowControl w:val="0"/>
        <w:numPr>
          <w:ilvl w:val="3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/>
        <w:textAlignment w:val="auto"/>
        <w:rPr>
          <w:rFonts w:hint="default" w:ascii="Times New Roman" w:hAnsi="Times New Roman" w:eastAsia="仿宋" w:cs="Times New Roman"/>
          <w:sz w:val="30"/>
          <w:szCs w:val="30"/>
        </w:rPr>
      </w:pPr>
      <w:r>
        <w:rPr>
          <w:rFonts w:hint="default" w:ascii="Times New Roman" w:hAnsi="Times New Roman" w:eastAsia="仿宋" w:cs="Times New Roman"/>
          <w:sz w:val="30"/>
          <w:szCs w:val="30"/>
        </w:rPr>
        <w:t>3.5.2.1  交通干线道路包括以下几种：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600" w:firstLineChars="200"/>
        <w:textAlignment w:val="auto"/>
        <w:rPr>
          <w:rFonts w:hint="default" w:ascii="Times New Roman" w:hAnsi="Times New Roman" w:eastAsia="仿宋" w:cs="Times New Roman"/>
          <w:sz w:val="30"/>
          <w:szCs w:val="30"/>
        </w:rPr>
      </w:pPr>
      <w:r>
        <w:rPr>
          <w:rFonts w:hint="default" w:ascii="Times New Roman" w:hAnsi="Times New Roman" w:eastAsia="仿宋" w:cs="Times New Roman"/>
          <w:sz w:val="30"/>
          <w:szCs w:val="30"/>
        </w:rPr>
        <w:t>(1) 城乡一级公路、二级公路，包括匝道；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600" w:firstLineChars="200"/>
        <w:textAlignment w:val="auto"/>
        <w:rPr>
          <w:rFonts w:hint="default" w:ascii="Times New Roman" w:hAnsi="Times New Roman" w:eastAsia="仿宋" w:cs="Times New Roman"/>
          <w:sz w:val="30"/>
          <w:szCs w:val="30"/>
        </w:rPr>
      </w:pPr>
      <w:r>
        <w:rPr>
          <w:rFonts w:hint="default" w:ascii="Times New Roman" w:hAnsi="Times New Roman" w:eastAsia="仿宋" w:cs="Times New Roman"/>
          <w:sz w:val="30"/>
          <w:szCs w:val="30"/>
        </w:rPr>
        <w:t>(2) 城市主干路、城市次干路，包括匝道；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300" w:firstLineChars="100"/>
        <w:textAlignment w:val="auto"/>
        <w:rPr>
          <w:rFonts w:hint="default" w:ascii="Times New Roman" w:hAnsi="Times New Roman" w:eastAsia="仿宋" w:cs="Times New Roman"/>
          <w:sz w:val="30"/>
          <w:szCs w:val="30"/>
        </w:rPr>
      </w:pPr>
      <w:r>
        <w:rPr>
          <w:rFonts w:hint="default" w:ascii="Times New Roman" w:hAnsi="Times New Roman" w:eastAsia="仿宋" w:cs="Times New Roman"/>
          <w:sz w:val="30"/>
          <w:szCs w:val="30"/>
        </w:rPr>
        <w:t>现状及近期规划主要交通干线道路</w:t>
      </w:r>
      <w:r>
        <w:rPr>
          <w:rFonts w:hint="default" w:ascii="Times New Roman" w:hAnsi="Times New Roman" w:eastAsia="仿宋" w:cs="Times New Roman"/>
          <w:sz w:val="30"/>
          <w:szCs w:val="30"/>
          <w:highlight w:val="none"/>
          <w:lang w:eastAsia="zh-CN"/>
        </w:rPr>
        <w:t>面积</w:t>
      </w:r>
      <w:r>
        <w:rPr>
          <w:rFonts w:hint="default" w:ascii="Times New Roman" w:hAnsi="Times New Roman" w:eastAsia="仿宋" w:cs="Times New Roman"/>
          <w:sz w:val="30"/>
          <w:szCs w:val="30"/>
          <w:highlight w:val="none"/>
          <w:lang w:val="en-US" w:eastAsia="zh-CN"/>
        </w:rPr>
        <w:t>0.926km</w:t>
      </w:r>
      <w:r>
        <w:rPr>
          <w:rFonts w:hint="default" w:ascii="Times New Roman" w:hAnsi="Times New Roman" w:eastAsia="仿宋" w:cs="Times New Roman"/>
          <w:sz w:val="30"/>
          <w:szCs w:val="30"/>
          <w:highlight w:val="none"/>
          <w:vertAlign w:val="superscript"/>
          <w:lang w:val="en-US" w:eastAsia="zh-CN"/>
        </w:rPr>
        <w:t>2</w:t>
      </w:r>
      <w:r>
        <w:rPr>
          <w:rFonts w:hint="default" w:ascii="Times New Roman" w:hAnsi="Times New Roman" w:eastAsia="仿宋" w:cs="Times New Roman"/>
          <w:sz w:val="30"/>
          <w:szCs w:val="30"/>
          <w:highlight w:val="none"/>
          <w:lang w:val="en-US" w:eastAsia="zh-CN"/>
        </w:rPr>
        <w:t>，</w:t>
      </w:r>
      <w:r>
        <w:rPr>
          <w:rFonts w:hint="default" w:ascii="Times New Roman" w:hAnsi="Times New Roman" w:eastAsia="仿宋" w:cs="Times New Roman"/>
          <w:sz w:val="30"/>
          <w:szCs w:val="30"/>
        </w:rPr>
        <w:t>具体</w:t>
      </w:r>
      <w:r>
        <w:rPr>
          <w:rFonts w:hint="default" w:ascii="Times New Roman" w:hAnsi="Times New Roman" w:eastAsia="仿宋" w:cs="Times New Roman"/>
          <w:sz w:val="30"/>
          <w:szCs w:val="30"/>
          <w:lang w:val="en-US" w:eastAsia="zh-CN"/>
        </w:rPr>
        <w:t>道路</w:t>
      </w:r>
      <w:r>
        <w:rPr>
          <w:rFonts w:hint="default" w:ascii="Times New Roman" w:hAnsi="Times New Roman" w:eastAsia="仿宋" w:cs="Times New Roman"/>
          <w:sz w:val="30"/>
          <w:szCs w:val="30"/>
        </w:rPr>
        <w:t>见表</w:t>
      </w:r>
      <w:r>
        <w:rPr>
          <w:rFonts w:hint="default" w:ascii="Times New Roman" w:hAnsi="Times New Roman" w:eastAsia="仿宋" w:cs="Times New Roman"/>
          <w:sz w:val="30"/>
          <w:szCs w:val="30"/>
          <w:lang w:val="en-US" w:eastAsia="zh-CN"/>
        </w:rPr>
        <w:t>3-</w:t>
      </w:r>
      <w:r>
        <w:rPr>
          <w:rFonts w:hint="default" w:ascii="Times New Roman" w:hAnsi="Times New Roman" w:eastAsia="仿宋" w:cs="Times New Roman"/>
          <w:sz w:val="30"/>
          <w:szCs w:val="30"/>
        </w:rPr>
        <w:t>4。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/>
        <w:jc w:val="center"/>
        <w:textAlignment w:val="auto"/>
        <w:rPr>
          <w:rFonts w:hint="default" w:ascii="Times New Roman" w:hAnsi="Times New Roman" w:eastAsia="仿宋" w:cs="Times New Roman"/>
          <w:sz w:val="28"/>
          <w:szCs w:val="28"/>
        </w:rPr>
        <w:sectPr>
          <w:footerReference r:id="rId6" w:type="default"/>
          <w:pgSz w:w="11906" w:h="16838"/>
          <w:pgMar w:top="1814" w:right="1588" w:bottom="1588" w:left="1588" w:header="907" w:footer="907" w:gutter="170"/>
          <w:pgNumType w:fmt="decimal" w:start="1"/>
          <w:cols w:space="720" w:num="1"/>
          <w:docGrid w:type="lines" w:linePitch="312" w:charSpace="0"/>
        </w:sectPr>
      </w:pPr>
    </w:p>
    <w:p>
      <w:pPr>
        <w:adjustRightInd w:val="0"/>
        <w:snapToGrid w:val="0"/>
        <w:spacing w:before="156" w:beforeLines="50"/>
        <w:jc w:val="center"/>
        <w:rPr>
          <w:rFonts w:hint="default" w:ascii="Times New Roman" w:hAnsi="Times New Roman" w:eastAsia="仿宋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仿宋" w:cs="Times New Roman"/>
          <w:b/>
          <w:bCs/>
          <w:sz w:val="21"/>
          <w:szCs w:val="21"/>
        </w:rPr>
        <w:t>表</w:t>
      </w:r>
      <w:r>
        <w:rPr>
          <w:rFonts w:hint="default" w:ascii="Times New Roman" w:hAnsi="Times New Roman" w:eastAsia="仿宋" w:cs="Times New Roman"/>
          <w:b/>
          <w:bCs/>
          <w:sz w:val="21"/>
          <w:szCs w:val="21"/>
          <w:lang w:val="en-US" w:eastAsia="zh-CN"/>
        </w:rPr>
        <w:t>3-</w:t>
      </w:r>
      <w:r>
        <w:rPr>
          <w:rFonts w:hint="default" w:ascii="Times New Roman" w:hAnsi="Times New Roman" w:eastAsia="仿宋" w:cs="Times New Roman"/>
          <w:b/>
          <w:bCs/>
          <w:sz w:val="21"/>
          <w:szCs w:val="21"/>
        </w:rPr>
        <w:t>4  现状及近期规划主要交通干线道路一览表</w:t>
      </w:r>
    </w:p>
    <w:tbl>
      <w:tblPr>
        <w:tblStyle w:val="9"/>
        <w:tblW w:w="8571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9"/>
        <w:gridCol w:w="2008"/>
        <w:gridCol w:w="1950"/>
        <w:gridCol w:w="34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路段名称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道路等级</w:t>
            </w: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起止点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G314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二级公路</w:t>
            </w: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口岸-机场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辛滚路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主干路</w:t>
            </w: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塔什库尔干路-拉齐尼路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中巴友谊路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主干路</w:t>
            </w: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口岸-机场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塔什库尔干路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主干路</w:t>
            </w: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古城路-G314国道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帕米尔路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主干路</w:t>
            </w: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中巴友谊路-G314国道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拉齐尼路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主干路</w:t>
            </w: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中巴友谊路-G314国道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中山路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次干路</w:t>
            </w: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塔什库尔干路-帕米尔路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赛日库依路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次干路</w:t>
            </w: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帕米尔路-拉齐尼路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乔戈里路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次干路</w:t>
            </w: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旅游大道-拉齐尼路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古城路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次干路</w:t>
            </w: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止于中巴友谊路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旅游大道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次干路</w:t>
            </w: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古城路-乔戈里路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慕士塔格路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次干路</w:t>
            </w: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古城路-G314国道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喀拉苏路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次干路</w:t>
            </w: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古城路-辛滚路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苏白达士路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支路</w:t>
            </w: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乔戈里路-中山路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布尔洪路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支路</w:t>
            </w: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中巴友谊路-辛滚路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思瞳路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支路</w:t>
            </w: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中巴友谊路-辛滚路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冷库路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支路</w:t>
            </w: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古城路-红旗拉普路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齐热格旦路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支路</w:t>
            </w: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古城路-红旗拉普路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红旗拉普路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支路</w:t>
            </w: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旅游大道-中巴友谊路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健康北路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支路</w:t>
            </w: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旅游大道-塔什库尔干路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健康路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支路</w:t>
            </w: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塔什库尔干路-慕士塔格路</w:t>
            </w:r>
          </w:p>
        </w:tc>
      </w:tr>
    </w:tbl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Times New Roman" w:hAnsi="Times New Roman" w:eastAsia="仿宋" w:cs="Times New Roman"/>
          <w:sz w:val="30"/>
          <w:szCs w:val="30"/>
        </w:rPr>
      </w:pPr>
      <w:r>
        <w:rPr>
          <w:rFonts w:hint="default" w:ascii="Times New Roman" w:hAnsi="Times New Roman" w:eastAsia="仿宋" w:cs="Times New Roman"/>
          <w:sz w:val="30"/>
          <w:szCs w:val="30"/>
        </w:rPr>
        <w:t>3.5.2.2  交通干线道路两侧区域的具体划分方法如下：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00" w:firstLineChars="200"/>
        <w:textAlignment w:val="auto"/>
        <w:rPr>
          <w:rFonts w:hint="default" w:ascii="Times New Roman" w:hAnsi="Times New Roman" w:eastAsia="仿宋" w:cs="Times New Roman"/>
          <w:sz w:val="30"/>
          <w:szCs w:val="30"/>
        </w:rPr>
      </w:pPr>
      <w:r>
        <w:rPr>
          <w:rFonts w:hint="default" w:ascii="Times New Roman" w:hAnsi="Times New Roman" w:eastAsia="仿宋" w:cs="Times New Roman"/>
          <w:sz w:val="30"/>
          <w:szCs w:val="30"/>
        </w:rPr>
        <w:t xml:space="preserve">(1) </w:t>
      </w:r>
      <w:r>
        <w:rPr>
          <w:rFonts w:hint="default" w:ascii="Times New Roman" w:hAnsi="Times New Roman" w:eastAsia="仿宋" w:cs="Times New Roman"/>
          <w:sz w:val="30"/>
          <w:szCs w:val="30"/>
          <w:lang w:eastAsia="zh-CN"/>
        </w:rPr>
        <w:t>将交通干线边界线外一定距离内的区域划分为</w:t>
      </w:r>
      <w:r>
        <w:rPr>
          <w:rFonts w:hint="default" w:ascii="Times New Roman" w:hAnsi="Times New Roman" w:eastAsia="仿宋" w:cs="Times New Roman"/>
          <w:sz w:val="30"/>
          <w:szCs w:val="30"/>
          <w:lang w:val="en-US" w:eastAsia="zh-CN"/>
        </w:rPr>
        <w:t>4a类声环境功能区。距离的确定方法如下：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00" w:firstLineChars="200"/>
        <w:textAlignment w:val="auto"/>
        <w:rPr>
          <w:rFonts w:hint="default" w:ascii="Times New Roman" w:hAnsi="Times New Roman" w:eastAsia="仿宋" w:cs="Times New Roman"/>
          <w:sz w:val="30"/>
          <w:szCs w:val="30"/>
        </w:rPr>
      </w:pPr>
      <w:r>
        <w:rPr>
          <w:rFonts w:hint="default" w:ascii="Times New Roman" w:hAnsi="Times New Roman" w:eastAsia="仿宋" w:cs="Times New Roman"/>
          <w:sz w:val="30"/>
          <w:szCs w:val="30"/>
        </w:rPr>
        <w:t xml:space="preserve">相邻区域为1类区的，距离为50m；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00" w:firstLineChars="200"/>
        <w:textAlignment w:val="auto"/>
        <w:rPr>
          <w:rFonts w:hint="default" w:ascii="Times New Roman" w:hAnsi="Times New Roman" w:eastAsia="仿宋" w:cs="Times New Roman"/>
          <w:sz w:val="30"/>
          <w:szCs w:val="30"/>
        </w:rPr>
      </w:pPr>
      <w:r>
        <w:rPr>
          <w:rFonts w:hint="default" w:ascii="Times New Roman" w:hAnsi="Times New Roman" w:eastAsia="仿宋" w:cs="Times New Roman"/>
          <w:sz w:val="30"/>
          <w:szCs w:val="30"/>
        </w:rPr>
        <w:t>相邻区域为2类区的，距离为35m；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00" w:firstLineChars="200"/>
        <w:textAlignment w:val="auto"/>
        <w:rPr>
          <w:rFonts w:hint="default" w:ascii="Times New Roman" w:hAnsi="Times New Roman" w:eastAsia="仿宋" w:cs="Times New Roman"/>
          <w:sz w:val="30"/>
          <w:szCs w:val="30"/>
        </w:rPr>
      </w:pPr>
      <w:r>
        <w:rPr>
          <w:rFonts w:hint="default" w:ascii="Times New Roman" w:hAnsi="Times New Roman" w:eastAsia="仿宋" w:cs="Times New Roman"/>
          <w:sz w:val="30"/>
          <w:szCs w:val="30"/>
        </w:rPr>
        <w:t>相邻区域为3类区的，距离为20m。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00" w:firstLineChars="200"/>
        <w:textAlignment w:val="auto"/>
        <w:rPr>
          <w:rFonts w:hint="default" w:ascii="Times New Roman" w:hAnsi="Times New Roman" w:eastAsia="仿宋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仿宋" w:cs="Times New Roman"/>
          <w:sz w:val="30"/>
          <w:szCs w:val="30"/>
          <w:lang w:val="en-US" w:eastAsia="zh-CN"/>
        </w:rPr>
        <w:t>(2) 当临街建筑高于三层楼房以上（含三层）时，将临街建筑面向交通干线一侧至交通干线边界线的区域定位4a类声环境功能区。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Times New Roman" w:hAnsi="Times New Roman" w:eastAsia="仿宋" w:cs="Times New Roman"/>
          <w:sz w:val="30"/>
          <w:szCs w:val="30"/>
          <w:highlight w:val="yellow"/>
        </w:rPr>
      </w:pPr>
      <w:r>
        <w:rPr>
          <w:rFonts w:hint="default" w:ascii="Times New Roman" w:hAnsi="Times New Roman" w:eastAsia="仿宋" w:cs="Times New Roman"/>
          <w:sz w:val="30"/>
          <w:szCs w:val="30"/>
        </w:rPr>
        <w:t>3.5.</w:t>
      </w:r>
      <w:r>
        <w:rPr>
          <w:rFonts w:hint="default" w:ascii="Times New Roman" w:hAnsi="Times New Roman" w:eastAsia="仿宋" w:cs="Times New Roman"/>
          <w:sz w:val="30"/>
          <w:szCs w:val="30"/>
          <w:lang w:val="en-US" w:eastAsia="zh-CN"/>
        </w:rPr>
        <w:t>3</w:t>
      </w:r>
      <w:r>
        <w:rPr>
          <w:rFonts w:hint="default" w:ascii="Times New Roman" w:hAnsi="Times New Roman" w:eastAsia="仿宋" w:cs="Times New Roman"/>
          <w:sz w:val="30"/>
          <w:szCs w:val="30"/>
        </w:rPr>
        <w:t>未建道路（路段）以建成正式通车之日起开始纳入管辖。</w:t>
      </w:r>
    </w:p>
    <w:p>
      <w:pPr>
        <w:pStyle w:val="13"/>
        <w:numPr>
          <w:ilvl w:val="0"/>
          <w:numId w:val="0"/>
        </w:numPr>
        <w:adjustRightInd w:val="0"/>
        <w:snapToGrid w:val="0"/>
        <w:spacing w:before="0" w:beforeLines="0" w:after="156" w:afterLines="50" w:line="560" w:lineRule="exact"/>
        <w:outlineLvl w:val="0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4 附则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Times New Roman" w:hAnsi="Times New Roman" w:eastAsia="仿宋" w:cs="Times New Roman"/>
          <w:sz w:val="30"/>
          <w:szCs w:val="30"/>
        </w:rPr>
      </w:pPr>
      <w:r>
        <w:rPr>
          <w:rFonts w:hint="default" w:ascii="Times New Roman" w:hAnsi="Times New Roman" w:eastAsia="仿宋" w:cs="Times New Roman"/>
          <w:sz w:val="30"/>
          <w:szCs w:val="30"/>
        </w:rPr>
        <w:t xml:space="preserve">4.1  </w:t>
      </w:r>
      <w:r>
        <w:rPr>
          <w:rFonts w:hint="eastAsia" w:ascii="Times New Roman" w:hAnsi="Times New Roman" w:eastAsia="仿宋" w:cs="Times New Roman"/>
          <w:sz w:val="30"/>
          <w:szCs w:val="30"/>
          <w:lang w:eastAsia="zh-CN"/>
        </w:rPr>
        <w:t>“</w:t>
      </w:r>
      <w:r>
        <w:rPr>
          <w:rFonts w:hint="default" w:ascii="Times New Roman" w:hAnsi="Times New Roman" w:eastAsia="仿宋" w:cs="Times New Roman"/>
          <w:sz w:val="30"/>
          <w:szCs w:val="30"/>
        </w:rPr>
        <w:t>昼间</w:t>
      </w:r>
      <w:r>
        <w:rPr>
          <w:rFonts w:hint="eastAsia" w:ascii="Times New Roman" w:hAnsi="Times New Roman" w:eastAsia="仿宋" w:cs="Times New Roman"/>
          <w:sz w:val="30"/>
          <w:szCs w:val="30"/>
          <w:lang w:eastAsia="zh-CN"/>
        </w:rPr>
        <w:t>”</w:t>
      </w:r>
      <w:r>
        <w:rPr>
          <w:rFonts w:hint="default" w:ascii="Times New Roman" w:hAnsi="Times New Roman" w:eastAsia="仿宋" w:cs="Times New Roman"/>
          <w:sz w:val="30"/>
          <w:szCs w:val="30"/>
        </w:rPr>
        <w:t>和</w:t>
      </w:r>
      <w:r>
        <w:rPr>
          <w:rFonts w:hint="eastAsia" w:ascii="Times New Roman" w:hAnsi="Times New Roman" w:eastAsia="仿宋" w:cs="Times New Roman"/>
          <w:sz w:val="30"/>
          <w:szCs w:val="30"/>
          <w:lang w:eastAsia="zh-CN"/>
        </w:rPr>
        <w:t>“</w:t>
      </w:r>
      <w:r>
        <w:rPr>
          <w:rFonts w:hint="default" w:ascii="Times New Roman" w:hAnsi="Times New Roman" w:eastAsia="仿宋" w:cs="Times New Roman"/>
          <w:sz w:val="30"/>
          <w:szCs w:val="30"/>
        </w:rPr>
        <w:t>夜间</w:t>
      </w:r>
      <w:r>
        <w:rPr>
          <w:rFonts w:hint="eastAsia" w:ascii="Times New Roman" w:hAnsi="Times New Roman" w:eastAsia="仿宋" w:cs="Times New Roman"/>
          <w:sz w:val="30"/>
          <w:szCs w:val="30"/>
          <w:lang w:eastAsia="zh-CN"/>
        </w:rPr>
        <w:t>”</w:t>
      </w:r>
      <w:r>
        <w:rPr>
          <w:rFonts w:hint="default" w:ascii="Times New Roman" w:hAnsi="Times New Roman" w:eastAsia="仿宋" w:cs="Times New Roman"/>
          <w:sz w:val="30"/>
          <w:szCs w:val="30"/>
        </w:rPr>
        <w:t>的时间划分：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00" w:firstLineChars="200"/>
        <w:textAlignment w:val="auto"/>
        <w:rPr>
          <w:rFonts w:hint="default" w:ascii="Times New Roman" w:hAnsi="Times New Roman" w:eastAsia="仿宋" w:cs="Times New Roman"/>
          <w:sz w:val="30"/>
          <w:szCs w:val="30"/>
        </w:rPr>
      </w:pPr>
      <w:r>
        <w:rPr>
          <w:rFonts w:hint="default" w:ascii="Times New Roman" w:hAnsi="Times New Roman" w:eastAsia="仿宋" w:cs="Times New Roman"/>
          <w:sz w:val="30"/>
          <w:szCs w:val="30"/>
        </w:rPr>
        <w:t>昼间：6:00—22:00，夜间：22:00—6:00。</w:t>
      </w:r>
    </w:p>
    <w:p>
      <w:pPr>
        <w:pStyle w:val="13"/>
        <w:numPr>
          <w:ilvl w:val="0"/>
          <w:numId w:val="0"/>
        </w:numPr>
        <w:adjustRightInd w:val="0"/>
        <w:snapToGrid w:val="0"/>
        <w:spacing w:before="0" w:beforeLines="0" w:after="156" w:afterLines="50" w:line="560" w:lineRule="exact"/>
        <w:outlineLvl w:val="0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5 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00" w:firstLineChars="200"/>
        <w:textAlignment w:val="auto"/>
        <w:rPr>
          <w:rFonts w:hint="default" w:ascii="Times New Roman" w:hAnsi="Times New Roman" w:eastAsia="仿宋" w:cs="Times New Roman"/>
          <w:sz w:val="30"/>
          <w:szCs w:val="30"/>
        </w:rPr>
      </w:pPr>
      <w:r>
        <w:rPr>
          <w:rFonts w:hint="default" w:ascii="Times New Roman" w:hAnsi="Times New Roman" w:eastAsia="仿宋" w:cs="Times New Roman"/>
          <w:sz w:val="30"/>
          <w:szCs w:val="30"/>
        </w:rPr>
        <w:t>塔什库尔干县城声环境功能区划分图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00" w:firstLineChars="200"/>
        <w:textAlignment w:val="auto"/>
        <w:rPr>
          <w:rFonts w:hint="default" w:ascii="Times New Roman" w:hAnsi="Times New Roman" w:eastAsia="仿宋" w:cs="Times New Roman"/>
          <w:sz w:val="30"/>
          <w:szCs w:val="30"/>
        </w:rPr>
      </w:pPr>
    </w:p>
    <w:p>
      <w:pPr>
        <w:jc w:val="center"/>
        <w:rPr>
          <w:rFonts w:hint="default" w:ascii="Times New Roman" w:hAnsi="Times New Roman" w:eastAsia="宋体" w:cs="Times New Roman"/>
          <w:sz w:val="24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default" w:ascii="Times New Roman" w:hAnsi="Times New Roman" w:eastAsia="宋体" w:cs="Times New Roman"/>
          <w:sz w:val="24"/>
          <w:lang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6679565</wp:posOffset>
            </wp:positionH>
            <wp:positionV relativeFrom="paragraph">
              <wp:posOffset>3415665</wp:posOffset>
            </wp:positionV>
            <wp:extent cx="1830705" cy="1350645"/>
            <wp:effectExtent l="0" t="0" r="17145" b="1905"/>
            <wp:wrapNone/>
            <wp:docPr id="2" name="图片 1" descr="微信图片_2023072922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30729221327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4"/>
          <w:lang w:eastAsia="zh-CN"/>
        </w:rPr>
        <w:drawing>
          <wp:inline distT="0" distB="0" distL="114300" distR="114300">
            <wp:extent cx="8475345" cy="4756785"/>
            <wp:effectExtent l="0" t="0" r="1905" b="5715"/>
            <wp:docPr id="1" name="图片 1" descr="微信图片_20230731134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7311344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75345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宋体" w:cs="Times New Roman"/>
          <w:sz w:val="24"/>
          <w:lang w:eastAsia="zh-CN"/>
        </w:rPr>
      </w:pPr>
    </w:p>
    <w:p>
      <w:pPr>
        <w:jc w:val="center"/>
        <w:rPr>
          <w:rFonts w:hint="default" w:ascii="Times New Roman" w:hAnsi="Times New Roman" w:eastAsia="宋体" w:cs="Times New Roman"/>
          <w:sz w:val="24"/>
          <w:lang w:val="en-US" w:eastAsia="zh-CN"/>
        </w:rPr>
        <w:sectPr>
          <w:pgSz w:w="16838" w:h="11906" w:orient="landscape"/>
          <w:pgMar w:top="1803" w:right="1440" w:bottom="1803" w:left="1440" w:header="851" w:footer="992" w:gutter="0"/>
          <w:pgNumType w:fmt="decimal"/>
          <w:cols w:space="0" w:num="1"/>
          <w:rtlGutter w:val="0"/>
          <w:docGrid w:type="lines" w:linePitch="319" w:charSpace="0"/>
        </w:sectPr>
      </w:pPr>
      <w:r>
        <w:rPr>
          <w:rFonts w:hint="default" w:ascii="Times New Roman" w:hAnsi="Times New Roman" w:eastAsia="宋体" w:cs="Times New Roman"/>
          <w:sz w:val="24"/>
          <w:lang w:eastAsia="zh-CN"/>
        </w:rPr>
        <w:t>图</w:t>
      </w:r>
      <w:r>
        <w:rPr>
          <w:rFonts w:hint="default" w:ascii="Times New Roman" w:hAnsi="Times New Roman" w:eastAsia="宋体" w:cs="Times New Roman"/>
          <w:sz w:val="24"/>
          <w:lang w:val="en-US" w:eastAsia="zh-CN"/>
        </w:rPr>
        <w:t>5-1 塔什库尔干县城区声环境功能区划分</w:t>
      </w:r>
    </w:p>
    <w:p>
      <w:pPr>
        <w:jc w:val="both"/>
        <w:rPr>
          <w:rFonts w:hint="default" w:ascii="Times New Roman" w:hAnsi="Times New Roman" w:eastAsia="宋体" w:cs="Times New Roman"/>
          <w:sz w:val="24"/>
          <w:lang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7A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right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rPr>
                              <w:rFonts w:hint="default" w:ascii="Times New Roman" w:hAnsi="Times New Roman" w:eastAsia="宋体" w:cs="Times New Roman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EaqKiq4BAABLAwAADgAAAGRycy9lMm9Eb2MueG1srVPNThsxEL5X4h0s&#10;34mXIFXRKhsEQiCkCirRPoDjtbOW/Kexk928ALxBT7303ufKc3TsZAOUG+LiHc+Mv/m+mdn5xWAN&#10;2UiI2ruGnk0qSqQTvtVu1dCfP25OZ5TExF3LjXeyoVsZ6cXi5Mu8D7Wc+s6bVgJBEBfrPjS0SynU&#10;jEXRScvjxAfpMKg8WJ7wCivWAu8R3Ro2raqvrPfQBvBCxoje632QLgq+UlKkB6WiTMQ0FLmlckI5&#10;l/lkizmvV8BDp8WBBv8AC8u1w6JHqGueOFmDfgdltQAfvUoT4S3zSmkhiwZUc1b9p+ax40EWLdic&#10;GI5tip8HK+4334HotqHnlDhucUS7X8+73393f57IeW5PH2KNWY8B89Jw5Qcc8+iP6MyqBwU2f1EP&#10;wTg2entsrhwSEfnRbDqbVRgSGBsviM9engeI6VZ6S7LRUMDplabyzbeY9qljSq7m/I02pkzQuDcO&#10;xMwelrnvOWYrDcvhIGjp2y3q6XHwDXW4mZSYO4d9zTsyGjAay9FYB9CrrixRrhfD5TohicItV9jD&#10;HgrjxIq6w3bllXh9L1kv/8Di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RqoqKrgEAAEs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default" w:ascii="Times New Roman" w:hAnsi="Times New Roman" w:eastAsia="宋体" w:cs="Times New Roman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 w:tentative="0">
      <w:start w:val="1"/>
      <w:numFmt w:val="decimal"/>
      <w:suff w:val="nothing"/>
      <w:lvlText w:val="%1  "/>
      <w:lvlJc w:val="left"/>
      <w:pPr>
        <w:ind w:left="0" w:firstLine="0"/>
      </w:pPr>
      <w:rPr>
        <w:rFonts w:hint="default" w:ascii="Times New Roman" w:hAnsi="Times New Roman"/>
        <w:b/>
        <w:i w:val="0"/>
        <w:sz w:val="24"/>
      </w:rPr>
    </w:lvl>
    <w:lvl w:ilvl="1" w:tentative="0">
      <w:start w:val="1"/>
      <w:numFmt w:val="decimal"/>
      <w:pStyle w:val="13"/>
      <w:suff w:val="nothing"/>
      <w:lvlText w:val="%1.%2  "/>
      <w:lvlJc w:val="left"/>
      <w:pPr>
        <w:ind w:left="0" w:firstLine="0"/>
      </w:pPr>
      <w:rPr>
        <w:rFonts w:hint="default" w:ascii="Times New Roman" w:hAnsi="Times New Roman"/>
        <w:b w:val="0"/>
        <w:i w:val="0"/>
        <w:sz w:val="21"/>
      </w:rPr>
    </w:lvl>
    <w:lvl w:ilvl="2" w:tentative="0">
      <w:start w:val="1"/>
      <w:numFmt w:val="decimal"/>
      <w:suff w:val="nothing"/>
      <w:lvlText w:val="%1.%2.%3  "/>
      <w:lvlJc w:val="left"/>
      <w:pPr>
        <w:ind w:left="0" w:firstLine="0"/>
      </w:pPr>
      <w:rPr>
        <w:rFonts w:hint="default" w:ascii="Times New Roman" w:hAnsi="Times New Roman"/>
        <w:b w:val="0"/>
        <w:i w:val="0"/>
        <w:sz w:val="21"/>
      </w:rPr>
    </w:lvl>
    <w:lvl w:ilvl="3" w:tentative="0">
      <w:start w:val="1"/>
      <w:numFmt w:val="decimal"/>
      <w:pStyle w:val="15"/>
      <w:suff w:val="nothing"/>
      <w:lvlText w:val="%1.%2.%3.%4  "/>
      <w:lvlJc w:val="left"/>
      <w:pPr>
        <w:ind w:left="0" w:firstLine="0"/>
      </w:pPr>
      <w:rPr>
        <w:rFonts w:hint="default" w:ascii="Times New Roman" w:hAnsi="Times New Roman"/>
        <w:b w:val="0"/>
        <w:i w:val="0"/>
        <w:sz w:val="21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566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51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776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56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0YzM3ZTQ0YzUzMjIzNzRlMGQ2ZTNmYjJlMmNjY2MifQ=="/>
  </w:docVars>
  <w:rsids>
    <w:rsidRoot w:val="6BB1611D"/>
    <w:rsid w:val="12B675E8"/>
    <w:rsid w:val="35DC4E7E"/>
    <w:rsid w:val="3A322589"/>
    <w:rsid w:val="59FA28D8"/>
    <w:rsid w:val="6BB1611D"/>
    <w:rsid w:val="7465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0" w:after="0" w:afterAutospacing="0"/>
      <w:ind w:firstLine="0" w:firstLineChars="0"/>
      <w:jc w:val="center"/>
      <w:outlineLvl w:val="0"/>
    </w:pPr>
    <w:rPr>
      <w:rFonts w:hint="eastAsia" w:eastAsia="方正小标宋_GBK" w:cs="Times New Roman"/>
      <w:bCs/>
      <w:sz w:val="40"/>
      <w:szCs w:val="32"/>
      <w:lang w:bidi="ar"/>
    </w:rPr>
  </w:style>
  <w:style w:type="paragraph" w:styleId="4">
    <w:name w:val="heading 2"/>
    <w:basedOn w:val="1"/>
    <w:next w:val="1"/>
    <w:unhideWhenUsed/>
    <w:qFormat/>
    <w:uiPriority w:val="0"/>
    <w:pPr>
      <w:spacing w:beforeAutospacing="0" w:afterAutospacing="0"/>
      <w:jc w:val="both"/>
      <w:outlineLvl w:val="1"/>
    </w:pPr>
    <w:rPr>
      <w:rFonts w:ascii="Times New Roman" w:hAnsi="Times New Roman" w:eastAsia="方正黑体_GBK" w:cs="Times New Roman"/>
      <w:spacing w:val="6"/>
      <w:sz w:val="32"/>
      <w:szCs w:val="36"/>
      <w:lang w:bidi="ar"/>
    </w:rPr>
  </w:style>
  <w:style w:type="paragraph" w:styleId="2">
    <w:name w:val="heading 3"/>
    <w:basedOn w:val="1"/>
    <w:next w:val="1"/>
    <w:unhideWhenUsed/>
    <w:qFormat/>
    <w:uiPriority w:val="0"/>
    <w:pPr>
      <w:spacing w:beforeAutospacing="0" w:afterAutospacing="0"/>
      <w:jc w:val="left"/>
      <w:outlineLvl w:val="2"/>
    </w:pPr>
    <w:rPr>
      <w:rFonts w:hint="eastAsia" w:ascii="宋体" w:hAnsi="宋体" w:eastAsia="方正楷体_GBK"/>
      <w:b/>
      <w:color w:val="333333"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qFormat/>
    <w:uiPriority w:val="0"/>
    <w:pPr>
      <w:shd w:val="clear" w:color="auto" w:fill="000080"/>
    </w:pPr>
    <w:rPr>
      <w:rFonts w:ascii="Times New Roman" w:hAnsi="Times New Roman" w:eastAsia="宋体" w:cs="Times New Roman"/>
    </w:rPr>
  </w:style>
  <w:style w:type="paragraph" w:styleId="6">
    <w:name w:val="Date"/>
    <w:basedOn w:val="1"/>
    <w:next w:val="1"/>
    <w:qFormat/>
    <w:uiPriority w:val="0"/>
    <w:pPr>
      <w:ind w:left="100" w:leftChars="2500"/>
    </w:pPr>
    <w:rPr>
      <w:rFonts w:ascii="Times New Roman" w:hAnsi="Times New Roman" w:eastAsia="宋体" w:cs="Times New Roman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character" w:styleId="11">
    <w:name w:val="page number"/>
    <w:basedOn w:val="10"/>
    <w:qFormat/>
    <w:uiPriority w:val="0"/>
    <w:rPr>
      <w:rFonts w:ascii="Times New Roman" w:hAnsi="Times New Roman" w:eastAsia="宋体" w:cs="Times New Roman"/>
    </w:rPr>
  </w:style>
  <w:style w:type="paragraph" w:customStyle="1" w:styleId="12">
    <w:name w:val="默认段落字体 Para Char Char Char Char Char Char Char"/>
    <w:basedOn w:val="5"/>
    <w:qFormat/>
    <w:uiPriority w:val="0"/>
    <w:rPr>
      <w:rFonts w:ascii="Times New Roman" w:hAnsi="Times New Roman" w:eastAsia="宋体" w:cs="Times New Roman"/>
    </w:rPr>
  </w:style>
  <w:style w:type="paragraph" w:customStyle="1" w:styleId="13">
    <w:name w:val="区划1"/>
    <w:next w:val="1"/>
    <w:qFormat/>
    <w:uiPriority w:val="0"/>
    <w:pPr>
      <w:numPr>
        <w:ilvl w:val="1"/>
        <w:numId w:val="1"/>
      </w:numPr>
      <w:spacing w:before="312" w:beforeLines="100" w:after="312" w:afterLines="100"/>
    </w:pPr>
    <w:rPr>
      <w:rFonts w:ascii="Times New Roman" w:hAnsi="Times New Roman" w:eastAsia="宋体" w:cs="宋体"/>
      <w:b/>
      <w:bCs/>
      <w:kern w:val="2"/>
      <w:sz w:val="24"/>
      <w:lang w:val="en-US" w:eastAsia="zh-CN" w:bidi="ar-SA"/>
    </w:rPr>
  </w:style>
  <w:style w:type="paragraph" w:customStyle="1" w:styleId="14">
    <w:name w:val="区划2"/>
    <w:basedOn w:val="1"/>
    <w:next w:val="1"/>
    <w:qFormat/>
    <w:uiPriority w:val="0"/>
    <w:pPr>
      <w:spacing w:line="360" w:lineRule="auto"/>
      <w:outlineLvl w:val="1"/>
    </w:pPr>
    <w:rPr>
      <w:rFonts w:ascii="Times New Roman" w:hAnsi="Times New Roman" w:eastAsia="宋体" w:cs="宋体"/>
      <w:szCs w:val="20"/>
    </w:rPr>
  </w:style>
  <w:style w:type="paragraph" w:customStyle="1" w:styleId="15">
    <w:name w:val="区划3级"/>
    <w:basedOn w:val="1"/>
    <w:qFormat/>
    <w:uiPriority w:val="0"/>
    <w:pPr>
      <w:numPr>
        <w:ilvl w:val="3"/>
        <w:numId w:val="1"/>
      </w:numPr>
      <w:adjustRightInd w:val="0"/>
      <w:snapToGrid w:val="0"/>
      <w:spacing w:line="360" w:lineRule="auto"/>
      <w:outlineLvl w:val="2"/>
    </w:pPr>
    <w:rPr>
      <w:rFonts w:ascii="Times New Roman" w:hAnsi="Times New Roman" w:eastAsia="宋体" w:cs="Times New Roman"/>
      <w:szCs w:val="21"/>
    </w:rPr>
  </w:style>
  <w:style w:type="paragraph" w:customStyle="1" w:styleId="16">
    <w:name w:val="区划4级"/>
    <w:basedOn w:val="1"/>
    <w:next w:val="1"/>
    <w:qFormat/>
    <w:uiPriority w:val="0"/>
    <w:pPr>
      <w:spacing w:line="360" w:lineRule="auto"/>
      <w:outlineLvl w:val="3"/>
    </w:pPr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2264</Words>
  <Characters>2646</Characters>
  <Lines>0</Lines>
  <Paragraphs>0</Paragraphs>
  <TotalTime>4</TotalTime>
  <ScaleCrop>false</ScaleCrop>
  <LinksUpToDate>false</LinksUpToDate>
  <CharactersWithSpaces>2680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2024-09-02T10:03:00Z</dcterms:created>
  <dc:creator>溪水</dc:creator>
  <cp:lastModifiedBy>PC</cp:lastModifiedBy>
  <cp:lastPrinted>2024-10-31T04:59:00Z</cp:lastPrinted>
  <dcterms:modified xsi:type="dcterms:W3CDTF">2025-01-23T11:48:03Z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C8EF165BC96643A09BE8C52D6C59DA91_13</vt:lpwstr>
  </property>
</Properties>
</file>