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表五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塔什库尔干县人力资源和社会保障局关于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职业培训学校办学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许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可统计表</w:t>
      </w:r>
    </w:p>
    <w:p>
      <w:pPr>
        <w:rPr>
          <w:rFonts w:hint="eastAsia" w:ascii="方正仿宋简体" w:hAnsi="方正仿宋简体" w:eastAsia="方正仿宋简体" w:cs="方正仿宋简体"/>
          <w:sz w:val="24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eastAsia="zh-CN"/>
        </w:rPr>
        <w:t>填表单位：</w:t>
      </w:r>
      <w:r>
        <w:rPr>
          <w:rFonts w:hint="eastAsia" w:ascii="方正仿宋简体" w:hAnsi="方正仿宋简体" w:eastAsia="方正仿宋简体" w:cs="方正仿宋简体"/>
          <w:sz w:val="24"/>
          <w:szCs w:val="32"/>
          <w:lang w:eastAsia="zh-CN"/>
        </w:rPr>
        <w:t>塔什库尔干县人力资源和社会保障局</w:t>
      </w:r>
    </w:p>
    <w:tbl>
      <w:tblPr>
        <w:tblStyle w:val="3"/>
        <w:tblW w:w="14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2659"/>
        <w:gridCol w:w="2652"/>
        <w:gridCol w:w="1284"/>
        <w:gridCol w:w="2352"/>
        <w:gridCol w:w="1668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  <w:t>序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  <w:t>号</w:t>
            </w:r>
          </w:p>
        </w:tc>
        <w:tc>
          <w:tcPr>
            <w:tcW w:w="946" w:type="dxa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  <w:t>企业名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  <w:t>称</w:t>
            </w:r>
          </w:p>
        </w:tc>
        <w:tc>
          <w:tcPr>
            <w:tcW w:w="946" w:type="dxa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659" w:type="dxa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  <w:t>地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  <w:t>址</w:t>
            </w:r>
          </w:p>
        </w:tc>
        <w:tc>
          <w:tcPr>
            <w:tcW w:w="2652" w:type="dxa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  <w:t>许可文件编号</w:t>
            </w:r>
          </w:p>
        </w:tc>
        <w:tc>
          <w:tcPr>
            <w:tcW w:w="1284" w:type="dxa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  <w:t>有效期</w:t>
            </w:r>
          </w:p>
        </w:tc>
        <w:tc>
          <w:tcPr>
            <w:tcW w:w="2352" w:type="dxa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  <w:t>法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  <w:t>人姓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  <w:t>名</w:t>
            </w:r>
          </w:p>
        </w:tc>
        <w:tc>
          <w:tcPr>
            <w:tcW w:w="1668" w:type="dxa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  <w:t>联系电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  <w:t>话</w:t>
            </w:r>
          </w:p>
        </w:tc>
        <w:tc>
          <w:tcPr>
            <w:tcW w:w="804" w:type="dxa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6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塔什库尔干塔吉克自治县技工学校</w:t>
            </w:r>
          </w:p>
        </w:tc>
        <w:tc>
          <w:tcPr>
            <w:tcW w:w="946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12653131MB1356439P</w:t>
            </w:r>
          </w:p>
        </w:tc>
        <w:tc>
          <w:tcPr>
            <w:tcW w:w="2659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新疆塔什库尔干干塔吉克自治县塔什库尔干镇塔什库尔干路024号</w:t>
            </w:r>
          </w:p>
        </w:tc>
        <w:tc>
          <w:tcPr>
            <w:tcW w:w="2652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塔党编办〔2020〕14号</w:t>
            </w:r>
          </w:p>
          <w:p>
            <w:pPr>
              <w:rPr>
                <w:rFonts w:hint="default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《关于成立塔什库尔干县技工学校的通知》</w:t>
            </w:r>
            <w:bookmarkEnd w:id="0"/>
          </w:p>
        </w:tc>
        <w:tc>
          <w:tcPr>
            <w:tcW w:w="1284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2020年3月23日至2025年3月23日</w:t>
            </w:r>
          </w:p>
        </w:tc>
        <w:tc>
          <w:tcPr>
            <w:tcW w:w="2352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买买提依明·吐拉洪</w:t>
            </w:r>
          </w:p>
        </w:tc>
        <w:tc>
          <w:tcPr>
            <w:tcW w:w="1668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13999092212</w:t>
            </w:r>
          </w:p>
        </w:tc>
        <w:tc>
          <w:tcPr>
            <w:tcW w:w="804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24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24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32"/>
          <w:lang w:eastAsia="zh-CN"/>
        </w:rPr>
        <w:t>注：表格信息如实填写严禁空项漏项</w:t>
      </w:r>
    </w:p>
    <w:sectPr>
      <w:pgSz w:w="16838" w:h="11906" w:orient="landscape"/>
      <w:pgMar w:top="1463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09096CD-C63E-4BD1-93B0-FEBB7565E6CE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ZDliNTk3MmE3M2EzNGVmZmIzMDAyYmQ3MDMyNzQifQ=="/>
  </w:docVars>
  <w:rsids>
    <w:rsidRoot w:val="00000000"/>
    <w:rsid w:val="0D696DD5"/>
    <w:rsid w:val="6400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麒•</cp:lastModifiedBy>
  <dcterms:modified xsi:type="dcterms:W3CDTF">2023-09-23T03:57:07Z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F1443D9B353E469AAAB72FBD4F22C2C1_12</vt:lpwstr>
  </property>
</Properties>
</file>