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塔什库尔干塔吉克自治县交通运输局2024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8D2A72">
      <w:r>
        <w:br w:type="page"/>
      </w:r>
    </w:p>
    <w:p w14:paraId="05838B2C">
      <w:pPr>
        <w:spacing w:line="640" w:lineRule="exact"/>
        <w:jc w:val="center"/>
        <w:outlineLvl w:val="1"/>
      </w:pPr>
      <w:r>
        <w:rPr>
          <w:rFonts w:ascii="黑体" w:hAnsi="黑体" w:eastAsia="黑体"/>
          <w:sz w:val="32"/>
        </w:rPr>
        <w:t>第一部分 单位概况</w:t>
      </w:r>
    </w:p>
    <w:p w14:paraId="0EE03342">
      <w:pPr>
        <w:spacing w:line="640" w:lineRule="exact"/>
        <w:ind w:firstLine="640"/>
        <w:jc w:val="both"/>
        <w:outlineLvl w:val="2"/>
      </w:pPr>
      <w:r>
        <w:rPr>
          <w:rFonts w:ascii="黑体" w:hAnsi="黑体" w:eastAsia="黑体"/>
          <w:sz w:val="32"/>
        </w:rPr>
        <w:t>一、主要职能</w:t>
      </w:r>
    </w:p>
    <w:p w14:paraId="7E2B4D6E">
      <w:pPr>
        <w:spacing w:line="580" w:lineRule="exact"/>
        <w:ind w:firstLine="640"/>
        <w:jc w:val="both"/>
      </w:pPr>
      <w:r>
        <w:rPr>
          <w:rFonts w:ascii="仿宋_GB2312" w:hAnsi="仿宋_GB2312" w:eastAsia="仿宋_GB2312"/>
          <w:sz w:val="32"/>
        </w:rPr>
        <w:t>（1）贯彻执行国家有关交通运输行业的方针、政策和法律、法规。</w:t>
      </w:r>
    </w:p>
    <w:p w14:paraId="656A1511">
      <w:pPr>
        <w:spacing w:line="580" w:lineRule="exact"/>
        <w:ind w:firstLine="640"/>
        <w:jc w:val="both"/>
      </w:pPr>
      <w:r>
        <w:rPr>
          <w:rFonts w:ascii="仿宋_GB2312" w:hAnsi="仿宋_GB2312" w:eastAsia="仿宋_GB2312"/>
          <w:sz w:val="32"/>
        </w:rPr>
        <w:t>（2）拟订全县交通运输规范性文件草案，负责本系统、本部门依法行政工作。</w:t>
      </w:r>
    </w:p>
    <w:p w14:paraId="0E328F92">
      <w:pPr>
        <w:spacing w:line="580" w:lineRule="exact"/>
        <w:ind w:firstLine="640"/>
        <w:jc w:val="both"/>
      </w:pPr>
      <w:r>
        <w:rPr>
          <w:rFonts w:ascii="仿宋_GB2312" w:hAnsi="仿宋_GB2312" w:eastAsia="仿宋_GB2312"/>
          <w:sz w:val="32"/>
        </w:rPr>
        <w:t>（3）承担道路、水路交通运输市场监管责任，组织并监督贯彻实施道路、水路运输有关政策、技术标准和运营规范，会同有关部门制定运输价格。</w:t>
      </w:r>
    </w:p>
    <w:p w14:paraId="53562359">
      <w:pPr>
        <w:spacing w:line="580" w:lineRule="exact"/>
        <w:ind w:firstLine="640"/>
        <w:jc w:val="both"/>
      </w:pPr>
      <w:r>
        <w:rPr>
          <w:rFonts w:ascii="仿宋_GB2312" w:hAnsi="仿宋_GB2312" w:eastAsia="仿宋_GB2312"/>
          <w:sz w:val="32"/>
        </w:rPr>
        <w:t>（4）承担水上交通运输安全监管责任。</w:t>
      </w:r>
    </w:p>
    <w:p w14:paraId="1AAA0277">
      <w:pPr>
        <w:spacing w:line="580" w:lineRule="exact"/>
        <w:ind w:firstLine="640"/>
        <w:jc w:val="both"/>
      </w:pPr>
      <w:r>
        <w:rPr>
          <w:rFonts w:ascii="仿宋_GB2312" w:hAnsi="仿宋_GB2312" w:eastAsia="仿宋_GB2312"/>
          <w:sz w:val="32"/>
        </w:rPr>
        <w:t>（5）负责提出公路、水路固定资产投资规模和方向</w:t>
      </w:r>
      <w:r>
        <w:rPr>
          <w:rFonts w:hint="eastAsia" w:ascii="仿宋_GB2312" w:hAnsi="仿宋_GB2312" w:eastAsia="仿宋_GB2312"/>
          <w:sz w:val="32"/>
          <w:lang w:eastAsia="zh-CN"/>
        </w:rPr>
        <w:t>、</w:t>
      </w:r>
      <w:r>
        <w:rPr>
          <w:rFonts w:ascii="仿宋_GB2312" w:hAnsi="仿宋_GB2312" w:eastAsia="仿宋_GB2312"/>
          <w:sz w:val="32"/>
        </w:rPr>
        <w:t>财政性资金安排建议。</w:t>
      </w:r>
    </w:p>
    <w:p w14:paraId="347100C7">
      <w:pPr>
        <w:spacing w:line="580" w:lineRule="exact"/>
        <w:ind w:firstLine="640"/>
        <w:jc w:val="both"/>
      </w:pPr>
      <w:r>
        <w:rPr>
          <w:rFonts w:ascii="仿宋_GB2312" w:hAnsi="仿宋_GB2312" w:eastAsia="仿宋_GB2312"/>
          <w:sz w:val="32"/>
        </w:rPr>
        <w:t>（6）承担公路、水路建设市场监管责任，组织并监督贯彻实施公路、水路工程建设相关政策、制度、技术标准。</w:t>
      </w:r>
    </w:p>
    <w:p w14:paraId="561B240D">
      <w:pPr>
        <w:spacing w:line="580" w:lineRule="exact"/>
        <w:ind w:firstLine="640"/>
        <w:jc w:val="both"/>
      </w:pPr>
      <w:r>
        <w:rPr>
          <w:rFonts w:ascii="仿宋_GB2312" w:hAnsi="仿宋_GB2312" w:eastAsia="仿宋_GB2312"/>
          <w:sz w:val="32"/>
        </w:rPr>
        <w:t>（7）指导公路、水路行业安全生产和应急管理工作。</w:t>
      </w:r>
    </w:p>
    <w:p w14:paraId="430C2C37">
      <w:pPr>
        <w:spacing w:line="580" w:lineRule="exact"/>
        <w:ind w:firstLine="640"/>
        <w:jc w:val="both"/>
      </w:pPr>
      <w:r>
        <w:rPr>
          <w:rFonts w:ascii="仿宋_GB2312" w:hAnsi="仿宋_GB2312" w:eastAsia="仿宋_GB2312"/>
          <w:sz w:val="32"/>
        </w:rPr>
        <w:t>（8）指导全县交通信息化建设，监测分析运行情况，开展相关统计工作，指导公路、水路行业环境保护和节能减排工作。</w:t>
      </w:r>
    </w:p>
    <w:p w14:paraId="267113F9">
      <w:pPr>
        <w:spacing w:line="580" w:lineRule="exact"/>
        <w:ind w:firstLine="640"/>
        <w:jc w:val="both"/>
      </w:pPr>
      <w:r>
        <w:rPr>
          <w:rFonts w:ascii="仿宋_GB2312" w:hAnsi="仿宋_GB2312" w:eastAsia="仿宋_GB2312"/>
          <w:sz w:val="32"/>
        </w:rPr>
        <w:t>（9）指导交通行业开展对外交流与合作工作，指导全县交通运输行业招商引资和利用外资工作。</w:t>
      </w:r>
    </w:p>
    <w:p w14:paraId="1EC56C4A">
      <w:pPr>
        <w:spacing w:line="580" w:lineRule="exact"/>
        <w:ind w:firstLine="640"/>
        <w:jc w:val="both"/>
      </w:pPr>
      <w:r>
        <w:rPr>
          <w:rFonts w:ascii="仿宋_GB2312" w:hAnsi="仿宋_GB2312" w:eastAsia="仿宋_GB2312"/>
          <w:sz w:val="32"/>
        </w:rPr>
        <w:t>（10）监督辖区内邮政（包括快递类）市场。</w:t>
      </w:r>
    </w:p>
    <w:p w14:paraId="471F5D2C">
      <w:pPr>
        <w:spacing w:line="580" w:lineRule="exact"/>
        <w:ind w:firstLine="640"/>
        <w:jc w:val="both"/>
      </w:pPr>
      <w:r>
        <w:rPr>
          <w:rFonts w:ascii="仿宋_GB2312" w:hAnsi="仿宋_GB2312" w:eastAsia="仿宋_GB2312"/>
          <w:sz w:val="32"/>
        </w:rPr>
        <w:t>（11）牵头拟订、执行涉及交通运输的有关地方经济政策。</w:t>
      </w:r>
    </w:p>
    <w:p w14:paraId="1E244CF9">
      <w:pPr>
        <w:spacing w:line="580" w:lineRule="exact"/>
        <w:ind w:firstLine="640"/>
        <w:jc w:val="both"/>
      </w:pPr>
      <w:r>
        <w:rPr>
          <w:rFonts w:ascii="仿宋_GB2312" w:hAnsi="仿宋_GB2312" w:eastAsia="仿宋_GB2312"/>
          <w:sz w:val="32"/>
        </w:rPr>
        <w:t>（12）负责全县交通战备的管理工作。</w:t>
      </w:r>
    </w:p>
    <w:p w14:paraId="0D88FA1D">
      <w:pPr>
        <w:spacing w:line="580" w:lineRule="exact"/>
        <w:ind w:firstLine="640"/>
        <w:jc w:val="both"/>
      </w:pPr>
      <w:r>
        <w:rPr>
          <w:rFonts w:ascii="仿宋_GB2312" w:hAnsi="仿宋_GB2312" w:eastAsia="仿宋_GB2312"/>
          <w:sz w:val="32"/>
        </w:rPr>
        <w:t>（13）承担渔船检验和监督管理工作。</w:t>
      </w:r>
    </w:p>
    <w:p w14:paraId="1E9E9320">
      <w:pPr>
        <w:spacing w:line="580" w:lineRule="exact"/>
        <w:ind w:firstLine="640"/>
        <w:jc w:val="both"/>
      </w:pPr>
      <w:r>
        <w:rPr>
          <w:rFonts w:ascii="仿宋_GB2312" w:hAnsi="仿宋_GB2312" w:eastAsia="仿宋_GB2312"/>
          <w:sz w:val="32"/>
        </w:rPr>
        <w:t>（14）承办县政府交办的其他工作。</w:t>
      </w:r>
    </w:p>
    <w:p w14:paraId="4B12E5C2">
      <w:pPr>
        <w:spacing w:line="640" w:lineRule="exact"/>
        <w:ind w:firstLine="640"/>
        <w:jc w:val="both"/>
        <w:outlineLvl w:val="2"/>
      </w:pPr>
      <w:r>
        <w:rPr>
          <w:rFonts w:ascii="黑体" w:hAnsi="黑体" w:eastAsia="黑体"/>
          <w:sz w:val="32"/>
        </w:rPr>
        <w:t>二、机构设置及人员情况</w:t>
      </w:r>
    </w:p>
    <w:p w14:paraId="56EBE0A4">
      <w:pPr>
        <w:spacing w:line="580" w:lineRule="exact"/>
        <w:ind w:firstLine="640"/>
        <w:jc w:val="both"/>
      </w:pPr>
      <w:r>
        <w:rPr>
          <w:rFonts w:ascii="仿宋_GB2312" w:hAnsi="仿宋_GB2312" w:eastAsia="仿宋_GB2312"/>
          <w:sz w:val="32"/>
        </w:rPr>
        <w:t>塔什库尔干塔吉克自治县交通运输局2024年度，实有人数29人，其中：在职人员19人，增加0人；离休人员0人，增加0人；退休人员10人,增加0人。</w:t>
      </w:r>
    </w:p>
    <w:p w14:paraId="5028ACD5">
      <w:pPr>
        <w:spacing w:line="580" w:lineRule="exact"/>
        <w:ind w:firstLine="640"/>
        <w:jc w:val="both"/>
      </w:pPr>
      <w:r>
        <w:rPr>
          <w:rFonts w:ascii="仿宋_GB2312" w:hAnsi="仿宋_GB2312" w:eastAsia="仿宋_GB2312"/>
          <w:sz w:val="32"/>
        </w:rPr>
        <w:t>单位无下属预算单位，下设4个科室，分别是：办公室、项目办、执法大队、财务室。</w:t>
      </w:r>
    </w:p>
    <w:p w14:paraId="1553542D">
      <w:r>
        <w:br w:type="page"/>
      </w:r>
    </w:p>
    <w:p w14:paraId="73A3C05D">
      <w:pPr>
        <w:spacing w:line="240" w:lineRule="auto"/>
        <w:jc w:val="center"/>
        <w:outlineLvl w:val="1"/>
      </w:pPr>
      <w:r>
        <w:rPr>
          <w:rFonts w:ascii="黑体" w:hAnsi="黑体" w:eastAsia="黑体"/>
          <w:sz w:val="32"/>
        </w:rPr>
        <w:t>第二部分 部门决算情况说明</w:t>
      </w:r>
    </w:p>
    <w:p w14:paraId="77C958D9">
      <w:pPr>
        <w:spacing w:line="640" w:lineRule="exact"/>
        <w:ind w:firstLine="640"/>
        <w:jc w:val="both"/>
        <w:outlineLvl w:val="2"/>
      </w:pPr>
      <w:r>
        <w:rPr>
          <w:rFonts w:ascii="黑体" w:hAnsi="黑体" w:eastAsia="黑体"/>
          <w:sz w:val="32"/>
        </w:rPr>
        <w:t>一、收入支出决算总体情况说明</w:t>
      </w:r>
    </w:p>
    <w:p w14:paraId="05BB9263">
      <w:pPr>
        <w:spacing w:line="580" w:lineRule="exact"/>
        <w:ind w:firstLine="640"/>
        <w:jc w:val="both"/>
      </w:pPr>
      <w:r>
        <w:rPr>
          <w:rFonts w:ascii="仿宋_GB2312" w:hAnsi="仿宋_GB2312" w:eastAsia="仿宋_GB2312"/>
          <w:b/>
          <w:sz w:val="32"/>
        </w:rPr>
        <w:t>2024年度收入总计35,003.99万元，</w:t>
      </w:r>
      <w:r>
        <w:rPr>
          <w:rFonts w:ascii="仿宋_GB2312" w:hAnsi="仿宋_GB2312" w:eastAsia="仿宋_GB2312"/>
          <w:b w:val="0"/>
          <w:sz w:val="32"/>
        </w:rPr>
        <w:t>其中：本年收入合计35,003.99万元，使用非财政拨款结余（含专用结余）0.00万元，年初结转和结余0.00万元。</w:t>
      </w:r>
    </w:p>
    <w:p w14:paraId="1E1B8DA1">
      <w:pPr>
        <w:spacing w:line="580" w:lineRule="exact"/>
        <w:ind w:firstLine="640"/>
        <w:jc w:val="both"/>
      </w:pPr>
      <w:r>
        <w:rPr>
          <w:rFonts w:ascii="仿宋_GB2312" w:hAnsi="仿宋_GB2312" w:eastAsia="仿宋_GB2312"/>
          <w:b/>
          <w:sz w:val="32"/>
        </w:rPr>
        <w:t>2024年度支出总计35,003.99万元，</w:t>
      </w:r>
      <w:r>
        <w:rPr>
          <w:rFonts w:ascii="仿宋_GB2312" w:hAnsi="仿宋_GB2312" w:eastAsia="仿宋_GB2312"/>
          <w:b w:val="0"/>
          <w:sz w:val="32"/>
        </w:rPr>
        <w:t>其中：本年支出合计35,003.99万元，结余分配0.00万元，年末结转和结余0.00万元。</w:t>
      </w:r>
    </w:p>
    <w:p w14:paraId="30A00824">
      <w:pPr>
        <w:spacing w:line="580" w:lineRule="exact"/>
        <w:ind w:firstLine="640"/>
        <w:jc w:val="both"/>
      </w:pPr>
      <w:r>
        <w:rPr>
          <w:rFonts w:ascii="仿宋_GB2312" w:hAnsi="仿宋_GB2312" w:eastAsia="仿宋_GB2312"/>
          <w:b w:val="0"/>
          <w:sz w:val="32"/>
        </w:rPr>
        <w:t>收入支出总体与上年相比，增加22,322.84万元，增长176.03%，主要原因是：本年增加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交通运输局土地增减挂钩（第二批）项目（阿巴提镇胡西那瓦村村组道路及安全防护建设项目）等项目。</w:t>
      </w:r>
    </w:p>
    <w:p w14:paraId="34830050">
      <w:pPr>
        <w:spacing w:line="640" w:lineRule="exact"/>
        <w:ind w:firstLine="640"/>
        <w:jc w:val="both"/>
        <w:outlineLvl w:val="2"/>
      </w:pPr>
      <w:r>
        <w:rPr>
          <w:rFonts w:ascii="黑体" w:hAnsi="黑体" w:eastAsia="黑体"/>
          <w:sz w:val="32"/>
        </w:rPr>
        <w:t>二、收入决算情况说明</w:t>
      </w:r>
    </w:p>
    <w:p w14:paraId="281913A4">
      <w:pPr>
        <w:spacing w:line="580" w:lineRule="exact"/>
        <w:ind w:firstLine="640"/>
        <w:jc w:val="both"/>
      </w:pPr>
      <w:r>
        <w:rPr>
          <w:rFonts w:ascii="仿宋_GB2312" w:hAnsi="仿宋_GB2312" w:eastAsia="仿宋_GB2312"/>
          <w:b/>
          <w:sz w:val="32"/>
        </w:rPr>
        <w:t>本年收入35,003.99万元，</w:t>
      </w:r>
      <w:r>
        <w:rPr>
          <w:rFonts w:ascii="仿宋_GB2312" w:hAnsi="仿宋_GB2312" w:eastAsia="仿宋_GB2312"/>
          <w:b w:val="0"/>
          <w:sz w:val="32"/>
        </w:rPr>
        <w:t>其中：财政拨款收入34,855.95万元，占99.58%；上级补助收入0.00万元，占0.00%；事业收入0.00万元，占0.00%；经营收入0.00万元，占0.00%；附属单位上缴收入0.00万元，占0.00%；其他收入148.04万元，占0.42%。</w:t>
      </w:r>
    </w:p>
    <w:p w14:paraId="5340882C">
      <w:pPr>
        <w:spacing w:line="640" w:lineRule="exact"/>
        <w:ind w:firstLine="640"/>
        <w:jc w:val="both"/>
        <w:outlineLvl w:val="2"/>
      </w:pPr>
      <w:r>
        <w:rPr>
          <w:rFonts w:ascii="黑体" w:hAnsi="黑体" w:eastAsia="黑体"/>
          <w:sz w:val="32"/>
        </w:rPr>
        <w:t>三、支出决算情况说明</w:t>
      </w:r>
    </w:p>
    <w:p w14:paraId="180EED41">
      <w:pPr>
        <w:spacing w:line="580" w:lineRule="exact"/>
        <w:ind w:firstLine="640"/>
        <w:jc w:val="both"/>
      </w:pPr>
      <w:r>
        <w:rPr>
          <w:rFonts w:ascii="仿宋_GB2312" w:hAnsi="仿宋_GB2312" w:eastAsia="仿宋_GB2312"/>
          <w:b/>
          <w:sz w:val="32"/>
        </w:rPr>
        <w:t>本年支出35,003.99万元，</w:t>
      </w:r>
      <w:r>
        <w:rPr>
          <w:rFonts w:ascii="仿宋_GB2312" w:hAnsi="仿宋_GB2312" w:eastAsia="仿宋_GB2312"/>
          <w:b w:val="0"/>
          <w:sz w:val="32"/>
        </w:rPr>
        <w:t>其中：基本支出438.09万元，占1.25%；项目支出34,565.91万元，占98.75%；上缴上级支出0.00万元，占0.00%；经营支出0.00万元，占0.00%；对附属单位补助支出0.00万元，占0.00%。</w:t>
      </w:r>
    </w:p>
    <w:p w14:paraId="59DAD8CA">
      <w:pPr>
        <w:spacing w:line="640" w:lineRule="exact"/>
        <w:ind w:firstLine="640"/>
        <w:jc w:val="both"/>
        <w:outlineLvl w:val="2"/>
      </w:pPr>
      <w:r>
        <w:rPr>
          <w:rFonts w:ascii="黑体" w:hAnsi="黑体" w:eastAsia="黑体"/>
          <w:sz w:val="32"/>
        </w:rPr>
        <w:t>四、财政拨款收入支出决算总体情况说明</w:t>
      </w:r>
    </w:p>
    <w:p w14:paraId="4301B389">
      <w:pPr>
        <w:spacing w:line="580" w:lineRule="exact"/>
        <w:ind w:firstLine="640"/>
        <w:jc w:val="both"/>
      </w:pPr>
      <w:r>
        <w:rPr>
          <w:rFonts w:ascii="仿宋_GB2312" w:hAnsi="仿宋_GB2312" w:eastAsia="仿宋_GB2312"/>
          <w:b/>
          <w:sz w:val="32"/>
        </w:rPr>
        <w:t>2024年度财政拨款收入总计34,855.95万元，</w:t>
      </w:r>
      <w:r>
        <w:rPr>
          <w:rFonts w:ascii="仿宋_GB2312" w:hAnsi="仿宋_GB2312" w:eastAsia="仿宋_GB2312"/>
          <w:b w:val="0"/>
          <w:sz w:val="32"/>
        </w:rPr>
        <w:t>其中：年初财政拨款结转和结余0.00万元，本年财政拨款收入34,855.95万元。</w:t>
      </w:r>
      <w:r>
        <w:rPr>
          <w:rFonts w:ascii="仿宋_GB2312" w:hAnsi="仿宋_GB2312" w:eastAsia="仿宋_GB2312"/>
          <w:b/>
          <w:sz w:val="32"/>
        </w:rPr>
        <w:t>财政拨款支出总计34,855.95万元，</w:t>
      </w:r>
      <w:r>
        <w:rPr>
          <w:rFonts w:ascii="仿宋_GB2312" w:hAnsi="仿宋_GB2312" w:eastAsia="仿宋_GB2312"/>
          <w:b w:val="0"/>
          <w:sz w:val="32"/>
        </w:rPr>
        <w:t>其中：年末财政拨款结转和结余0.00万元，本年财政拨款支出34,855.95万元。</w:t>
      </w:r>
    </w:p>
    <w:p w14:paraId="7CDF14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增加22,174.80万元，增长174.86%，主要原因是：本年增加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交通运输局土地增减挂钩（第二批）项目（阿巴提镇胡西那瓦村村组道路及安全防护建设项目）等项目。</w:t>
      </w:r>
      <w:r>
        <w:rPr>
          <w:rFonts w:ascii="仿宋_GB2312" w:hAnsi="仿宋_GB2312" w:eastAsia="仿宋_GB2312"/>
          <w:b/>
          <w:sz w:val="32"/>
        </w:rPr>
        <w:t>与年初预算相比，</w:t>
      </w:r>
      <w:r>
        <w:rPr>
          <w:rFonts w:ascii="仿宋_GB2312" w:hAnsi="仿宋_GB2312" w:eastAsia="仿宋_GB2312"/>
          <w:b w:val="0"/>
          <w:sz w:val="32"/>
        </w:rPr>
        <w:t>年初预算数1,828.23万元，决算数34,855.95万元，预决算差异率1806.54%，主要原因是：年中追加喀什地区亚欧通道黄金口岸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项目涉及办理征战用草地手续相关费用、喀什地区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机场至连接线项目道路两边电力设施迁改工程款、卡拉苏口岸前哨综合检查室建设项目、2024年鞍钢资金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绿色交通基础设施（新能源）项目工程、提孜那甫入县城道路路灯电费、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中巴经济走廊物流枢纽塔县副中心——货运站建设项目人防许可证补办行政处罚款、2024年鞍钢资金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绿色交通基础设施提升（新能源）项目、解决2024年塔县慕士塔格冰川公园道路建设项目（二期）水土保持补偿费和草原赔偿金、喀什地区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曲什曼检查站至垃圾处理厂道路改扩建工程费用、卡拉苏口岸新建海关货检场地及附属用房项目（一期）等项目，导致预决算差异。</w:t>
      </w:r>
    </w:p>
    <w:p w14:paraId="6234A7C8">
      <w:pPr>
        <w:spacing w:line="640" w:lineRule="exact"/>
        <w:ind w:firstLine="640"/>
        <w:jc w:val="both"/>
        <w:outlineLvl w:val="2"/>
      </w:pPr>
      <w:r>
        <w:rPr>
          <w:rFonts w:ascii="黑体" w:hAnsi="黑体" w:eastAsia="黑体"/>
          <w:sz w:val="32"/>
        </w:rPr>
        <w:t>五、一般公共预算财政拨款支出决算情况说明</w:t>
      </w:r>
    </w:p>
    <w:p w14:paraId="165E037D">
      <w:pPr>
        <w:spacing w:line="640" w:lineRule="exact"/>
        <w:ind w:firstLine="640"/>
        <w:jc w:val="both"/>
        <w:outlineLvl w:val="3"/>
      </w:pPr>
      <w:r>
        <w:rPr>
          <w:rFonts w:ascii="楷体_GB2312" w:hAnsi="楷体_GB2312" w:eastAsia="楷体_GB2312"/>
          <w:b/>
          <w:sz w:val="32"/>
        </w:rPr>
        <w:t>（一）一般公共预算财政拨款支出决算总体情况</w:t>
      </w:r>
    </w:p>
    <w:p w14:paraId="1923F46E">
      <w:pPr>
        <w:spacing w:line="580" w:lineRule="exact"/>
        <w:ind w:firstLine="640"/>
        <w:jc w:val="both"/>
      </w:pPr>
      <w:r>
        <w:rPr>
          <w:rFonts w:ascii="仿宋_GB2312" w:hAnsi="仿宋_GB2312" w:eastAsia="仿宋_GB2312"/>
          <w:b/>
          <w:sz w:val="32"/>
        </w:rPr>
        <w:t>2024年度一般公共预算财政拨款支出29,394.06万元，</w:t>
      </w:r>
      <w:r>
        <w:rPr>
          <w:rFonts w:ascii="仿宋_GB2312" w:hAnsi="仿宋_GB2312" w:eastAsia="仿宋_GB2312"/>
          <w:b w:val="0"/>
          <w:sz w:val="32"/>
        </w:rPr>
        <w:t>占本年支出合计的83.97%。</w:t>
      </w:r>
      <w:r>
        <w:rPr>
          <w:rFonts w:ascii="仿宋_GB2312" w:hAnsi="仿宋_GB2312" w:eastAsia="仿宋_GB2312"/>
          <w:b/>
          <w:sz w:val="32"/>
        </w:rPr>
        <w:t>与上年相比，</w:t>
      </w:r>
      <w:r>
        <w:rPr>
          <w:rFonts w:ascii="仿宋_GB2312" w:hAnsi="仿宋_GB2312" w:eastAsia="仿宋_GB2312"/>
          <w:b w:val="0"/>
          <w:sz w:val="32"/>
        </w:rPr>
        <w:t>增加22,712.91万元，增长339.96%，主要原因是：本年增加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道路建设2024年中央财政以工代赈项目，2024年车辆购置税收入补助地方【第一批】用于普通省道及农村公路建设“以奖代补”资金，塔县塔干乡抵边新村道路建设2024年中央财政以工代赈项目四项费用。</w:t>
      </w:r>
      <w:r>
        <w:rPr>
          <w:rFonts w:ascii="仿宋_GB2312" w:hAnsi="仿宋_GB2312" w:eastAsia="仿宋_GB2312"/>
          <w:b/>
          <w:sz w:val="32"/>
        </w:rPr>
        <w:t>与年初预算相比,</w:t>
      </w:r>
      <w:r>
        <w:rPr>
          <w:rFonts w:ascii="仿宋_GB2312" w:hAnsi="仿宋_GB2312" w:eastAsia="仿宋_GB2312"/>
          <w:b w:val="0"/>
          <w:sz w:val="32"/>
        </w:rPr>
        <w:t>年初预算数1,828.23万元，决算数29,394.06万元，预决算差异率1507.79%，主要原因是：年中追加喀什地区亚欧通道黄金口岸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项目涉及办理征战用草地手续相关费用、喀什地区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机场至连接线项目道路两边电力设施迁改工程款、卡拉苏口岸前哨综合检查室建设项目、红其拉甫口岸搬迁建设项目（一期）、2024年鞍钢资金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绿色交通基础设施（新能源）项目工程、提孜那甫入县城道路路灯电费、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中巴经济走廊物流枢纽塔县副中心——货运站建设项目人防许可证补办行政处罚款、2024年鞍钢资金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绿色交通基础设施提升（新能源）项目、解决2024年塔县慕士塔格冰川公园道路建设项目（二期）水土保持补偿费和草原赔偿金、喀什地区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曲什曼检查站至垃圾处理厂道路改扩建工程费用、卡拉苏口岸新建海关货检场地及附属用房项目（一期）等项目，导致预决算差异。</w:t>
      </w:r>
    </w:p>
    <w:p w14:paraId="6A782EC0">
      <w:pPr>
        <w:spacing w:line="640" w:lineRule="exact"/>
        <w:ind w:firstLine="640"/>
        <w:jc w:val="both"/>
        <w:outlineLvl w:val="3"/>
      </w:pPr>
      <w:r>
        <w:rPr>
          <w:rFonts w:ascii="楷体_GB2312" w:hAnsi="楷体_GB2312" w:eastAsia="楷体_GB2312"/>
          <w:b/>
          <w:sz w:val="32"/>
        </w:rPr>
        <w:t>（二）一般公共预算财政拨款支出决算结构情况</w:t>
      </w:r>
    </w:p>
    <w:p w14:paraId="3DED10A2">
      <w:pPr>
        <w:spacing w:line="580" w:lineRule="exact"/>
        <w:ind w:firstLine="640"/>
        <w:jc w:val="both"/>
      </w:pPr>
      <w:r>
        <w:rPr>
          <w:rFonts w:ascii="仿宋_GB2312" w:hAnsi="仿宋_GB2312" w:eastAsia="仿宋_GB2312"/>
          <w:b w:val="0"/>
          <w:sz w:val="32"/>
        </w:rPr>
        <w:t>1.一般公共服务支出(类)3.79万元,占0.01%。</w:t>
      </w:r>
    </w:p>
    <w:p w14:paraId="0A252EE9">
      <w:pPr>
        <w:spacing w:line="580" w:lineRule="exact"/>
        <w:ind w:firstLine="640"/>
        <w:jc w:val="both"/>
      </w:pPr>
      <w:r>
        <w:rPr>
          <w:rFonts w:ascii="仿宋_GB2312" w:hAnsi="仿宋_GB2312" w:eastAsia="仿宋_GB2312"/>
          <w:b w:val="0"/>
          <w:sz w:val="32"/>
        </w:rPr>
        <w:t>2.社会保障和就业支出(类)58.64万元,占0.20%。</w:t>
      </w:r>
    </w:p>
    <w:p w14:paraId="524A7263">
      <w:pPr>
        <w:spacing w:line="580" w:lineRule="exact"/>
        <w:ind w:firstLine="640"/>
        <w:jc w:val="both"/>
      </w:pPr>
      <w:r>
        <w:rPr>
          <w:rFonts w:ascii="仿宋_GB2312" w:hAnsi="仿宋_GB2312" w:eastAsia="仿宋_GB2312"/>
          <w:b w:val="0"/>
          <w:sz w:val="32"/>
        </w:rPr>
        <w:t>3.卫生健康支出(类)20.30万元,占0.07%。</w:t>
      </w:r>
    </w:p>
    <w:p w14:paraId="73993B9D">
      <w:pPr>
        <w:spacing w:line="580" w:lineRule="exact"/>
        <w:ind w:firstLine="640"/>
        <w:jc w:val="both"/>
      </w:pPr>
      <w:r>
        <w:rPr>
          <w:rFonts w:ascii="仿宋_GB2312" w:hAnsi="仿宋_GB2312" w:eastAsia="仿宋_GB2312"/>
          <w:b w:val="0"/>
          <w:sz w:val="32"/>
        </w:rPr>
        <w:t>4.城乡社区支出(类)208.61万元,占0.71%。</w:t>
      </w:r>
    </w:p>
    <w:p w14:paraId="0DC4AC5D">
      <w:pPr>
        <w:spacing w:line="580" w:lineRule="exact"/>
        <w:ind w:firstLine="640"/>
        <w:jc w:val="both"/>
      </w:pPr>
      <w:r>
        <w:rPr>
          <w:rFonts w:ascii="仿宋_GB2312" w:hAnsi="仿宋_GB2312" w:eastAsia="仿宋_GB2312"/>
          <w:b w:val="0"/>
          <w:sz w:val="32"/>
        </w:rPr>
        <w:t>5.农林水支出(类)1,497.15万元,占5.09%。</w:t>
      </w:r>
    </w:p>
    <w:p w14:paraId="17F584C3">
      <w:pPr>
        <w:spacing w:line="580" w:lineRule="exact"/>
        <w:ind w:firstLine="640"/>
        <w:jc w:val="both"/>
      </w:pPr>
      <w:r>
        <w:rPr>
          <w:rFonts w:ascii="仿宋_GB2312" w:hAnsi="仿宋_GB2312" w:eastAsia="仿宋_GB2312"/>
          <w:b w:val="0"/>
          <w:sz w:val="32"/>
        </w:rPr>
        <w:t>6.交通运输支出(类)27,564.05万元,占93.77%。</w:t>
      </w:r>
    </w:p>
    <w:p w14:paraId="34870BD8">
      <w:pPr>
        <w:spacing w:line="580" w:lineRule="exact"/>
        <w:ind w:firstLine="640"/>
        <w:jc w:val="both"/>
      </w:pPr>
      <w:r>
        <w:rPr>
          <w:rFonts w:ascii="仿宋_GB2312" w:hAnsi="仿宋_GB2312" w:eastAsia="仿宋_GB2312"/>
          <w:b w:val="0"/>
          <w:sz w:val="32"/>
        </w:rPr>
        <w:t>7.住房保障支出(类)34.52万元,占0.12%。</w:t>
      </w:r>
    </w:p>
    <w:p w14:paraId="51433AEC">
      <w:pPr>
        <w:spacing w:line="580" w:lineRule="exact"/>
        <w:ind w:firstLine="640"/>
        <w:jc w:val="both"/>
      </w:pPr>
      <w:r>
        <w:rPr>
          <w:rFonts w:ascii="仿宋_GB2312" w:hAnsi="仿宋_GB2312" w:eastAsia="仿宋_GB2312"/>
          <w:b w:val="0"/>
          <w:sz w:val="32"/>
        </w:rPr>
        <w:t>8.其他支出(类)7.00万元,占0.02%。</w:t>
      </w:r>
    </w:p>
    <w:p w14:paraId="4E0E4942">
      <w:pPr>
        <w:spacing w:line="640" w:lineRule="exact"/>
        <w:ind w:firstLine="640"/>
        <w:jc w:val="both"/>
        <w:outlineLvl w:val="3"/>
      </w:pPr>
      <w:r>
        <w:rPr>
          <w:rFonts w:ascii="楷体_GB2312" w:hAnsi="楷体_GB2312" w:eastAsia="楷体_GB2312"/>
          <w:b/>
          <w:sz w:val="32"/>
        </w:rPr>
        <w:t>（三）一般公共预算财政拨款支出决算具体情况</w:t>
      </w:r>
    </w:p>
    <w:p w14:paraId="285F7DDA">
      <w:pPr>
        <w:spacing w:line="580" w:lineRule="exact"/>
        <w:ind w:firstLine="640"/>
        <w:jc w:val="both"/>
      </w:pPr>
      <w:r>
        <w:rPr>
          <w:rFonts w:ascii="仿宋_GB2312" w:hAnsi="仿宋_GB2312" w:eastAsia="仿宋_GB2312"/>
          <w:b w:val="0"/>
          <w:sz w:val="32"/>
        </w:rPr>
        <w:t>1.一般公共服务支出(类)组织事务(款)行政运行(项):支出决算数为2.09万元，比上年决算增加2.09万元，增长100.00%,主要原因是：本年补发以前年度调标后的基本工资，支出较上年增加。</w:t>
      </w:r>
    </w:p>
    <w:p w14:paraId="2D7ABD8D">
      <w:pPr>
        <w:spacing w:line="580" w:lineRule="exact"/>
        <w:ind w:firstLine="640"/>
        <w:jc w:val="both"/>
      </w:pPr>
      <w:r>
        <w:rPr>
          <w:rFonts w:ascii="仿宋_GB2312" w:hAnsi="仿宋_GB2312" w:eastAsia="仿宋_GB2312"/>
          <w:b w:val="0"/>
          <w:sz w:val="32"/>
        </w:rPr>
        <w:t>2.一般公共服务支出(类)组织事务(款)事业运行(项):支出决算数为1.70万元，比上年决算增加1.70万元，增长100.00%,主要原因是：本年补发以前年度调标后的基本工资，支出较上年增加。</w:t>
      </w:r>
    </w:p>
    <w:p w14:paraId="2F14F74F">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3.社会保障和就业支出(类)行政事业单位养老支出(款)行政单位离退休(项):支出决算数为13.49万元，比上年决算增加2.95万元，增长27.99%,主要原因是：本年增加退休人员基础绩效奖，退休费支出增加。</w:t>
      </w:r>
    </w:p>
    <w:p w14:paraId="42A91D2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41.28万元，比上年决算增加4.49万元，增长12.20%,主要原因是：本年在职人员工资基数调增，养老缴费基数上涨，相应支出增加。</w:t>
      </w:r>
    </w:p>
    <w:p w14:paraId="68E88375">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3.87万元，比上年决算增加3.87万元，增长100.00%,主要原因是：本年补发以前年度人员职业年金，支出较上年增加。</w:t>
      </w:r>
    </w:p>
    <w:p w14:paraId="387F0702">
      <w:pPr>
        <w:spacing w:line="580" w:lineRule="exact"/>
        <w:ind w:firstLine="640"/>
        <w:jc w:val="both"/>
      </w:pPr>
      <w:r>
        <w:rPr>
          <w:rFonts w:ascii="仿宋_GB2312" w:hAnsi="仿宋_GB2312" w:eastAsia="仿宋_GB2312"/>
          <w:b w:val="0"/>
          <w:sz w:val="32"/>
        </w:rPr>
        <w:t>6.卫生健康支出(类)行政事业单位医疗(款)行政单位医疗(项):支出决算数为17.28万元，比上年决算减少3.25万元，下降15.83%,主要原因是：因退休人员医疗保险制度改革，退休人员基本医疗不再由单位缴纳，导致经费较上年减少。</w:t>
      </w:r>
    </w:p>
    <w:p w14:paraId="3234C7A7">
      <w:pPr>
        <w:spacing w:line="580" w:lineRule="exact"/>
        <w:ind w:firstLine="640"/>
        <w:jc w:val="both"/>
      </w:pPr>
      <w:r>
        <w:rPr>
          <w:rFonts w:ascii="仿宋_GB2312" w:hAnsi="仿宋_GB2312" w:eastAsia="仿宋_GB2312"/>
          <w:b w:val="0"/>
          <w:sz w:val="32"/>
        </w:rPr>
        <w:t>7.卫生健康支出(类)行政事业单位医疗(款)公务员医疗补助(项):支出决算数为3.01万元，比上年决算减少0.70万元，下降18.87%,主要原因是：因退休人员医疗保险制度改革，退休人员基本医疗不再由单位缴纳，导致经费较上年减少；本年在职人员调入调出，人员职级不同，缴费基数不同，导致公务员医疗补助较上年减少。</w:t>
      </w:r>
    </w:p>
    <w:p w14:paraId="0B0FFB08">
      <w:pPr>
        <w:spacing w:line="580" w:lineRule="exact"/>
        <w:ind w:firstLine="640"/>
        <w:jc w:val="both"/>
      </w:pPr>
      <w:r>
        <w:rPr>
          <w:rFonts w:ascii="仿宋_GB2312" w:hAnsi="仿宋_GB2312" w:eastAsia="仿宋_GB2312"/>
          <w:b w:val="0"/>
          <w:sz w:val="32"/>
        </w:rPr>
        <w:t>8.城乡社区支出(类)城乡社区公共设施(款)小城镇基础设施建设(项):支出决算数为208.61万元，比上年决算增加208.61万元，增长100.00%,主要原因是：本年增加喀什地区红其拉甫孔道视频监控维修项目，导致小城镇基础设施建设支出增加。</w:t>
      </w:r>
    </w:p>
    <w:p w14:paraId="3AD4ECB4">
      <w:pPr>
        <w:spacing w:line="580" w:lineRule="exact"/>
        <w:ind w:firstLine="640"/>
        <w:jc w:val="both"/>
      </w:pPr>
      <w:r>
        <w:rPr>
          <w:rFonts w:ascii="仿宋_GB2312" w:hAnsi="仿宋_GB2312" w:eastAsia="仿宋_GB2312"/>
          <w:b w:val="0"/>
          <w:sz w:val="32"/>
        </w:rPr>
        <w:t>9.农林水支出(类)农业农村(款)乡村道路建设(项):支出决算数为922.64万元，比上年决算增加922.64万元，增长100.00%,主要原因是：本年增加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交通运输局土地增减挂钩（第二批）项目（大同乡克其克同村村组道路及安全防护建设项目），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交通运输局土地增减挂钩（第二批）项目（马尔洋乡迭村村组道路及安全防护建设项目），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交通运输局土地增减挂钩（第二批）项目（库科西鲁格乡吉勒给提村桥梁建设项目），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交通运输局土地增减挂钩（第二批）项目（阿巴提镇胡西那瓦村村组道路及安全防护建设项目），导致乡村道路建设支出增加。</w:t>
      </w:r>
    </w:p>
    <w:p w14:paraId="4A5D36BB">
      <w:pPr>
        <w:spacing w:line="580" w:lineRule="exact"/>
        <w:ind w:firstLine="640"/>
        <w:jc w:val="both"/>
      </w:pPr>
      <w:r>
        <w:rPr>
          <w:rFonts w:ascii="仿宋_GB2312" w:hAnsi="仿宋_GB2312" w:eastAsia="仿宋_GB2312"/>
          <w:b w:val="0"/>
          <w:sz w:val="32"/>
        </w:rPr>
        <w:t>10.农林水支出(类)巩固脱贫攻坚成果衔接乡村振兴(款)生产发展(项):支出决算数为574.52万元，比上年决算减少237.05万元，下降29.21%,主要原因是：本年减少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2023农村道路建设项目。</w:t>
      </w:r>
    </w:p>
    <w:p w14:paraId="4DE2575C">
      <w:pPr>
        <w:spacing w:line="580" w:lineRule="exact"/>
        <w:ind w:firstLine="640"/>
        <w:jc w:val="both"/>
      </w:pPr>
      <w:r>
        <w:rPr>
          <w:rFonts w:ascii="仿宋_GB2312" w:hAnsi="仿宋_GB2312" w:eastAsia="仿宋_GB2312"/>
          <w:b w:val="0"/>
          <w:sz w:val="32"/>
        </w:rPr>
        <w:t>11.交通运输支出(类)公路水路运输(款)行政运行(项):支出决算数为199.70万元，比上年决算减少19.62万元，下降8.95%,主要原因是：本年在职人员调入调出，人员职级不同，缴费基数不同，导致公务员医疗补助较上年减少。</w:t>
      </w:r>
    </w:p>
    <w:p w14:paraId="1710B692">
      <w:pPr>
        <w:spacing w:line="580" w:lineRule="exact"/>
        <w:ind w:firstLine="640"/>
        <w:jc w:val="both"/>
      </w:pPr>
      <w:r>
        <w:rPr>
          <w:rFonts w:ascii="仿宋_GB2312" w:hAnsi="仿宋_GB2312" w:eastAsia="仿宋_GB2312"/>
          <w:b w:val="0"/>
          <w:sz w:val="32"/>
        </w:rPr>
        <w:t>12.交通运输支出(类)公路水路运输(款)公路建设(项):支出决算数为946.47万元，比上年决算减少857.69万元，下降47.54%,主要原因是：本年减少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卡拉苏口岸基础设施建设项目、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Z710线K0+000-K5+000段道路改扩建建设项目（森林植被恢复费）、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慕士塔格冰川公园道路建设项目、塔县县城公益性停车场建设项目施工费、塔县机场至县城连接线道路建设项目施工费。</w:t>
      </w:r>
    </w:p>
    <w:p w14:paraId="2E59E6B8">
      <w:pPr>
        <w:spacing w:line="580" w:lineRule="exact"/>
        <w:ind w:firstLine="640"/>
        <w:jc w:val="both"/>
      </w:pPr>
      <w:r>
        <w:rPr>
          <w:rFonts w:ascii="仿宋_GB2312" w:hAnsi="仿宋_GB2312" w:eastAsia="仿宋_GB2312"/>
          <w:b w:val="0"/>
          <w:sz w:val="32"/>
        </w:rPr>
        <w:t>13.交通运输支出(类)公路水路运输(款)公路养护(项):支出决算数为495.09万元，比上年决算减少377.84万元，下降43.28%,主要原因是：本年减少2023年中央对地方成品油税费改革、2023年政府还贷二级公路取消收费后补助资金用于国省干线和农村公路日常养护项目。</w:t>
      </w:r>
    </w:p>
    <w:p w14:paraId="0454ACC9">
      <w:pPr>
        <w:spacing w:line="580" w:lineRule="exact"/>
        <w:ind w:firstLine="640"/>
        <w:jc w:val="both"/>
      </w:pPr>
      <w:r>
        <w:rPr>
          <w:rFonts w:ascii="仿宋_GB2312" w:hAnsi="仿宋_GB2312" w:eastAsia="仿宋_GB2312"/>
          <w:b w:val="0"/>
          <w:sz w:val="32"/>
        </w:rPr>
        <w:t>14.交通运输支出(类)公路水路运输(款)口岸建设(项):支出决算数为14,161.73万元，比上年决算增加14,161.73万元，增长100.00%,主要原因是：本年增加口岸建设支出项目有2024年红其拉甫口岸查验基础设施建设项目、2024年卡拉苏口岸查验基础设施建设项目、喀什地区卡拉苏口岸海关指定监管场地建设项目、卡拉苏口岸既有联检大厅改造维修项目、喀什地区红其拉甫口岸海关指定监管场地建设项目、喀什地区卡拉苏口岸新建国门项目。</w:t>
      </w:r>
    </w:p>
    <w:p w14:paraId="32687661">
      <w:pPr>
        <w:spacing w:line="580" w:lineRule="exact"/>
        <w:ind w:firstLine="640"/>
        <w:jc w:val="both"/>
      </w:pPr>
      <w:r>
        <w:rPr>
          <w:rFonts w:ascii="仿宋_GB2312" w:hAnsi="仿宋_GB2312" w:eastAsia="仿宋_GB2312"/>
          <w:b w:val="0"/>
          <w:sz w:val="32"/>
        </w:rPr>
        <w:t>15.交通运输支出(类)邮政业支出(款)邮政普遍服务与特殊服务(项):支出决算数为1.20万元，比上年决算增加0.00万元，增长0.00%,主要原因是：2024年农牧区投递员专项财政补贴项目资金与上年一致无变化。</w:t>
      </w:r>
    </w:p>
    <w:p w14:paraId="0516EF44">
      <w:pPr>
        <w:spacing w:line="580" w:lineRule="exact"/>
        <w:ind w:firstLine="640"/>
        <w:jc w:val="both"/>
      </w:pPr>
      <w:r>
        <w:rPr>
          <w:rFonts w:ascii="仿宋_GB2312" w:hAnsi="仿宋_GB2312" w:eastAsia="仿宋_GB2312"/>
          <w:b w:val="0"/>
          <w:sz w:val="32"/>
        </w:rPr>
        <w:t>16.交通运输支出(类)车辆购置税支出(款)车辆购置税用于公路等基础设施建设支出(项):支出决算数为0.00万元，比上年决算减少1,761.36万元，下降100.00%,主要原因是：本年减少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2023年自然村道路建设项目、2022年车辆购置税收入补助地方（第二批）用于抵边自然村通硬化路项目。</w:t>
      </w:r>
    </w:p>
    <w:p w14:paraId="7F3C54EC">
      <w:pPr>
        <w:spacing w:line="580" w:lineRule="exact"/>
        <w:ind w:firstLine="640"/>
        <w:jc w:val="both"/>
      </w:pPr>
      <w:r>
        <w:rPr>
          <w:rFonts w:ascii="仿宋_GB2312" w:hAnsi="仿宋_GB2312" w:eastAsia="仿宋_GB2312"/>
          <w:b w:val="0"/>
          <w:sz w:val="32"/>
        </w:rPr>
        <w:t>17.交通运输支出(类)车辆购置税支出(款)车辆购置税用于农村公路建设支出(项):支出决算数为0.00万元，比上年决算减少245.40万元，下降100.00%,主要原因是：本年减少2023年车辆购置税收入补助地方资金。</w:t>
      </w:r>
    </w:p>
    <w:p w14:paraId="0194A87D">
      <w:pPr>
        <w:spacing w:line="580" w:lineRule="exact"/>
        <w:ind w:firstLine="640"/>
        <w:jc w:val="both"/>
      </w:pPr>
      <w:r>
        <w:rPr>
          <w:rFonts w:ascii="仿宋_GB2312" w:hAnsi="仿宋_GB2312" w:eastAsia="仿宋_GB2312"/>
          <w:b w:val="0"/>
          <w:sz w:val="32"/>
        </w:rPr>
        <w:t>18.交通运输支出(类)其他交通运输支出(款)公共交通运营补助(项):支出决算数为0.00万元，比上年决算减少126.12万元，下降100.00%,主要原因是：本年减少2023年农村客运补贴资金及城市交通发展奖励资金。</w:t>
      </w:r>
    </w:p>
    <w:p w14:paraId="7D510887">
      <w:pPr>
        <w:spacing w:line="580" w:lineRule="exact"/>
        <w:ind w:firstLine="640"/>
        <w:jc w:val="both"/>
      </w:pPr>
      <w:r>
        <w:rPr>
          <w:rFonts w:ascii="仿宋_GB2312" w:hAnsi="仿宋_GB2312" w:eastAsia="仿宋_GB2312"/>
          <w:b w:val="0"/>
          <w:sz w:val="32"/>
        </w:rPr>
        <w:t>19.交通运输支出(类)其他交通运输支出(款)其他交通运输支出(项):支出决算数为11,759.85万元，比上年决算增加11,022.13万元，增长1,494.08%,主要原因是：本年增加喀什地区亚欧通道黄金口岸</w:t>
      </w:r>
      <w:r>
        <w:rPr>
          <w:rFonts w:hint="eastAsia" w:ascii="仿宋_GB2312" w:hAnsi="仿宋_GB2312" w:eastAsia="仿宋_GB2312"/>
          <w:b w:val="0"/>
          <w:sz w:val="32"/>
          <w:lang w:eastAsia="zh-CN"/>
        </w:rPr>
        <w:t>基础设施建设</w:t>
      </w:r>
      <w:r>
        <w:rPr>
          <w:rFonts w:ascii="仿宋_GB2312" w:hAnsi="仿宋_GB2312" w:eastAsia="仿宋_GB2312"/>
          <w:b w:val="0"/>
          <w:sz w:val="32"/>
        </w:rPr>
        <w:t>项目涉及办理</w:t>
      </w:r>
      <w:r>
        <w:rPr>
          <w:rFonts w:hint="eastAsia" w:ascii="仿宋_GB2312" w:hAnsi="仿宋_GB2312" w:eastAsia="仿宋_GB2312"/>
          <w:b w:val="0"/>
          <w:sz w:val="32"/>
          <w:lang w:eastAsia="zh-CN"/>
        </w:rPr>
        <w:t>征</w:t>
      </w:r>
      <w:r>
        <w:rPr>
          <w:rFonts w:ascii="仿宋_GB2312" w:hAnsi="仿宋_GB2312" w:eastAsia="仿宋_GB2312"/>
          <w:b w:val="0"/>
          <w:sz w:val="32"/>
        </w:rPr>
        <w:t>用草地手续相关费用，喀什地区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红其拉甫口岸国门一线查验及配套设施升级改造项目草原补偿费、安置补助费、草原植被恢复费，</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大同乡库如克兰干村秀西桥梁建设项目尾款，喀什地区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红其拉甫国门道路运能提升工程草原补偿费、安置补助费、草原植被恢复费，2023年度农村客运补助资金及城市交通发展奖励项目，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成立70周年大庆活动运输保障车辆经费，进一步完善盘龙古道单向行驶设施（</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2024年X616线生命安全防护工程）；县交通运输局执法车辆及抢险救灾车辆油费，喀什地区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机场至连接线项目道路两边电力设施迁改工程款，拉苏口岸前哨综合检查室建设项目，红其拉甫口岸搬迁建设项目（一期），卡拉苏口岸新建海关货检场地及附属用房项目（一期）；因此导致其他交通运输支出增加。</w:t>
      </w:r>
    </w:p>
    <w:p w14:paraId="0175C6DD">
      <w:pPr>
        <w:spacing w:line="580" w:lineRule="exact"/>
        <w:ind w:firstLine="640"/>
        <w:jc w:val="both"/>
      </w:pPr>
      <w:r>
        <w:rPr>
          <w:rFonts w:ascii="仿宋_GB2312" w:hAnsi="仿宋_GB2312" w:eastAsia="仿宋_GB2312"/>
          <w:b w:val="0"/>
          <w:sz w:val="32"/>
        </w:rPr>
        <w:t>20.住房保障支出(类)住房改革支出(款)住房公积金(项):支出决算数为34.52万元，比上年决算增加4.70万元，增长15.76%,主要原因是：本年在职人员工资基数调增，公积金缴费基数上涨，相应支出增加。</w:t>
      </w:r>
    </w:p>
    <w:p w14:paraId="67F81E3F">
      <w:pPr>
        <w:spacing w:line="580" w:lineRule="exact"/>
        <w:ind w:firstLine="640"/>
        <w:jc w:val="both"/>
      </w:pPr>
      <w:r>
        <w:rPr>
          <w:rFonts w:ascii="仿宋_GB2312" w:hAnsi="仿宋_GB2312" w:eastAsia="仿宋_GB2312"/>
          <w:b w:val="0"/>
          <w:sz w:val="32"/>
        </w:rPr>
        <w:t>21.其他支出(类)其他支出(款)其他支出(项):支出决算数为7.00万元，比上年决算增加7.00万元，增长100.00%,主要原因是：本年增加2024年为民办实事工作经费</w:t>
      </w:r>
      <w:r>
        <w:rPr>
          <w:rFonts w:hint="eastAsia" w:ascii="仿宋_GB2312" w:hAnsi="仿宋_GB2312" w:eastAsia="仿宋_GB2312"/>
          <w:b w:val="0"/>
          <w:sz w:val="32"/>
          <w:lang w:eastAsia="zh-CN"/>
        </w:rPr>
        <w:t>。</w:t>
      </w:r>
    </w:p>
    <w:p w14:paraId="25E31B95">
      <w:pPr>
        <w:spacing w:line="640" w:lineRule="exact"/>
        <w:ind w:firstLine="640"/>
        <w:jc w:val="both"/>
        <w:outlineLvl w:val="2"/>
      </w:pPr>
      <w:r>
        <w:rPr>
          <w:rFonts w:ascii="黑体" w:hAnsi="黑体" w:eastAsia="黑体"/>
          <w:sz w:val="32"/>
        </w:rPr>
        <w:t>六、一般公共预算财政拨款基本支出决算情况说明</w:t>
      </w:r>
    </w:p>
    <w:p w14:paraId="6CEA1646">
      <w:pPr>
        <w:spacing w:line="580" w:lineRule="exact"/>
        <w:ind w:firstLine="640"/>
        <w:jc w:val="both"/>
      </w:pPr>
      <w:r>
        <w:rPr>
          <w:rFonts w:ascii="仿宋_GB2312" w:hAnsi="仿宋_GB2312" w:eastAsia="仿宋_GB2312"/>
          <w:b w:val="0"/>
          <w:sz w:val="32"/>
        </w:rPr>
        <w:t>2024年度一般公共预算财政拨款基本支出438.09万元，其中：</w:t>
      </w:r>
      <w:r>
        <w:rPr>
          <w:rFonts w:ascii="仿宋_GB2312" w:hAnsi="仿宋_GB2312" w:eastAsia="仿宋_GB2312"/>
          <w:b/>
          <w:sz w:val="32"/>
        </w:rPr>
        <w:t>人员经费399.89万元，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7C0A698F">
      <w:pPr>
        <w:spacing w:line="580" w:lineRule="exact"/>
        <w:ind w:firstLine="640"/>
        <w:jc w:val="both"/>
      </w:pPr>
      <w:r>
        <w:rPr>
          <w:rFonts w:ascii="仿宋_GB2312" w:hAnsi="仿宋_GB2312" w:eastAsia="仿宋_GB2312"/>
          <w:b/>
          <w:sz w:val="32"/>
        </w:rPr>
        <w:t>公用经费38.19万元，</w:t>
      </w:r>
      <w:r>
        <w:rPr>
          <w:rFonts w:ascii="仿宋_GB2312" w:hAnsi="仿宋_GB2312" w:eastAsia="仿宋_GB2312"/>
          <w:b w:val="0"/>
          <w:sz w:val="32"/>
        </w:rPr>
        <w:t>包括：办公费、水费、电费、邮电费、取暖费、差旅费、委托业务费、公务用车运行维护费。</w:t>
      </w:r>
    </w:p>
    <w:p w14:paraId="70C61894">
      <w:pPr>
        <w:spacing w:line="640" w:lineRule="exact"/>
        <w:ind w:firstLine="640"/>
        <w:jc w:val="both"/>
        <w:outlineLvl w:val="2"/>
      </w:pPr>
      <w:r>
        <w:rPr>
          <w:rFonts w:ascii="黑体" w:hAnsi="黑体" w:eastAsia="黑体"/>
          <w:sz w:val="32"/>
        </w:rPr>
        <w:t>七、政府性基金预算财政拨款收入支出决算情况说明</w:t>
      </w:r>
    </w:p>
    <w:p w14:paraId="65A1AB2F">
      <w:pPr>
        <w:spacing w:line="580" w:lineRule="exact"/>
        <w:ind w:firstLine="640"/>
        <w:jc w:val="both"/>
      </w:pPr>
      <w:r>
        <w:rPr>
          <w:rFonts w:ascii="仿宋_GB2312" w:hAnsi="仿宋_GB2312" w:eastAsia="仿宋_GB2312"/>
          <w:b/>
          <w:sz w:val="32"/>
        </w:rPr>
        <w:t>2024年度政府性基金预算财政拨款收入总计5,461.90万元，</w:t>
      </w:r>
      <w:r>
        <w:rPr>
          <w:rFonts w:ascii="仿宋_GB2312" w:hAnsi="仿宋_GB2312" w:eastAsia="仿宋_GB2312"/>
          <w:b w:val="0"/>
          <w:sz w:val="32"/>
        </w:rPr>
        <w:t>其中：年初结转和结余0.00万元，本年收入5,461.90万元。</w:t>
      </w:r>
      <w:r>
        <w:rPr>
          <w:rFonts w:ascii="仿宋_GB2312" w:hAnsi="仿宋_GB2312" w:eastAsia="仿宋_GB2312"/>
          <w:b/>
          <w:sz w:val="32"/>
        </w:rPr>
        <w:t>政府性基金预算财政拨款支出总计5,461.90万元，</w:t>
      </w:r>
      <w:r>
        <w:rPr>
          <w:rFonts w:ascii="仿宋_GB2312" w:hAnsi="仿宋_GB2312" w:eastAsia="仿宋_GB2312"/>
          <w:b w:val="0"/>
          <w:sz w:val="32"/>
        </w:rPr>
        <w:t>其中：年末结转和结余0.00万元，本年支出5,461.90万元。</w:t>
      </w:r>
    </w:p>
    <w:p w14:paraId="4A67A04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减少538.10万元，下降8.97%，主要原因是：本年减少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塔吉克新村停车场建设项目、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塔什库尔干乡库孜滚村停车场建设项目、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中巴经济走廊物流枢纽塔县副中心---停车场建设项目。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年初预算数0.00万元，决算数5,461.90万元，预决算差异率100.00%，主要原因是：年中追加喀什地区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红其拉甫口岸国门道路运能提升项目。</w:t>
      </w:r>
    </w:p>
    <w:p w14:paraId="2A29E9B7">
      <w:pPr>
        <w:spacing w:line="580" w:lineRule="exact"/>
        <w:ind w:firstLine="640"/>
        <w:jc w:val="both"/>
      </w:pPr>
      <w:r>
        <w:rPr>
          <w:rFonts w:ascii="仿宋_GB2312" w:hAnsi="仿宋_GB2312" w:eastAsia="仿宋_GB2312"/>
          <w:b w:val="0"/>
          <w:sz w:val="32"/>
        </w:rPr>
        <w:t>政府性基金预算财政拨款支出5,461.90万元。</w:t>
      </w:r>
    </w:p>
    <w:p w14:paraId="0C6F7CD0">
      <w:pPr>
        <w:spacing w:line="580" w:lineRule="exact"/>
        <w:ind w:firstLine="640"/>
        <w:jc w:val="both"/>
      </w:pPr>
      <w:r>
        <w:rPr>
          <w:rFonts w:ascii="仿宋_GB2312" w:hAnsi="仿宋_GB2312" w:eastAsia="仿宋_GB2312"/>
          <w:b w:val="0"/>
          <w:sz w:val="32"/>
        </w:rPr>
        <w:t>1.交通运输支出(类)超长期特别国债安排的支出(款)其他交通运输支出(项):支出决算数为5,461.90万元，比上年决算增加5,461.90万元，增长100.00%,主要原因是：本年增加喀什地区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红其拉甫口岸国门一线查验及配套设施升级改造项目、喀什地区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红其拉甫口岸国门道路运能提升项目。</w:t>
      </w:r>
    </w:p>
    <w:p w14:paraId="052C01A0">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2.其他支出(类)其他政府性基金及对应专项债务收入安排的支出(款)其他地方自行试点项目收益专项债券收入安排的支出(项):支出决算数为0.00万元，比上年决算减少6,000.00万元，下降100.00%,主要原因是：本年减少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塔吉克新村停车场建设项目、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中巴经济走廊物流枢纽塔县副中心货运站建设项目、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塔什库尔干乡库孜滚村停车场建设项目、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中巴经济走廊物流枢纽塔县副中心---停车场建设项目。</w:t>
      </w:r>
    </w:p>
    <w:p w14:paraId="3E513E42">
      <w:pPr>
        <w:spacing w:line="640" w:lineRule="exact"/>
        <w:ind w:firstLine="640"/>
        <w:jc w:val="both"/>
        <w:outlineLvl w:val="2"/>
      </w:pPr>
      <w:r>
        <w:rPr>
          <w:rFonts w:ascii="黑体" w:hAnsi="黑体" w:eastAsia="黑体"/>
          <w:sz w:val="32"/>
        </w:rPr>
        <w:t>八、国有资本经营预算财政拨款收入支出决算情况说明</w:t>
      </w:r>
    </w:p>
    <w:p w14:paraId="6CE3AEA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EF5F601">
      <w:pPr>
        <w:spacing w:line="640" w:lineRule="exact"/>
        <w:ind w:firstLine="640"/>
        <w:jc w:val="both"/>
        <w:outlineLvl w:val="2"/>
      </w:pPr>
      <w:r>
        <w:rPr>
          <w:rFonts w:ascii="黑体" w:hAnsi="黑体" w:eastAsia="黑体"/>
          <w:sz w:val="32"/>
        </w:rPr>
        <w:t>九、财政拨款“三公”经费支出决算情况说明</w:t>
      </w:r>
    </w:p>
    <w:p w14:paraId="086E2AB4">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我单位公务用车运行维护费与上年一致无变化。公务接待费支出0.00万元，占0.00%，比上年增加0.00万元，增长0.00%，主要原因是：2023年与2024年均未安排公务接待费支出。</w:t>
      </w:r>
    </w:p>
    <w:p w14:paraId="15249083">
      <w:pPr>
        <w:spacing w:line="580" w:lineRule="exact"/>
        <w:ind w:firstLine="640"/>
        <w:jc w:val="both"/>
      </w:pPr>
      <w:r>
        <w:rPr>
          <w:rFonts w:ascii="仿宋_GB2312" w:hAnsi="仿宋_GB2312" w:eastAsia="仿宋_GB2312"/>
          <w:b/>
          <w:sz w:val="32"/>
        </w:rPr>
        <w:t>具体情况如下：</w:t>
      </w:r>
    </w:p>
    <w:p w14:paraId="67323E7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D22CED">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02F5D16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DF2B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5.60万元，决算数5.60万元，预决算差异率0.00%，主要原因是：严格按照预算执行，预决算无差异。公务接待费全年预算数0.00万元，决算数0.00万元，预决算差异率0.00%，主要原因是：本单位无公务接待费。</w:t>
      </w:r>
    </w:p>
    <w:p w14:paraId="74DC8526">
      <w:pPr>
        <w:spacing w:line="640" w:lineRule="exact"/>
        <w:ind w:firstLine="640"/>
        <w:jc w:val="both"/>
        <w:outlineLvl w:val="2"/>
      </w:pPr>
      <w:r>
        <w:rPr>
          <w:rFonts w:ascii="黑体" w:hAnsi="黑体" w:eastAsia="黑体"/>
          <w:sz w:val="32"/>
        </w:rPr>
        <w:t>十、其他重要事项的情况说明</w:t>
      </w:r>
    </w:p>
    <w:p w14:paraId="6F05DEF6">
      <w:pPr>
        <w:spacing w:line="640" w:lineRule="exact"/>
        <w:ind w:firstLine="640"/>
        <w:jc w:val="both"/>
        <w:outlineLvl w:val="3"/>
      </w:pPr>
      <w:r>
        <w:rPr>
          <w:rFonts w:ascii="楷体_GB2312" w:hAnsi="楷体_GB2312" w:eastAsia="楷体_GB2312"/>
          <w:b/>
          <w:sz w:val="32"/>
        </w:rPr>
        <w:t>（一）机关运行经费及公用经费支出情况</w:t>
      </w:r>
    </w:p>
    <w:p w14:paraId="0D77708B">
      <w:pPr>
        <w:spacing w:line="580" w:lineRule="exact"/>
        <w:ind w:firstLine="640"/>
        <w:jc w:val="both"/>
      </w:pPr>
      <w:r>
        <w:rPr>
          <w:rFonts w:ascii="仿宋_GB2312" w:hAnsi="仿宋_GB2312" w:eastAsia="仿宋_GB2312"/>
          <w:b w:val="0"/>
          <w:sz w:val="32"/>
        </w:rPr>
        <w:t>2024年度塔什库尔干塔吉克自治县交通运输局（行政单位和参照公务员法管理事业单位）机关运行经费支出38.19万元，比上年增加0.57万元，增长1.52%，主要原因是：1.本年业务量增加，公用经费增加。2.本年增加办公费，导致公用经费增加。</w:t>
      </w:r>
    </w:p>
    <w:p w14:paraId="293699D0">
      <w:pPr>
        <w:spacing w:line="640" w:lineRule="exact"/>
        <w:ind w:firstLine="640"/>
        <w:jc w:val="both"/>
        <w:outlineLvl w:val="3"/>
      </w:pPr>
      <w:r>
        <w:rPr>
          <w:rFonts w:ascii="楷体_GB2312" w:hAnsi="楷体_GB2312" w:eastAsia="楷体_GB2312"/>
          <w:b/>
          <w:sz w:val="32"/>
        </w:rPr>
        <w:t>（二）政府采购情况</w:t>
      </w:r>
    </w:p>
    <w:p w14:paraId="725AEEFA">
      <w:pPr>
        <w:spacing w:line="580" w:lineRule="exact"/>
        <w:ind w:firstLine="640"/>
        <w:jc w:val="both"/>
      </w:pPr>
      <w:r>
        <w:rPr>
          <w:rFonts w:ascii="仿宋_GB2312" w:hAnsi="仿宋_GB2312" w:eastAsia="仿宋_GB2312"/>
          <w:b w:val="0"/>
          <w:sz w:val="32"/>
        </w:rPr>
        <w:t>2024年度政府采购支出总额2,960.92万元，其中：政府采购货物支出693.36万元、政府采购工程支出382.16万元、政府采购服务支出1,885.40万元。</w:t>
      </w:r>
    </w:p>
    <w:p w14:paraId="137D039E">
      <w:pPr>
        <w:spacing w:line="580" w:lineRule="exact"/>
        <w:ind w:firstLine="640"/>
        <w:jc w:val="both"/>
      </w:pPr>
      <w:r>
        <w:rPr>
          <w:rFonts w:ascii="仿宋_GB2312" w:hAnsi="仿宋_GB2312" w:eastAsia="仿宋_GB2312"/>
          <w:b w:val="0"/>
          <w:sz w:val="32"/>
        </w:rPr>
        <w:t>授予中小企业合同金额1,995.32万元，占政府采购支出总额的67.39%，其中：授予小微企业合同金额1,995.32万元，占政府采购支出总额的67.39%。</w:t>
      </w:r>
    </w:p>
    <w:p w14:paraId="012FB38B">
      <w:pPr>
        <w:spacing w:line="640" w:lineRule="exact"/>
        <w:ind w:firstLine="640"/>
        <w:jc w:val="both"/>
        <w:outlineLvl w:val="3"/>
      </w:pPr>
      <w:r>
        <w:rPr>
          <w:rFonts w:ascii="楷体_GB2312" w:hAnsi="楷体_GB2312" w:eastAsia="楷体_GB2312"/>
          <w:b/>
          <w:sz w:val="32"/>
        </w:rPr>
        <w:t>（三）国有资产占用情况说明</w:t>
      </w:r>
    </w:p>
    <w:p w14:paraId="12681CF8">
      <w:pPr>
        <w:spacing w:line="580" w:lineRule="exact"/>
        <w:ind w:firstLine="640"/>
        <w:jc w:val="both"/>
      </w:pPr>
      <w:r>
        <w:rPr>
          <w:rFonts w:ascii="仿宋_GB2312" w:hAnsi="仿宋_GB2312" w:eastAsia="仿宋_GB2312"/>
          <w:b w:val="0"/>
          <w:sz w:val="32"/>
        </w:rPr>
        <w:t>截至2024年12月31日，房屋0.00平方米，价值0.00万元。车辆2辆，价值32.30万元，其中：副部（省）级及以上领导用车0辆、主要负责人用车0辆、机要通信用车0辆、应急保障用车0辆、执法执勤用车2辆、特种专业技术用车0辆、离退休干部服务用车0辆、其他用车0辆，其他用车主要是：本单位无其他用车。单价100万元（含）以上设备（不含车辆）0台（套）。</w:t>
      </w:r>
    </w:p>
    <w:p w14:paraId="761103B9">
      <w:pPr>
        <w:spacing w:line="640" w:lineRule="exact"/>
        <w:ind w:firstLine="640"/>
        <w:jc w:val="both"/>
        <w:outlineLvl w:val="2"/>
      </w:pPr>
      <w:r>
        <w:rPr>
          <w:rFonts w:ascii="黑体" w:hAnsi="黑体" w:eastAsia="黑体"/>
          <w:sz w:val="32"/>
        </w:rPr>
        <w:t>十一、预算绩效的情况说明</w:t>
      </w:r>
    </w:p>
    <w:p w14:paraId="22B27B0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34,855.95万元，实际执行总额34,855.95万元；预算绩效评价项目8个，全年预算数930.63万元，全年执行数859.47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对决算编制的口径理解不足，财务规范化水平有限，以及决算软件实际操作中遇到困难等；预算执行分析不够全面深入，执行分析仅停留简单的数据汇总没有从全方位、多层次、多角度反映财政支出状况未对财政支出结构及变化趋势进行判断，未实现部门预算与执行分析的有机结合，不能为领导决策提供科学的参考依据。下一步改进措施：进一步提高预算编制的合法性，部门预算编制须符合预算法和国家相关法律、法规的规定符合国家有关经济社会发展的各项方针、政策在法律赋予部门的职能范围内，注重预算编制的科学性、完整性，增强法治意识强化预算执行的严肃性。</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220FF0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7AB414">
        <w:tblPrEx>
          <w:tblCellMar>
            <w:top w:w="0" w:type="dxa"/>
            <w:left w:w="108" w:type="dxa"/>
            <w:bottom w:w="0" w:type="dxa"/>
            <w:right w:w="108" w:type="dxa"/>
          </w:tblCellMar>
        </w:tblPrEx>
        <w:tc>
          <w:tcPr>
            <w:tcW w:w="8847" w:type="dxa"/>
            <w:gridSpan w:val="9"/>
            <w:vAlign w:val="center"/>
          </w:tcPr>
          <w:p w14:paraId="7B83B2EF">
            <w:pPr>
              <w:jc w:val="center"/>
            </w:pPr>
            <w:r>
              <w:rPr>
                <w:rFonts w:ascii="宋体" w:hAnsi="宋体" w:eastAsia="宋体"/>
                <w:sz w:val="24"/>
              </w:rPr>
              <w:t>单位整体支出绩效自评表</w:t>
            </w:r>
          </w:p>
        </w:tc>
      </w:tr>
      <w:tr w14:paraId="731AD630">
        <w:tblPrEx>
          <w:tblCellMar>
            <w:top w:w="0" w:type="dxa"/>
            <w:left w:w="108" w:type="dxa"/>
            <w:bottom w:w="0" w:type="dxa"/>
            <w:right w:w="108" w:type="dxa"/>
          </w:tblCellMar>
        </w:tblPrEx>
        <w:tc>
          <w:tcPr>
            <w:tcW w:w="8847" w:type="dxa"/>
            <w:gridSpan w:val="9"/>
            <w:vAlign w:val="center"/>
          </w:tcPr>
          <w:p w14:paraId="3726D931">
            <w:pPr>
              <w:jc w:val="center"/>
            </w:pPr>
            <w:r>
              <w:rPr>
                <w:rFonts w:ascii="宋体" w:hAnsi="宋体" w:eastAsia="宋体"/>
                <w:sz w:val="24"/>
              </w:rPr>
              <w:t>（2024年度）</w:t>
            </w:r>
          </w:p>
        </w:tc>
      </w:tr>
      <w:tr w14:paraId="01C713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8AD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F5696A">
            <w:pPr>
              <w:jc w:val="center"/>
            </w:pPr>
            <w:r>
              <w:rPr>
                <w:rFonts w:ascii="宋体" w:hAnsi="宋体" w:eastAsia="宋体"/>
                <w:sz w:val="16"/>
              </w:rPr>
              <w:t>塔什库尔干塔吉克自治县交通运输局</w:t>
            </w:r>
          </w:p>
        </w:tc>
      </w:tr>
      <w:tr w14:paraId="0E9B3F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5464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CA61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81A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454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4973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65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126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B5599">
            <w:pPr>
              <w:jc w:val="center"/>
            </w:pPr>
            <w:r>
              <w:rPr>
                <w:rFonts w:ascii="宋体" w:hAnsi="宋体" w:eastAsia="宋体"/>
                <w:sz w:val="16"/>
              </w:rPr>
              <w:t>得分</w:t>
            </w:r>
          </w:p>
        </w:tc>
      </w:tr>
      <w:tr w14:paraId="1237A3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1B5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5D4D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DFD8">
            <w:pPr>
              <w:jc w:val="center"/>
            </w:pPr>
            <w:r>
              <w:rPr>
                <w:rFonts w:ascii="宋体" w:hAnsi="宋体" w:eastAsia="宋体"/>
                <w:sz w:val="16"/>
              </w:rPr>
              <w:t>1,828.23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DFFA6">
            <w:pPr>
              <w:jc w:val="center"/>
            </w:pPr>
            <w:r>
              <w:rPr>
                <w:rFonts w:ascii="宋体" w:hAnsi="宋体" w:eastAsia="宋体"/>
                <w:sz w:val="16"/>
              </w:rPr>
              <w:t>34,855.95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3071">
            <w:pPr>
              <w:jc w:val="center"/>
            </w:pPr>
            <w:r>
              <w:rPr>
                <w:rFonts w:ascii="宋体" w:hAnsi="宋体" w:eastAsia="宋体"/>
                <w:sz w:val="16"/>
              </w:rPr>
              <w:t>34,855.95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5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F44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AACC0">
            <w:pPr>
              <w:jc w:val="center"/>
            </w:pPr>
            <w:r>
              <w:rPr>
                <w:rFonts w:ascii="宋体" w:hAnsi="宋体" w:eastAsia="宋体"/>
                <w:sz w:val="16"/>
              </w:rPr>
              <w:t>10</w:t>
            </w:r>
          </w:p>
        </w:tc>
      </w:tr>
      <w:tr w14:paraId="540A6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A64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126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0923">
            <w:pPr>
              <w:jc w:val="center"/>
            </w:pPr>
            <w:r>
              <w:rPr>
                <w:rFonts w:ascii="宋体" w:hAnsi="宋体" w:eastAsia="宋体"/>
                <w:sz w:val="16"/>
              </w:rPr>
              <w:t>429.00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4F22C">
            <w:pPr>
              <w:jc w:val="center"/>
            </w:pPr>
            <w:r>
              <w:rPr>
                <w:rFonts w:ascii="宋体" w:hAnsi="宋体" w:eastAsia="宋体"/>
                <w:sz w:val="16"/>
              </w:rPr>
              <w:t>22,591.55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F35F">
            <w:pPr>
              <w:jc w:val="center"/>
            </w:pPr>
            <w:r>
              <w:rPr>
                <w:rFonts w:ascii="宋体" w:hAnsi="宋体" w:eastAsia="宋体"/>
                <w:sz w:val="16"/>
              </w:rPr>
              <w:t>22,591.55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C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F8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AFDE">
            <w:pPr>
              <w:jc w:val="center"/>
            </w:pPr>
            <w:r>
              <w:rPr>
                <w:rFonts w:ascii="宋体" w:hAnsi="宋体" w:eastAsia="宋体"/>
                <w:sz w:val="16"/>
              </w:rPr>
              <w:t>—</w:t>
            </w:r>
          </w:p>
        </w:tc>
      </w:tr>
      <w:tr w14:paraId="0DDAF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DD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197C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1A0B">
            <w:pPr>
              <w:jc w:val="center"/>
            </w:pPr>
            <w:r>
              <w:rPr>
                <w:rFonts w:ascii="宋体" w:hAnsi="宋体" w:eastAsia="宋体"/>
                <w:sz w:val="16"/>
              </w:rPr>
              <w:t>1,399.23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552A">
            <w:pPr>
              <w:jc w:val="center"/>
            </w:pPr>
            <w:r>
              <w:rPr>
                <w:rFonts w:ascii="宋体" w:hAnsi="宋体" w:eastAsia="宋体"/>
                <w:sz w:val="16"/>
              </w:rPr>
              <w:t>1,320.00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8C8F">
            <w:pPr>
              <w:jc w:val="center"/>
            </w:pPr>
            <w:r>
              <w:rPr>
                <w:rFonts w:ascii="宋体" w:hAnsi="宋体" w:eastAsia="宋体"/>
                <w:sz w:val="16"/>
              </w:rPr>
              <w:t>1,320.00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2D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4E6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C3DC">
            <w:pPr>
              <w:jc w:val="center"/>
            </w:pPr>
            <w:r>
              <w:rPr>
                <w:rFonts w:ascii="宋体" w:hAnsi="宋体" w:eastAsia="宋体"/>
                <w:sz w:val="16"/>
              </w:rPr>
              <w:t>—</w:t>
            </w:r>
          </w:p>
        </w:tc>
      </w:tr>
      <w:tr w14:paraId="53B30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478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771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2C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23FD5">
            <w:pPr>
              <w:jc w:val="center"/>
            </w:pPr>
            <w:r>
              <w:rPr>
                <w:rFonts w:ascii="宋体" w:hAnsi="宋体" w:eastAsia="宋体"/>
                <w:sz w:val="16"/>
              </w:rPr>
              <w:t>10,944.40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D233">
            <w:pPr>
              <w:jc w:val="center"/>
            </w:pPr>
            <w:r>
              <w:rPr>
                <w:rFonts w:ascii="宋体" w:hAnsi="宋体" w:eastAsia="宋体"/>
                <w:sz w:val="16"/>
              </w:rPr>
              <w:t>10,944.40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9C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7639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590FB">
            <w:pPr>
              <w:jc w:val="center"/>
            </w:pPr>
            <w:r>
              <w:rPr>
                <w:rFonts w:ascii="宋体" w:hAnsi="宋体" w:eastAsia="宋体"/>
                <w:sz w:val="16"/>
              </w:rPr>
              <w:t>—</w:t>
            </w:r>
          </w:p>
        </w:tc>
      </w:tr>
      <w:tr w14:paraId="6B4A0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A1B5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3BF33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0FDBE">
            <w:pPr>
              <w:jc w:val="center"/>
            </w:pPr>
            <w:r>
              <w:rPr>
                <w:rFonts w:ascii="宋体" w:hAnsi="宋体" w:eastAsia="宋体"/>
                <w:sz w:val="16"/>
              </w:rPr>
              <w:t>实际完成目标</w:t>
            </w:r>
          </w:p>
        </w:tc>
      </w:tr>
      <w:tr w14:paraId="26764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2AF6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D41306">
            <w:pPr>
              <w:jc w:val="both"/>
            </w:pPr>
            <w:r>
              <w:rPr>
                <w:rFonts w:ascii="宋体" w:hAnsi="宋体" w:eastAsia="宋体"/>
                <w:sz w:val="16"/>
              </w:rPr>
              <w:t>多渠道争取资金，进一步完善交通基础设施建设。2024年，计划投入资金5.201249亿元，修建基础设施，修建公路12公里、实施养护及安防工程66公里。一是投入5.079349亿元，修建基础设施；二是投入100万元，对</w:t>
            </w:r>
            <w:r>
              <w:rPr>
                <w:rFonts w:hint="eastAsia" w:ascii="宋体" w:hAnsi="宋体"/>
                <w:sz w:val="16"/>
                <w:lang w:eastAsia="zh-CN"/>
              </w:rPr>
              <w:t>塔什库尔干塔吉克自治县</w:t>
            </w:r>
            <w:r>
              <w:rPr>
                <w:rFonts w:ascii="宋体" w:hAnsi="宋体" w:eastAsia="宋体"/>
                <w:sz w:val="16"/>
              </w:rPr>
              <w:t>塔什库尔干乡新建1公里四级公路；三是投入199万元，修建道路4.28公里，对塔什库尔干乡道路进行改建；四是投入690万元，修建慕士他格冰川道路6.8公里；五是投入230万元，实施小修养护工程126公里、安全生命防护工程66公里。六是对所有县乡村道路，完善标志牌、标线及护柱等交通安全设施，保证农村公路安全畅通，减少交通事故发生。牢固树立安全生产红线意识，坚决扛起安全生产政治责任。狠抓行业安全生产监管，以“时时放心不下”的责任感抓好交通运输行业安全措施落实，坚决维护行业安全生产持续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238D7">
            <w:pPr>
              <w:jc w:val="both"/>
            </w:pPr>
            <w:r>
              <w:rPr>
                <w:rFonts w:ascii="宋体" w:hAnsi="宋体" w:eastAsia="宋体"/>
                <w:sz w:val="16"/>
              </w:rPr>
              <w:t>2024年我局支出34855.95万元，用于道路养护及改修建、进行口岸项目建设、解决往年项目资金的支付以及新项目前期费的支付等，做到了牢固树立安全生产红线意识，坚决扛起安全生产政治责任。狠抓行业安全生产监管，以“时时放心不下”的责任感抓好交通运输行业安全措施落实，坚决维护行业安全生产持续稳定。2024年具体完成工作有：修建慕士他格冰川道路6.80公里；塔什库尔干乡新建四级公路1公里，乡村组道路路段进行修改4.39公里，实施小修养护工程126公里，安全生命防护工程66公里。</w:t>
            </w:r>
          </w:p>
        </w:tc>
      </w:tr>
      <w:tr w14:paraId="006704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4F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DBD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038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586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071D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CE0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79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09A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4C39">
            <w:pPr>
              <w:jc w:val="center"/>
            </w:pPr>
            <w:r>
              <w:rPr>
                <w:rFonts w:ascii="宋体" w:hAnsi="宋体" w:eastAsia="宋体"/>
                <w:sz w:val="16"/>
              </w:rPr>
              <w:t>得分</w:t>
            </w:r>
          </w:p>
        </w:tc>
      </w:tr>
      <w:tr w14:paraId="4A7C61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AB5B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4F4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54ED">
            <w:pPr>
              <w:jc w:val="center"/>
            </w:pPr>
            <w:r>
              <w:rPr>
                <w:rFonts w:ascii="宋体" w:hAnsi="宋体" w:eastAsia="宋体"/>
                <w:sz w:val="16"/>
              </w:rPr>
              <w:t>修建慕士他格冰川道路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F871D">
            <w:pPr>
              <w:jc w:val="center"/>
            </w:pPr>
            <w:r>
              <w:rPr>
                <w:rFonts w:ascii="宋体" w:hAnsi="宋体" w:eastAsia="宋体"/>
                <w:sz w:val="16"/>
              </w:rPr>
              <w:t>=6.80公里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414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5F1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96CB">
            <w:pPr>
              <w:jc w:val="center"/>
            </w:pPr>
            <w:r>
              <w:rPr>
                <w:rFonts w:ascii="宋体" w:hAnsi="宋体" w:eastAsia="宋体"/>
                <w:sz w:val="16"/>
              </w:rPr>
              <w:t>6.80公里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07A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8515">
            <w:pPr>
              <w:jc w:val="center"/>
            </w:pPr>
            <w:r>
              <w:rPr>
                <w:rFonts w:ascii="宋体" w:hAnsi="宋体" w:eastAsia="宋体"/>
                <w:sz w:val="16"/>
              </w:rPr>
              <w:t>18</w:t>
            </w:r>
          </w:p>
        </w:tc>
      </w:tr>
      <w:tr w14:paraId="26D14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378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1F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D2CF">
            <w:pPr>
              <w:jc w:val="center"/>
            </w:pPr>
            <w:r>
              <w:rPr>
                <w:rFonts w:ascii="宋体" w:hAnsi="宋体" w:eastAsia="宋体"/>
                <w:sz w:val="16"/>
              </w:rPr>
              <w:t>塔什库尔干乡新建四级公路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FCDC9">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9A4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39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0811">
            <w:pPr>
              <w:jc w:val="center"/>
            </w:pPr>
            <w:r>
              <w:rPr>
                <w:rFonts w:ascii="宋体" w:hAnsi="宋体" w:eastAsia="宋体"/>
                <w:sz w:val="16"/>
              </w:rPr>
              <w:t>1公里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EF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C658">
            <w:pPr>
              <w:jc w:val="center"/>
            </w:pPr>
            <w:r>
              <w:rPr>
                <w:rFonts w:ascii="宋体" w:hAnsi="宋体" w:eastAsia="宋体"/>
                <w:sz w:val="16"/>
              </w:rPr>
              <w:t>18</w:t>
            </w:r>
          </w:p>
        </w:tc>
      </w:tr>
      <w:tr w14:paraId="70D30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800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E75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D221">
            <w:pPr>
              <w:jc w:val="center"/>
            </w:pPr>
            <w:r>
              <w:rPr>
                <w:rFonts w:ascii="宋体" w:hAnsi="宋体" w:eastAsia="宋体"/>
                <w:sz w:val="16"/>
              </w:rPr>
              <w:t>乡村组道路路段进行修改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4F002">
            <w:pPr>
              <w:jc w:val="center"/>
            </w:pPr>
            <w:r>
              <w:rPr>
                <w:rFonts w:ascii="宋体" w:hAnsi="宋体" w:eastAsia="宋体"/>
                <w:sz w:val="16"/>
              </w:rPr>
              <w:t>=4.28公里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C4D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0E3E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980A4">
            <w:pPr>
              <w:jc w:val="center"/>
            </w:pPr>
            <w:r>
              <w:rPr>
                <w:rFonts w:ascii="宋体" w:hAnsi="宋体" w:eastAsia="宋体"/>
                <w:sz w:val="16"/>
              </w:rPr>
              <w:t>4.39公里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CFAD">
            <w:pPr>
              <w:jc w:val="center"/>
            </w:pPr>
            <w:r>
              <w:rPr>
                <w:rFonts w:ascii="宋体" w:hAnsi="宋体" w:eastAsia="宋体"/>
                <w:sz w:val="16"/>
              </w:rPr>
              <w:t>102.57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62369">
            <w:pPr>
              <w:jc w:val="center"/>
            </w:pPr>
            <w:r>
              <w:rPr>
                <w:rFonts w:ascii="宋体" w:hAnsi="宋体" w:eastAsia="宋体"/>
                <w:sz w:val="16"/>
              </w:rPr>
              <w:t>18</w:t>
            </w:r>
          </w:p>
        </w:tc>
      </w:tr>
      <w:tr w14:paraId="293CF2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75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1D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F0D06">
            <w:pPr>
              <w:jc w:val="center"/>
            </w:pPr>
            <w:r>
              <w:rPr>
                <w:rFonts w:ascii="宋体" w:hAnsi="宋体" w:eastAsia="宋体"/>
                <w:sz w:val="16"/>
              </w:rPr>
              <w:t>实施小修养护工程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CA83">
            <w:pPr>
              <w:jc w:val="center"/>
            </w:pPr>
            <w:r>
              <w:rPr>
                <w:rFonts w:ascii="宋体" w:hAnsi="宋体" w:eastAsia="宋体"/>
                <w:sz w:val="16"/>
              </w:rPr>
              <w:t>=126公里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C4A2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661A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3995">
            <w:pPr>
              <w:jc w:val="center"/>
            </w:pPr>
            <w:r>
              <w:rPr>
                <w:rFonts w:ascii="宋体" w:hAnsi="宋体" w:eastAsia="宋体"/>
                <w:sz w:val="16"/>
              </w:rPr>
              <w:t>126公里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FF5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D4F06">
            <w:pPr>
              <w:jc w:val="center"/>
            </w:pPr>
            <w:r>
              <w:rPr>
                <w:rFonts w:ascii="宋体" w:hAnsi="宋体" w:eastAsia="宋体"/>
                <w:sz w:val="16"/>
              </w:rPr>
              <w:t>18</w:t>
            </w:r>
          </w:p>
        </w:tc>
      </w:tr>
      <w:tr w14:paraId="67E03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E21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6F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4C7A">
            <w:pPr>
              <w:jc w:val="center"/>
            </w:pPr>
            <w:r>
              <w:rPr>
                <w:rFonts w:ascii="宋体" w:hAnsi="宋体" w:eastAsia="宋体"/>
                <w:sz w:val="16"/>
              </w:rPr>
              <w:t>安全生命防护工程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66F6A">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9560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531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A9A6">
            <w:pPr>
              <w:jc w:val="center"/>
            </w:pPr>
            <w:r>
              <w:rPr>
                <w:rFonts w:ascii="宋体" w:hAnsi="宋体" w:eastAsia="宋体"/>
                <w:sz w:val="16"/>
              </w:rPr>
              <w:t>66公里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7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94B3">
            <w:pPr>
              <w:jc w:val="center"/>
            </w:pPr>
            <w:r>
              <w:rPr>
                <w:rFonts w:ascii="宋体" w:hAnsi="宋体" w:eastAsia="宋体"/>
                <w:sz w:val="16"/>
              </w:rPr>
              <w:t>18</w:t>
            </w:r>
          </w:p>
        </w:tc>
      </w:tr>
    </w:tbl>
    <w:p w14:paraId="553DCC3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5"/>
        <w:gridCol w:w="633"/>
      </w:tblGrid>
      <w:tr w14:paraId="6A2D4DD9">
        <w:tblPrEx>
          <w:tblCellMar>
            <w:top w:w="0" w:type="dxa"/>
            <w:left w:w="108" w:type="dxa"/>
            <w:bottom w:w="0" w:type="dxa"/>
            <w:right w:w="108" w:type="dxa"/>
          </w:tblCellMar>
        </w:tblPrEx>
        <w:tc>
          <w:tcPr>
            <w:tcW w:w="8848" w:type="dxa"/>
            <w:gridSpan w:val="14"/>
            <w:vAlign w:val="center"/>
          </w:tcPr>
          <w:p w14:paraId="49D67B3B">
            <w:pPr>
              <w:jc w:val="center"/>
            </w:pPr>
            <w:r>
              <w:rPr>
                <w:rFonts w:ascii="宋体" w:hAnsi="宋体" w:eastAsia="宋体"/>
                <w:sz w:val="24"/>
              </w:rPr>
              <w:t>项目支出绩效自评表</w:t>
            </w:r>
          </w:p>
        </w:tc>
      </w:tr>
      <w:tr w14:paraId="7C2BF69E">
        <w:tblPrEx>
          <w:tblCellMar>
            <w:top w:w="0" w:type="dxa"/>
            <w:left w:w="108" w:type="dxa"/>
            <w:bottom w:w="0" w:type="dxa"/>
            <w:right w:w="108" w:type="dxa"/>
          </w:tblCellMar>
        </w:tblPrEx>
        <w:tc>
          <w:tcPr>
            <w:tcW w:w="8848" w:type="dxa"/>
            <w:gridSpan w:val="14"/>
            <w:vAlign w:val="center"/>
          </w:tcPr>
          <w:p w14:paraId="5D68C98B">
            <w:pPr>
              <w:jc w:val="center"/>
            </w:pPr>
            <w:r>
              <w:rPr>
                <w:rFonts w:ascii="宋体" w:hAnsi="宋体" w:eastAsia="宋体"/>
                <w:sz w:val="24"/>
              </w:rPr>
              <w:t>(2024年度)</w:t>
            </w:r>
          </w:p>
        </w:tc>
      </w:tr>
      <w:tr w14:paraId="2B63F5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76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97FB92">
            <w:pPr>
              <w:jc w:val="center"/>
            </w:pPr>
            <w:r>
              <w:rPr>
                <w:rFonts w:ascii="宋体" w:hAnsi="宋体" w:eastAsia="宋体"/>
                <w:sz w:val="16"/>
              </w:rPr>
              <w:t>2023年度农村客运补助资金及城市交通发展奖励资金</w:t>
            </w:r>
          </w:p>
        </w:tc>
      </w:tr>
      <w:tr w14:paraId="2D178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95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FFE56">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B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8CD58">
            <w:pPr>
              <w:jc w:val="center"/>
            </w:pPr>
            <w:r>
              <w:rPr>
                <w:rFonts w:ascii="宋体" w:hAnsi="宋体" w:eastAsia="宋体"/>
                <w:sz w:val="16"/>
              </w:rPr>
              <w:t>塔什库尔干塔吉克自治县交通运输局</w:t>
            </w:r>
          </w:p>
        </w:tc>
      </w:tr>
      <w:tr w14:paraId="3E9352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62E7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BED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3E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83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99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17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3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ECA2">
            <w:pPr>
              <w:jc w:val="center"/>
            </w:pPr>
            <w:r>
              <w:rPr>
                <w:rFonts w:ascii="宋体" w:hAnsi="宋体" w:eastAsia="宋体"/>
                <w:sz w:val="16"/>
              </w:rPr>
              <w:t>得分</w:t>
            </w:r>
          </w:p>
        </w:tc>
      </w:tr>
      <w:tr w14:paraId="6D9C1C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906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3E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D9A0E">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DAA2F">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C85C">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B4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5B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34BC">
            <w:pPr>
              <w:jc w:val="center"/>
            </w:pPr>
            <w:r>
              <w:rPr>
                <w:rFonts w:ascii="宋体" w:hAnsi="宋体" w:eastAsia="宋体"/>
                <w:sz w:val="16"/>
              </w:rPr>
              <w:t>10.00分</w:t>
            </w:r>
          </w:p>
        </w:tc>
      </w:tr>
      <w:tr w14:paraId="7DAD2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AF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C5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D96B">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C9183">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31A30">
            <w:pPr>
              <w:jc w:val="center"/>
            </w:pPr>
            <w:r>
              <w:rPr>
                <w:rFonts w:ascii="宋体" w:hAnsi="宋体" w:eastAsia="宋体"/>
                <w:sz w:val="16"/>
              </w:rPr>
              <w:t>55.50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6E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A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C55">
            <w:pPr>
              <w:jc w:val="center"/>
            </w:pPr>
            <w:r>
              <w:rPr>
                <w:rFonts w:ascii="宋体" w:hAnsi="宋体" w:eastAsia="宋体"/>
                <w:sz w:val="16"/>
              </w:rPr>
              <w:t>—</w:t>
            </w:r>
          </w:p>
        </w:tc>
      </w:tr>
      <w:tr w14:paraId="330CC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F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03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89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BF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8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E1E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72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1461">
            <w:pPr>
              <w:jc w:val="center"/>
            </w:pPr>
            <w:r>
              <w:rPr>
                <w:rFonts w:ascii="宋体" w:hAnsi="宋体" w:eastAsia="宋体"/>
                <w:sz w:val="16"/>
              </w:rPr>
              <w:t>—</w:t>
            </w:r>
          </w:p>
        </w:tc>
      </w:tr>
      <w:tr w14:paraId="373B3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1DC0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D2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5503FD">
            <w:pPr>
              <w:jc w:val="center"/>
            </w:pPr>
            <w:r>
              <w:rPr>
                <w:rFonts w:ascii="宋体" w:hAnsi="宋体" w:eastAsia="宋体"/>
                <w:sz w:val="16"/>
              </w:rPr>
              <w:t>实际完成情况</w:t>
            </w:r>
          </w:p>
        </w:tc>
      </w:tr>
      <w:tr w14:paraId="70C4C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04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50119">
            <w:pPr>
              <w:jc w:val="both"/>
            </w:pPr>
            <w:r>
              <w:rPr>
                <w:rFonts w:ascii="宋体" w:hAnsi="宋体" w:eastAsia="宋体"/>
                <w:sz w:val="16"/>
              </w:rPr>
              <w:t>项目预算安排资金：55.5万，其中：财政资金55.5万，其他资金0万元。用于53辆农村客运车及9辆公交车补助油价补贴55.5万元。维护农村道路客运行业稳定，推动农村道路客运行业节能减排和结构调整，促进农村道路客运、出租车、公交等行业高质量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967E4">
            <w:pPr>
              <w:jc w:val="both"/>
            </w:pPr>
            <w:r>
              <w:rPr>
                <w:rFonts w:ascii="宋体" w:hAnsi="宋体" w:eastAsia="宋体"/>
                <w:sz w:val="16"/>
              </w:rPr>
              <w:t>53辆农村客运车及9辆公交车补助油价补贴55.5万元，维护了农村道路客运行业的稳定，推动了农村道路客运行业的节能减排和结构调整，促进了农村道路客运、出租车、公交等行业的高质量发展效果。</w:t>
            </w:r>
          </w:p>
        </w:tc>
      </w:tr>
      <w:tr w14:paraId="55136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C319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01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B9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9E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98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C4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59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98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DD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C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C0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2B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E1EA">
            <w:pPr>
              <w:jc w:val="center"/>
            </w:pPr>
            <w:r>
              <w:rPr>
                <w:rFonts w:ascii="宋体" w:hAnsi="宋体" w:eastAsia="宋体"/>
                <w:sz w:val="16"/>
              </w:rPr>
              <w:t>偏差原因分析及改进措施</w:t>
            </w:r>
          </w:p>
        </w:tc>
      </w:tr>
      <w:tr w14:paraId="7752A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B06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2EA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DB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5EF7">
            <w:pPr>
              <w:jc w:val="center"/>
            </w:pPr>
            <w:r>
              <w:rPr>
                <w:rFonts w:ascii="宋体" w:hAnsi="宋体" w:eastAsia="宋体"/>
                <w:sz w:val="16"/>
              </w:rPr>
              <w:t>发放客运补贴车辆数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E365">
            <w:pPr>
              <w:jc w:val="center"/>
            </w:pPr>
            <w:r>
              <w:rPr>
                <w:rFonts w:ascii="宋体" w:hAnsi="宋体" w:eastAsia="宋体"/>
                <w:sz w:val="16"/>
              </w:rPr>
              <w:t>=53辆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8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3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77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2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5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CCEE">
            <w:pPr>
              <w:jc w:val="center"/>
            </w:pPr>
            <w:r>
              <w:rPr>
                <w:rFonts w:ascii="宋体" w:hAnsi="宋体" w:eastAsia="宋体"/>
                <w:sz w:val="16"/>
              </w:rPr>
              <w:t>=53辆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37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0D5B">
            <w:pPr>
              <w:jc w:val="center"/>
            </w:pPr>
          </w:p>
        </w:tc>
      </w:tr>
      <w:tr w14:paraId="5FA3B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A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B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15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98BB">
            <w:pPr>
              <w:jc w:val="center"/>
            </w:pPr>
            <w:r>
              <w:rPr>
                <w:rFonts w:ascii="宋体" w:hAnsi="宋体" w:eastAsia="宋体"/>
                <w:sz w:val="16"/>
              </w:rPr>
              <w:t>补贴资金合规率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7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3D2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3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3A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C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7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1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4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0334">
            <w:pPr>
              <w:jc w:val="center"/>
            </w:pPr>
          </w:p>
        </w:tc>
      </w:tr>
      <w:tr w14:paraId="15A56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A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C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F3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D389">
            <w:pPr>
              <w:jc w:val="center"/>
            </w:pPr>
            <w:r>
              <w:rPr>
                <w:rFonts w:ascii="宋体" w:hAnsi="宋体" w:eastAsia="宋体"/>
                <w:sz w:val="16"/>
              </w:rPr>
              <w:t>补贴到位及时率（%）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0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D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B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F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6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D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4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B007">
            <w:pPr>
              <w:jc w:val="center"/>
            </w:pPr>
          </w:p>
        </w:tc>
      </w:tr>
      <w:tr w14:paraId="7CF5B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07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3CA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C0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DEBA">
            <w:pPr>
              <w:jc w:val="center"/>
            </w:pPr>
            <w:r>
              <w:rPr>
                <w:rFonts w:ascii="宋体" w:hAnsi="宋体" w:eastAsia="宋体"/>
                <w:sz w:val="16"/>
              </w:rPr>
              <w:t>农村客运补贴资金占用油费用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9B75">
            <w:pPr>
              <w:jc w:val="center"/>
            </w:pPr>
            <w:r>
              <w:rPr>
                <w:rFonts w:ascii="宋体" w:hAnsi="宋体" w:eastAsia="宋体"/>
                <w:sz w:val="16"/>
              </w:rPr>
              <w:t>=510000元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B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10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1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6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0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1BD0">
            <w:pPr>
              <w:jc w:val="center"/>
            </w:pPr>
            <w:r>
              <w:rPr>
                <w:rFonts w:ascii="宋体" w:hAnsi="宋体" w:eastAsia="宋体"/>
                <w:sz w:val="16"/>
              </w:rPr>
              <w:t>=510000元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08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A49D">
            <w:pPr>
              <w:jc w:val="center"/>
            </w:pPr>
          </w:p>
        </w:tc>
      </w:tr>
      <w:tr w14:paraId="153AA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2E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E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3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4E8">
            <w:pPr>
              <w:jc w:val="center"/>
            </w:pPr>
            <w:r>
              <w:rPr>
                <w:rFonts w:ascii="宋体" w:hAnsi="宋体" w:eastAsia="宋体"/>
                <w:sz w:val="16"/>
              </w:rPr>
              <w:t>城市公交补贴</w:t>
            </w:r>
            <w:r>
              <w:rPr>
                <w:rFonts w:hint="eastAsia" w:ascii="宋体" w:hAnsi="宋体"/>
                <w:sz w:val="16"/>
                <w:lang w:eastAsia="zh-CN"/>
              </w:rPr>
              <w:t>资金占用</w:t>
            </w:r>
            <w:r>
              <w:rPr>
                <w:rFonts w:ascii="宋体" w:hAnsi="宋体" w:eastAsia="宋体"/>
                <w:sz w:val="16"/>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6371">
            <w:pPr>
              <w:jc w:val="center"/>
            </w:pPr>
            <w:r>
              <w:rPr>
                <w:rFonts w:ascii="宋体" w:hAnsi="宋体" w:eastAsia="宋体"/>
                <w:sz w:val="16"/>
              </w:rPr>
              <w:t>=45000元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1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8C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D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5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E1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6838">
            <w:pPr>
              <w:jc w:val="center"/>
            </w:pPr>
            <w:r>
              <w:rPr>
                <w:rFonts w:ascii="宋体" w:hAnsi="宋体" w:eastAsia="宋体"/>
                <w:sz w:val="16"/>
              </w:rPr>
              <w:t>=45000元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F0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32835">
            <w:pPr>
              <w:jc w:val="center"/>
            </w:pPr>
          </w:p>
        </w:tc>
      </w:tr>
      <w:tr w14:paraId="0FD60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1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1B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E2C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4E0D">
            <w:pPr>
              <w:jc w:val="center"/>
            </w:pPr>
            <w:r>
              <w:rPr>
                <w:rFonts w:ascii="宋体" w:hAnsi="宋体" w:eastAsia="宋体"/>
                <w:sz w:val="16"/>
              </w:rPr>
              <w:t>经济社会发展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DE5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B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E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39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F9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A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C66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FF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FDE1">
            <w:pPr>
              <w:jc w:val="center"/>
            </w:pPr>
          </w:p>
        </w:tc>
      </w:tr>
      <w:tr w14:paraId="4ABDF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14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D6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96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058E">
            <w:pPr>
              <w:jc w:val="center"/>
            </w:pPr>
            <w:r>
              <w:rPr>
                <w:rFonts w:ascii="宋体" w:hAnsi="宋体" w:eastAsia="宋体"/>
                <w:sz w:val="16"/>
              </w:rPr>
              <w:t>农村、城市收益群众满意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0F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A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E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A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A9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1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7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4A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21144">
            <w:pPr>
              <w:jc w:val="center"/>
            </w:pPr>
            <w:r>
              <w:rPr>
                <w:rFonts w:ascii="宋体" w:hAnsi="宋体" w:eastAsia="宋体"/>
                <w:sz w:val="16"/>
              </w:rPr>
              <w:t>目标设定过低，实际表现超出预期</w:t>
            </w:r>
          </w:p>
        </w:tc>
      </w:tr>
      <w:tr w14:paraId="78B46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31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2F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B6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9B580">
            <w:pPr>
              <w:jc w:val="center"/>
            </w:pPr>
            <w:r>
              <w:rPr>
                <w:rFonts w:ascii="宋体" w:hAnsi="宋体" w:eastAsia="宋体"/>
                <w:sz w:val="16"/>
              </w:rPr>
              <w:t>100分</w:t>
            </w:r>
          </w:p>
        </w:tc>
      </w:tr>
    </w:tbl>
    <w:p w14:paraId="166D03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99BD262">
        <w:tblPrEx>
          <w:tblCellMar>
            <w:top w:w="0" w:type="dxa"/>
            <w:left w:w="108" w:type="dxa"/>
            <w:bottom w:w="0" w:type="dxa"/>
            <w:right w:w="108" w:type="dxa"/>
          </w:tblCellMar>
        </w:tblPrEx>
        <w:tc>
          <w:tcPr>
            <w:tcW w:w="8848" w:type="dxa"/>
            <w:gridSpan w:val="14"/>
            <w:vAlign w:val="center"/>
          </w:tcPr>
          <w:p w14:paraId="534A71B4">
            <w:pPr>
              <w:jc w:val="center"/>
            </w:pPr>
            <w:r>
              <w:rPr>
                <w:rFonts w:ascii="宋体" w:hAnsi="宋体" w:eastAsia="宋体"/>
                <w:sz w:val="24"/>
              </w:rPr>
              <w:t>项目支出绩效自评表</w:t>
            </w:r>
          </w:p>
        </w:tc>
      </w:tr>
      <w:tr w14:paraId="694BBAF1">
        <w:tblPrEx>
          <w:tblCellMar>
            <w:top w:w="0" w:type="dxa"/>
            <w:left w:w="108" w:type="dxa"/>
            <w:bottom w:w="0" w:type="dxa"/>
            <w:right w:w="108" w:type="dxa"/>
          </w:tblCellMar>
        </w:tblPrEx>
        <w:tc>
          <w:tcPr>
            <w:tcW w:w="8848" w:type="dxa"/>
            <w:gridSpan w:val="14"/>
            <w:vAlign w:val="center"/>
          </w:tcPr>
          <w:p w14:paraId="3307424B">
            <w:pPr>
              <w:jc w:val="center"/>
            </w:pPr>
            <w:r>
              <w:rPr>
                <w:rFonts w:ascii="宋体" w:hAnsi="宋体" w:eastAsia="宋体"/>
                <w:sz w:val="24"/>
              </w:rPr>
              <w:t>(2024年度)</w:t>
            </w:r>
          </w:p>
        </w:tc>
      </w:tr>
      <w:tr w14:paraId="4B507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F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322E25">
            <w:pPr>
              <w:jc w:val="center"/>
            </w:pPr>
            <w:r>
              <w:rPr>
                <w:rFonts w:ascii="宋体" w:hAnsi="宋体" w:eastAsia="宋体"/>
                <w:sz w:val="16"/>
              </w:rPr>
              <w:t>2024年农村公路养护地区配套资金</w:t>
            </w:r>
          </w:p>
        </w:tc>
      </w:tr>
      <w:tr w14:paraId="4A6DDF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79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ED121">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1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57848">
            <w:pPr>
              <w:jc w:val="center"/>
            </w:pPr>
            <w:r>
              <w:rPr>
                <w:rFonts w:ascii="宋体" w:hAnsi="宋体" w:eastAsia="宋体"/>
                <w:sz w:val="16"/>
              </w:rPr>
              <w:t>塔什库尔干塔吉克自治县交通运输局</w:t>
            </w:r>
          </w:p>
        </w:tc>
      </w:tr>
      <w:tr w14:paraId="5EF18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3AA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493C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A2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9A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04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16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1B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D7D">
            <w:pPr>
              <w:jc w:val="center"/>
            </w:pPr>
            <w:r>
              <w:rPr>
                <w:rFonts w:ascii="宋体" w:hAnsi="宋体" w:eastAsia="宋体"/>
                <w:sz w:val="16"/>
              </w:rPr>
              <w:t>得分</w:t>
            </w:r>
          </w:p>
        </w:tc>
      </w:tr>
      <w:tr w14:paraId="37DD25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84D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FE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B017">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E4FA">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24F8">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91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AE8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1871">
            <w:pPr>
              <w:jc w:val="center"/>
            </w:pPr>
            <w:r>
              <w:rPr>
                <w:rFonts w:ascii="宋体" w:hAnsi="宋体" w:eastAsia="宋体"/>
                <w:sz w:val="16"/>
              </w:rPr>
              <w:t>10.00分</w:t>
            </w:r>
          </w:p>
        </w:tc>
      </w:tr>
      <w:tr w14:paraId="4AC35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A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67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0965F">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DC96A">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71D82">
            <w:pPr>
              <w:jc w:val="center"/>
            </w:pPr>
            <w:r>
              <w:rPr>
                <w:rFonts w:ascii="宋体" w:hAnsi="宋体" w:eastAsia="宋体"/>
                <w:sz w:val="16"/>
              </w:rPr>
              <w:t>81.92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0E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4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6EA9">
            <w:pPr>
              <w:jc w:val="center"/>
            </w:pPr>
            <w:r>
              <w:rPr>
                <w:rFonts w:ascii="宋体" w:hAnsi="宋体" w:eastAsia="宋体"/>
                <w:sz w:val="16"/>
              </w:rPr>
              <w:t>—</w:t>
            </w:r>
          </w:p>
        </w:tc>
      </w:tr>
      <w:tr w14:paraId="682EC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6A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B3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3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C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B6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DDF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A0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2312">
            <w:pPr>
              <w:jc w:val="center"/>
            </w:pPr>
            <w:r>
              <w:rPr>
                <w:rFonts w:ascii="宋体" w:hAnsi="宋体" w:eastAsia="宋体"/>
                <w:sz w:val="16"/>
              </w:rPr>
              <w:t>—</w:t>
            </w:r>
          </w:p>
        </w:tc>
      </w:tr>
      <w:tr w14:paraId="3515C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281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A09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5EE8C">
            <w:pPr>
              <w:jc w:val="center"/>
            </w:pPr>
            <w:r>
              <w:rPr>
                <w:rFonts w:ascii="宋体" w:hAnsi="宋体" w:eastAsia="宋体"/>
                <w:sz w:val="16"/>
              </w:rPr>
              <w:t>实际完成情况</w:t>
            </w:r>
          </w:p>
        </w:tc>
      </w:tr>
      <w:tr w14:paraId="027C8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BC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B711A">
            <w:pPr>
              <w:jc w:val="both"/>
            </w:pPr>
            <w:r>
              <w:rPr>
                <w:rFonts w:ascii="宋体" w:hAnsi="宋体" w:eastAsia="宋体"/>
                <w:sz w:val="16"/>
              </w:rPr>
              <w:t>安排资金：81.92万，其中：财政资金81.92万，其他资金0万元。1、对G314</w:t>
            </w:r>
            <w:r>
              <w:rPr>
                <w:rFonts w:hint="eastAsia" w:ascii="宋体" w:hAnsi="宋体"/>
                <w:sz w:val="16"/>
                <w:lang w:eastAsia="zh-CN"/>
              </w:rPr>
              <w:t>塔什库尔干塔吉克自治县</w:t>
            </w:r>
            <w:r>
              <w:rPr>
                <w:rFonts w:ascii="宋体" w:hAnsi="宋体" w:eastAsia="宋体"/>
                <w:sz w:val="16"/>
              </w:rPr>
              <w:t>辖区内所有农村公路平交口实施“五必上”改造（警告标志、交通标线、减速带、警示柱、信号灯）；2、对全县农村公路网总体核查。通过该项目实施将进一步把农村公路建好、管好、护好、运营好，逐步消除制约农村公路发展的交通瓶颈，为广大农民致富奔小康提供更好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3F7E7A">
            <w:pPr>
              <w:jc w:val="both"/>
            </w:pPr>
            <w:r>
              <w:rPr>
                <w:rFonts w:ascii="宋体" w:hAnsi="宋体" w:eastAsia="宋体"/>
                <w:sz w:val="16"/>
              </w:rPr>
              <w:t>安排81.92万元，对G314</w:t>
            </w:r>
            <w:r>
              <w:rPr>
                <w:rFonts w:hint="eastAsia" w:ascii="宋体" w:hAnsi="宋体"/>
                <w:sz w:val="16"/>
                <w:lang w:eastAsia="zh-CN"/>
              </w:rPr>
              <w:t>塔什库尔干塔吉克自治县</w:t>
            </w:r>
            <w:r>
              <w:rPr>
                <w:rFonts w:ascii="宋体" w:hAnsi="宋体" w:eastAsia="宋体"/>
                <w:sz w:val="16"/>
              </w:rPr>
              <w:t>辖区内所有农村公路平交口实施“五必上”改造、对全县农村公路网总体核查。通过该项目的实施逐步消除了制约农村公路发展的交通瓶颈，为广大农民致富奔小康提供了更好的保障。</w:t>
            </w:r>
          </w:p>
        </w:tc>
      </w:tr>
      <w:tr w14:paraId="49D51B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128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6A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BA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22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8D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94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43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44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D0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4C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7D3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F6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1BD5">
            <w:pPr>
              <w:jc w:val="center"/>
            </w:pPr>
            <w:r>
              <w:rPr>
                <w:rFonts w:ascii="宋体" w:hAnsi="宋体" w:eastAsia="宋体"/>
                <w:sz w:val="16"/>
              </w:rPr>
              <w:t>偏差原因分析及改进措施</w:t>
            </w:r>
          </w:p>
        </w:tc>
      </w:tr>
      <w:tr w14:paraId="13EDE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DE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BCA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1E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608">
            <w:pPr>
              <w:jc w:val="center"/>
            </w:pPr>
            <w:r>
              <w:rPr>
                <w:rFonts w:ascii="宋体" w:hAnsi="宋体" w:eastAsia="宋体"/>
                <w:sz w:val="16"/>
              </w:rPr>
              <w:t>实施“五必上”改造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27D8">
            <w:pPr>
              <w:jc w:val="center"/>
            </w:pPr>
            <w:r>
              <w:rPr>
                <w:rFonts w:ascii="宋体" w:hAnsi="宋体" w:eastAsia="宋体"/>
                <w:sz w:val="16"/>
              </w:rPr>
              <w:t>对G314线所有农村公路平交路口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A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0A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9A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6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0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D43D">
            <w:pPr>
              <w:jc w:val="center"/>
            </w:pPr>
            <w:r>
              <w:rPr>
                <w:rFonts w:ascii="宋体" w:hAnsi="宋体" w:eastAsia="宋体"/>
                <w:sz w:val="16"/>
              </w:rPr>
              <w:t>对G314线所有农村公路平交路口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D0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2CE7">
            <w:pPr>
              <w:jc w:val="center"/>
            </w:pPr>
          </w:p>
        </w:tc>
      </w:tr>
      <w:tr w14:paraId="7465E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0A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2B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8F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BBB7">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2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0A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B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B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D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D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A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32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3964">
            <w:pPr>
              <w:jc w:val="center"/>
            </w:pPr>
          </w:p>
        </w:tc>
      </w:tr>
      <w:tr w14:paraId="35C3B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E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188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C7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EB8B">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F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66F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2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1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D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4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F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10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3378">
            <w:pPr>
              <w:jc w:val="center"/>
            </w:pPr>
          </w:p>
        </w:tc>
      </w:tr>
      <w:tr w14:paraId="5569E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9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26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39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140C">
            <w:pPr>
              <w:jc w:val="center"/>
            </w:pPr>
            <w:r>
              <w:rPr>
                <w:rFonts w:ascii="宋体" w:hAnsi="宋体" w:eastAsia="宋体"/>
                <w:sz w:val="16"/>
              </w:rPr>
              <w:t>工程进度符合度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FA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8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0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4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7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6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E4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C6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1390">
            <w:pPr>
              <w:jc w:val="center"/>
            </w:pPr>
          </w:p>
        </w:tc>
      </w:tr>
      <w:tr w14:paraId="7CB0E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E8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DC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C0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5DE6">
            <w:pPr>
              <w:jc w:val="center"/>
            </w:pPr>
            <w:r>
              <w:rPr>
                <w:rFonts w:ascii="宋体" w:hAnsi="宋体" w:eastAsia="宋体"/>
                <w:sz w:val="16"/>
              </w:rPr>
              <w:t>资金总投入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8DE0">
            <w:pPr>
              <w:jc w:val="center"/>
            </w:pPr>
            <w:r>
              <w:rPr>
                <w:rFonts w:ascii="宋体" w:hAnsi="宋体" w:eastAsia="宋体"/>
                <w:sz w:val="16"/>
              </w:rPr>
              <w:t>&lt;=81.92万元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C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47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0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7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77BF">
            <w:pPr>
              <w:jc w:val="center"/>
            </w:pPr>
            <w:r>
              <w:rPr>
                <w:rFonts w:ascii="宋体" w:hAnsi="宋体" w:eastAsia="宋体"/>
                <w:sz w:val="16"/>
              </w:rPr>
              <w:t>=81.92万元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08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B4BE4">
            <w:pPr>
              <w:jc w:val="center"/>
            </w:pPr>
          </w:p>
        </w:tc>
      </w:tr>
      <w:tr w14:paraId="35554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3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98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0A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099">
            <w:pPr>
              <w:jc w:val="center"/>
            </w:pPr>
            <w:r>
              <w:rPr>
                <w:rFonts w:ascii="宋体" w:hAnsi="宋体" w:eastAsia="宋体"/>
                <w:sz w:val="16"/>
              </w:rPr>
              <w:t>项目适应未来一定时期交通需求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9299">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8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4A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44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E7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78CD">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CE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3410">
            <w:pPr>
              <w:jc w:val="center"/>
            </w:pPr>
          </w:p>
        </w:tc>
      </w:tr>
      <w:tr w14:paraId="211E2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A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7D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9F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DAB1">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6E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E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2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B2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0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2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0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DAD47">
            <w:pPr>
              <w:jc w:val="center"/>
            </w:pPr>
            <w:r>
              <w:rPr>
                <w:rFonts w:ascii="宋体" w:hAnsi="宋体" w:eastAsia="宋体"/>
                <w:sz w:val="16"/>
              </w:rPr>
              <w:tab/>
            </w:r>
            <w:r>
              <w:rPr>
                <w:rFonts w:ascii="宋体" w:hAnsi="宋体" w:eastAsia="宋体"/>
                <w:sz w:val="16"/>
              </w:rPr>
              <w:t>目标设定过低，实际表现超出预期</w:t>
            </w:r>
          </w:p>
        </w:tc>
      </w:tr>
      <w:tr w14:paraId="362BB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DC3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E1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8BF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63D71">
            <w:pPr>
              <w:jc w:val="center"/>
            </w:pPr>
            <w:r>
              <w:rPr>
                <w:rFonts w:ascii="宋体" w:hAnsi="宋体" w:eastAsia="宋体"/>
                <w:sz w:val="16"/>
              </w:rPr>
              <w:t>100分</w:t>
            </w:r>
          </w:p>
        </w:tc>
      </w:tr>
    </w:tbl>
    <w:p w14:paraId="4A59CCE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6"/>
        <w:gridCol w:w="626"/>
        <w:gridCol w:w="626"/>
        <w:gridCol w:w="776"/>
        <w:gridCol w:w="632"/>
        <w:gridCol w:w="618"/>
        <w:gridCol w:w="632"/>
      </w:tblGrid>
      <w:tr w14:paraId="307EE745">
        <w:tblPrEx>
          <w:tblCellMar>
            <w:top w:w="0" w:type="dxa"/>
            <w:left w:w="108" w:type="dxa"/>
            <w:bottom w:w="0" w:type="dxa"/>
            <w:right w:w="108" w:type="dxa"/>
          </w:tblCellMar>
        </w:tblPrEx>
        <w:tc>
          <w:tcPr>
            <w:tcW w:w="8848" w:type="dxa"/>
            <w:gridSpan w:val="14"/>
            <w:vAlign w:val="center"/>
          </w:tcPr>
          <w:p w14:paraId="552F941F">
            <w:pPr>
              <w:jc w:val="center"/>
            </w:pPr>
            <w:r>
              <w:rPr>
                <w:rFonts w:ascii="宋体" w:hAnsi="宋体" w:eastAsia="宋体"/>
                <w:sz w:val="24"/>
              </w:rPr>
              <w:t>项目支出绩效自评表</w:t>
            </w:r>
          </w:p>
        </w:tc>
      </w:tr>
      <w:tr w14:paraId="2D46BFB0">
        <w:tblPrEx>
          <w:tblCellMar>
            <w:top w:w="0" w:type="dxa"/>
            <w:left w:w="108" w:type="dxa"/>
            <w:bottom w:w="0" w:type="dxa"/>
            <w:right w:w="108" w:type="dxa"/>
          </w:tblCellMar>
        </w:tblPrEx>
        <w:tc>
          <w:tcPr>
            <w:tcW w:w="8848" w:type="dxa"/>
            <w:gridSpan w:val="14"/>
            <w:vAlign w:val="center"/>
          </w:tcPr>
          <w:p w14:paraId="2A3ACDBA">
            <w:pPr>
              <w:jc w:val="center"/>
            </w:pPr>
            <w:r>
              <w:rPr>
                <w:rFonts w:ascii="宋体" w:hAnsi="宋体" w:eastAsia="宋体"/>
                <w:sz w:val="24"/>
              </w:rPr>
              <w:t>(2024年度)</w:t>
            </w:r>
          </w:p>
        </w:tc>
      </w:tr>
      <w:tr w14:paraId="01FC2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8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BE19C9">
            <w:pPr>
              <w:jc w:val="center"/>
            </w:pPr>
            <w:r>
              <w:rPr>
                <w:rFonts w:ascii="宋体" w:hAnsi="宋体" w:eastAsia="宋体"/>
                <w:sz w:val="16"/>
              </w:rPr>
              <w:t>2024年农村道路生命安全防护工程</w:t>
            </w:r>
          </w:p>
        </w:tc>
      </w:tr>
      <w:tr w14:paraId="4B8A0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28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6CB55">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7C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43E13">
            <w:pPr>
              <w:jc w:val="center"/>
            </w:pPr>
            <w:r>
              <w:rPr>
                <w:rFonts w:ascii="宋体" w:hAnsi="宋体" w:eastAsia="宋体"/>
                <w:sz w:val="16"/>
              </w:rPr>
              <w:t>塔什库尔干塔吉克自治县交通运输局</w:t>
            </w:r>
          </w:p>
        </w:tc>
      </w:tr>
      <w:tr w14:paraId="4F6A9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FDA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18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65E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017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F8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C3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70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77E9">
            <w:pPr>
              <w:jc w:val="center"/>
            </w:pPr>
            <w:r>
              <w:rPr>
                <w:rFonts w:ascii="宋体" w:hAnsi="宋体" w:eastAsia="宋体"/>
                <w:sz w:val="16"/>
              </w:rPr>
              <w:t>得分</w:t>
            </w:r>
          </w:p>
        </w:tc>
      </w:tr>
      <w:tr w14:paraId="36B65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057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9F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31EE">
            <w:pPr>
              <w:jc w:val="center"/>
            </w:pPr>
            <w:r>
              <w:rPr>
                <w:rFonts w:ascii="宋体" w:hAnsi="宋体" w:eastAsia="宋体"/>
                <w:sz w:val="16"/>
              </w:rPr>
              <w:t>212.57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C70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502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2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60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3B1D">
            <w:pPr>
              <w:jc w:val="center"/>
            </w:pPr>
            <w:r>
              <w:rPr>
                <w:rFonts w:ascii="宋体" w:hAnsi="宋体" w:eastAsia="宋体"/>
                <w:sz w:val="16"/>
              </w:rPr>
              <w:t>10.00分</w:t>
            </w:r>
          </w:p>
        </w:tc>
      </w:tr>
      <w:tr w14:paraId="2E2F4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D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8E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62FC">
            <w:pPr>
              <w:jc w:val="center"/>
            </w:pPr>
            <w:r>
              <w:rPr>
                <w:rFonts w:ascii="宋体" w:hAnsi="宋体" w:eastAsia="宋体"/>
                <w:sz w:val="16"/>
              </w:rPr>
              <w:t>212.57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960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A1F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53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FB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1F3A">
            <w:pPr>
              <w:jc w:val="center"/>
            </w:pPr>
            <w:r>
              <w:rPr>
                <w:rFonts w:ascii="宋体" w:hAnsi="宋体" w:eastAsia="宋体"/>
                <w:sz w:val="16"/>
              </w:rPr>
              <w:t>—</w:t>
            </w:r>
          </w:p>
        </w:tc>
      </w:tr>
      <w:tr w14:paraId="79D68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C4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CA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AD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D6A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B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73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F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2E1C">
            <w:pPr>
              <w:jc w:val="center"/>
            </w:pPr>
            <w:r>
              <w:rPr>
                <w:rFonts w:ascii="宋体" w:hAnsi="宋体" w:eastAsia="宋体"/>
                <w:sz w:val="16"/>
              </w:rPr>
              <w:t>—</w:t>
            </w:r>
          </w:p>
        </w:tc>
      </w:tr>
      <w:tr w14:paraId="48A1F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6BC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5D5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5C463">
            <w:pPr>
              <w:jc w:val="center"/>
            </w:pPr>
            <w:r>
              <w:rPr>
                <w:rFonts w:ascii="宋体" w:hAnsi="宋体" w:eastAsia="宋体"/>
                <w:sz w:val="16"/>
              </w:rPr>
              <w:t>实际完成情况</w:t>
            </w:r>
          </w:p>
        </w:tc>
      </w:tr>
      <w:tr w14:paraId="71198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484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0A714">
            <w:pPr>
              <w:jc w:val="both"/>
            </w:pPr>
            <w:r>
              <w:rPr>
                <w:rFonts w:ascii="宋体" w:hAnsi="宋体" w:eastAsia="宋体"/>
                <w:sz w:val="16"/>
              </w:rPr>
              <w:t>项目投资100万元</w:t>
            </w:r>
            <w:r>
              <w:rPr>
                <w:rFonts w:hint="eastAsia" w:ascii="宋体" w:hAnsi="宋体"/>
                <w:sz w:val="16"/>
                <w:lang w:eastAsia="zh-CN"/>
              </w:rPr>
              <w:t>，</w:t>
            </w:r>
            <w:r>
              <w:rPr>
                <w:rFonts w:ascii="宋体" w:hAnsi="宋体" w:eastAsia="宋体"/>
                <w:sz w:val="16"/>
              </w:rPr>
              <w:t>对X613、X614和X616线进行路面修补，增设标志牌、道口涵洞示警柱和波形梁护栏、增设标线，增设挡土墙等安全防护。提升农村道路安全水平，减少交通事故，保障人民生命财产安全，提供安全便捷的出行环境。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E94268">
            <w:pPr>
              <w:jc w:val="both"/>
            </w:pPr>
            <w:r>
              <w:rPr>
                <w:rFonts w:ascii="宋体" w:hAnsi="宋体" w:eastAsia="宋体"/>
                <w:sz w:val="16"/>
              </w:rPr>
              <w:t>项目实际支出100万元，对X613、X614和X616线进行路面修补，增设标志牌、道口涵洞示警柱和波形梁护栏、增设标线，增设挡土墙等安全防护。提升了道路的安全水平，降低了交通事故的发生率，保障了人民的生命财产安全，提供了安全便捷的出行环境。</w:t>
            </w:r>
          </w:p>
        </w:tc>
      </w:tr>
      <w:tr w14:paraId="21778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283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FD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4B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12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C0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EA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AA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5F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6C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AE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2E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B9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EEAA">
            <w:pPr>
              <w:jc w:val="center"/>
            </w:pPr>
            <w:r>
              <w:rPr>
                <w:rFonts w:ascii="宋体" w:hAnsi="宋体" w:eastAsia="宋体"/>
                <w:sz w:val="16"/>
              </w:rPr>
              <w:t>偏差原因分析及改进措施</w:t>
            </w:r>
          </w:p>
        </w:tc>
      </w:tr>
      <w:tr w14:paraId="46FAF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0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73C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61F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04DE">
            <w:pPr>
              <w:jc w:val="center"/>
            </w:pPr>
            <w:r>
              <w:rPr>
                <w:rFonts w:ascii="宋体" w:hAnsi="宋体" w:eastAsia="宋体"/>
                <w:sz w:val="16"/>
              </w:rPr>
              <w:t>设立标志牌，放置警示柱，安装反光道钉（个）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1F99">
            <w:pPr>
              <w:jc w:val="center"/>
            </w:pPr>
            <w:r>
              <w:rPr>
                <w:rFonts w:ascii="宋体" w:hAnsi="宋体" w:eastAsia="宋体"/>
                <w:sz w:val="16"/>
              </w:rPr>
              <w:t>&gt;=2997个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3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C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6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1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4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D39B">
            <w:pPr>
              <w:jc w:val="center"/>
            </w:pPr>
            <w:r>
              <w:rPr>
                <w:rFonts w:ascii="宋体" w:hAnsi="宋体" w:eastAsia="宋体"/>
                <w:sz w:val="16"/>
              </w:rPr>
              <w:t>=2697个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43B9">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3A6F8">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00C9B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27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A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4512">
            <w:pPr>
              <w:jc w:val="center"/>
            </w:pPr>
            <w:r>
              <w:rPr>
                <w:rFonts w:ascii="宋体" w:hAnsi="宋体" w:eastAsia="宋体"/>
                <w:sz w:val="16"/>
              </w:rPr>
              <w:t>绘制标线，安装波形梁护栏，路面修补等（米）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4E01">
            <w:pPr>
              <w:jc w:val="center"/>
            </w:pPr>
            <w:r>
              <w:rPr>
                <w:rFonts w:ascii="宋体" w:hAnsi="宋体" w:eastAsia="宋体"/>
                <w:sz w:val="16"/>
              </w:rPr>
              <w:t>&gt;=9589米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4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76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E4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0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1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4EC5">
            <w:pPr>
              <w:jc w:val="center"/>
            </w:pPr>
            <w:r>
              <w:rPr>
                <w:rFonts w:ascii="宋体" w:hAnsi="宋体" w:eastAsia="宋体"/>
                <w:sz w:val="16"/>
              </w:rPr>
              <w:t>=8630.1米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A220">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3AFD">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4FDFA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7A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9C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A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1449">
            <w:pPr>
              <w:jc w:val="center"/>
            </w:pPr>
            <w:r>
              <w:rPr>
                <w:rFonts w:ascii="宋体" w:hAnsi="宋体" w:eastAsia="宋体"/>
                <w:sz w:val="16"/>
              </w:rPr>
              <w:t>修建涵洞进水口（个）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85A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4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C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58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C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C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0F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93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BF2B">
            <w:pPr>
              <w:jc w:val="center"/>
            </w:pPr>
            <w:r>
              <w:rPr>
                <w:rFonts w:ascii="宋体" w:hAnsi="宋体" w:eastAsia="宋体"/>
                <w:sz w:val="16"/>
              </w:rPr>
              <w:t>已完成90%工程量，已拨付57%工程款，其余工程款正在申请，资金到位之后尽快完成验收工作</w:t>
            </w:r>
          </w:p>
        </w:tc>
      </w:tr>
      <w:tr w14:paraId="3010A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6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3A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3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CFAC">
            <w:pPr>
              <w:jc w:val="center"/>
            </w:pPr>
            <w:r>
              <w:rPr>
                <w:rFonts w:ascii="宋体" w:hAnsi="宋体" w:eastAsia="宋体"/>
                <w:sz w:val="16"/>
              </w:rPr>
              <w:t>修复路基塌陷（处）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D46C">
            <w:pPr>
              <w:jc w:val="center"/>
            </w:pPr>
            <w:r>
              <w:rPr>
                <w:rFonts w:ascii="宋体" w:hAnsi="宋体" w:eastAsia="宋体"/>
                <w:sz w:val="16"/>
              </w:rPr>
              <w:t>&gt;=27处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C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9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9A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B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7B9A">
            <w:pPr>
              <w:jc w:val="center"/>
            </w:pPr>
            <w:r>
              <w:rPr>
                <w:rFonts w:ascii="宋体" w:hAnsi="宋体" w:eastAsia="宋体"/>
                <w:sz w:val="16"/>
              </w:rPr>
              <w:t>=24处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F756">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F52C">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3DE78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6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E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54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60F1">
            <w:pPr>
              <w:jc w:val="center"/>
            </w:pPr>
            <w:r>
              <w:rPr>
                <w:rFonts w:ascii="宋体" w:hAnsi="宋体" w:eastAsia="宋体"/>
                <w:sz w:val="16"/>
              </w:rPr>
              <w:t>项目建设完工合格率（%）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F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E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F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A8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1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7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793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4AC5">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E556E">
            <w:pPr>
              <w:jc w:val="center"/>
            </w:pPr>
            <w:r>
              <w:rPr>
                <w:rFonts w:ascii="宋体" w:hAnsi="宋体" w:eastAsia="宋体"/>
                <w:sz w:val="16"/>
              </w:rPr>
              <w:t>未完成原因分析：已完成90%工程量，已拨付57%工程款，其余工程款正在申请，资金到位之后尽快完成验收工作；改进措施：积极向财政申请资金，资金到位之后尽快完成验收工作，并完成支付。</w:t>
            </w:r>
          </w:p>
        </w:tc>
      </w:tr>
      <w:tr w14:paraId="346A0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ED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9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DF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327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C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5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F4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3D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D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2F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52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78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A970">
            <w:pPr>
              <w:jc w:val="center"/>
            </w:pPr>
          </w:p>
        </w:tc>
      </w:tr>
      <w:tr w14:paraId="72AAE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21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AC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CA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4B79">
            <w:pPr>
              <w:jc w:val="center"/>
            </w:pPr>
            <w:r>
              <w:rPr>
                <w:rFonts w:ascii="宋体" w:hAnsi="宋体" w:eastAsia="宋体"/>
                <w:sz w:val="16"/>
              </w:rPr>
              <w:t>项目资金总额（万元）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AD9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E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D8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7C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B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AF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7AA8">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FA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D29B">
            <w:pPr>
              <w:jc w:val="center"/>
            </w:pPr>
          </w:p>
        </w:tc>
      </w:tr>
      <w:tr w14:paraId="6AAEB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0A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4B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4B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52E3">
            <w:pPr>
              <w:jc w:val="center"/>
            </w:pPr>
            <w:r>
              <w:rPr>
                <w:rFonts w:ascii="宋体" w:hAnsi="宋体" w:eastAsia="宋体"/>
                <w:sz w:val="16"/>
              </w:rPr>
              <w:t>提高出行效率及降低交通事故率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566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9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5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0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A6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65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CAD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74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5AB6">
            <w:pPr>
              <w:jc w:val="center"/>
            </w:pPr>
          </w:p>
        </w:tc>
      </w:tr>
      <w:tr w14:paraId="7A2C5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9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F7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D5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184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82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F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D3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7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E6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0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C639E">
            <w:pPr>
              <w:jc w:val="center"/>
            </w:pPr>
            <w:r>
              <w:rPr>
                <w:rFonts w:ascii="宋体" w:hAnsi="宋体" w:eastAsia="宋体"/>
                <w:sz w:val="16"/>
              </w:rPr>
              <w:t>目标设定过低，实际表现超出预期，导致出现正偏差</w:t>
            </w:r>
          </w:p>
        </w:tc>
      </w:tr>
      <w:tr w14:paraId="1EE19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D2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78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FAA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443420">
            <w:pPr>
              <w:jc w:val="center"/>
            </w:pPr>
            <w:r>
              <w:rPr>
                <w:rFonts w:ascii="宋体" w:hAnsi="宋体" w:eastAsia="宋体"/>
                <w:sz w:val="16"/>
              </w:rPr>
              <w:t>92.36分</w:t>
            </w:r>
          </w:p>
        </w:tc>
      </w:tr>
    </w:tbl>
    <w:p w14:paraId="004C37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0C6813C">
        <w:tblPrEx>
          <w:tblCellMar>
            <w:top w:w="0" w:type="dxa"/>
            <w:left w:w="108" w:type="dxa"/>
            <w:bottom w:w="0" w:type="dxa"/>
            <w:right w:w="108" w:type="dxa"/>
          </w:tblCellMar>
        </w:tblPrEx>
        <w:tc>
          <w:tcPr>
            <w:tcW w:w="8848" w:type="dxa"/>
            <w:gridSpan w:val="14"/>
            <w:vAlign w:val="center"/>
          </w:tcPr>
          <w:p w14:paraId="7DA56790">
            <w:pPr>
              <w:jc w:val="center"/>
            </w:pPr>
            <w:r>
              <w:rPr>
                <w:rFonts w:ascii="宋体" w:hAnsi="宋体" w:eastAsia="宋体"/>
                <w:sz w:val="24"/>
              </w:rPr>
              <w:t>项目支出绩效自评表</w:t>
            </w:r>
          </w:p>
        </w:tc>
      </w:tr>
      <w:tr w14:paraId="30A79A7C">
        <w:tblPrEx>
          <w:tblCellMar>
            <w:top w:w="0" w:type="dxa"/>
            <w:left w:w="108" w:type="dxa"/>
            <w:bottom w:w="0" w:type="dxa"/>
            <w:right w:w="108" w:type="dxa"/>
          </w:tblCellMar>
        </w:tblPrEx>
        <w:tc>
          <w:tcPr>
            <w:tcW w:w="8848" w:type="dxa"/>
            <w:gridSpan w:val="14"/>
            <w:vAlign w:val="center"/>
          </w:tcPr>
          <w:p w14:paraId="7A5B8EB7">
            <w:pPr>
              <w:jc w:val="center"/>
            </w:pPr>
            <w:r>
              <w:rPr>
                <w:rFonts w:ascii="宋体" w:hAnsi="宋体" w:eastAsia="宋体"/>
                <w:sz w:val="24"/>
              </w:rPr>
              <w:t>(2024年度)</w:t>
            </w:r>
          </w:p>
        </w:tc>
      </w:tr>
      <w:tr w14:paraId="3708A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94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F83625">
            <w:pPr>
              <w:jc w:val="center"/>
            </w:pPr>
            <w:r>
              <w:rPr>
                <w:rFonts w:ascii="宋体" w:hAnsi="宋体" w:eastAsia="宋体"/>
                <w:sz w:val="16"/>
              </w:rPr>
              <w:t>2024年农牧区投递员专项财政补贴资金</w:t>
            </w:r>
          </w:p>
        </w:tc>
      </w:tr>
      <w:tr w14:paraId="32A66F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95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639DD">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76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5EF445">
            <w:pPr>
              <w:jc w:val="center"/>
            </w:pPr>
            <w:r>
              <w:rPr>
                <w:rFonts w:ascii="宋体" w:hAnsi="宋体" w:eastAsia="宋体"/>
                <w:sz w:val="16"/>
              </w:rPr>
              <w:t>塔什库尔干塔吉克自治县交通运输局</w:t>
            </w:r>
          </w:p>
        </w:tc>
      </w:tr>
      <w:tr w14:paraId="0D152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50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F50A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65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0C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381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0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BB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5103">
            <w:pPr>
              <w:jc w:val="center"/>
            </w:pPr>
            <w:r>
              <w:rPr>
                <w:rFonts w:ascii="宋体" w:hAnsi="宋体" w:eastAsia="宋体"/>
                <w:sz w:val="16"/>
              </w:rPr>
              <w:t>得分</w:t>
            </w:r>
          </w:p>
        </w:tc>
      </w:tr>
      <w:tr w14:paraId="5BEFCA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CED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2C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B04A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A8D3">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A1D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19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E3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A4C3">
            <w:pPr>
              <w:jc w:val="center"/>
            </w:pPr>
            <w:r>
              <w:rPr>
                <w:rFonts w:ascii="宋体" w:hAnsi="宋体" w:eastAsia="宋体"/>
                <w:sz w:val="16"/>
              </w:rPr>
              <w:t>10.00分</w:t>
            </w:r>
          </w:p>
        </w:tc>
      </w:tr>
      <w:tr w14:paraId="1304A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D54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AF4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D11F">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9172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B54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DD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57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3A05">
            <w:pPr>
              <w:jc w:val="center"/>
            </w:pPr>
            <w:r>
              <w:rPr>
                <w:rFonts w:ascii="宋体" w:hAnsi="宋体" w:eastAsia="宋体"/>
                <w:sz w:val="16"/>
              </w:rPr>
              <w:t>—</w:t>
            </w:r>
          </w:p>
        </w:tc>
      </w:tr>
      <w:tr w14:paraId="2B2E7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B1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6D9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AB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0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19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3C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C2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BBDB">
            <w:pPr>
              <w:jc w:val="center"/>
            </w:pPr>
            <w:r>
              <w:rPr>
                <w:rFonts w:ascii="宋体" w:hAnsi="宋体" w:eastAsia="宋体"/>
                <w:sz w:val="16"/>
              </w:rPr>
              <w:t>—</w:t>
            </w:r>
          </w:p>
        </w:tc>
      </w:tr>
      <w:tr w14:paraId="6A2EB4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DE6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7A8B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3E539">
            <w:pPr>
              <w:jc w:val="center"/>
            </w:pPr>
            <w:r>
              <w:rPr>
                <w:rFonts w:ascii="宋体" w:hAnsi="宋体" w:eastAsia="宋体"/>
                <w:sz w:val="16"/>
              </w:rPr>
              <w:t>实际完成情况</w:t>
            </w:r>
          </w:p>
        </w:tc>
      </w:tr>
      <w:tr w14:paraId="6F1C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CC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FB920">
            <w:pPr>
              <w:jc w:val="both"/>
            </w:pPr>
            <w:r>
              <w:rPr>
                <w:rFonts w:ascii="宋体" w:hAnsi="宋体" w:eastAsia="宋体"/>
                <w:sz w:val="16"/>
              </w:rPr>
              <w:t>根据喀什地区财政局《关于下达2024年农牧区投递员专项财政补贴资金的通知》（喀地财建</w:t>
            </w:r>
            <w:r>
              <w:rPr>
                <w:rFonts w:hint="eastAsia" w:ascii="宋体" w:hAnsi="宋体"/>
                <w:sz w:val="16"/>
                <w:lang w:eastAsia="zh-CN"/>
              </w:rPr>
              <w:t>〔2024〕12号</w:t>
            </w:r>
            <w:r>
              <w:rPr>
                <w:rFonts w:ascii="宋体" w:hAnsi="宋体" w:eastAsia="宋体"/>
                <w:sz w:val="16"/>
              </w:rPr>
              <w:t>）精神，为提高我县农牧区邮政普遍服务水平，通过助力农牧区投递员队伍稳定，不断提升邮政服务水平，巩固建制村直接通邮成果，支持邮政企业在农牧区更好地开展物流服务工作，按每人每月100元的补助标准，发放2024年农牧区投递员专项财政补贴资金12000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DB7C8">
            <w:pPr>
              <w:jc w:val="both"/>
            </w:pPr>
            <w:r>
              <w:rPr>
                <w:rFonts w:ascii="宋体" w:hAnsi="宋体" w:eastAsia="宋体"/>
                <w:sz w:val="16"/>
              </w:rPr>
              <w:t>该项目已按每人每月100元的补助标准，给10名投递员发放了2024年农牧区投递员专项财政补贴资金共12000元，该</w:t>
            </w:r>
            <w:r>
              <w:rPr>
                <w:rFonts w:hint="eastAsia" w:ascii="宋体" w:hAnsi="宋体"/>
                <w:sz w:val="16"/>
                <w:lang w:eastAsia="zh-CN"/>
              </w:rPr>
              <w:t>补助</w:t>
            </w:r>
            <w:r>
              <w:rPr>
                <w:rFonts w:ascii="宋体" w:hAnsi="宋体" w:eastAsia="宋体"/>
                <w:sz w:val="16"/>
              </w:rPr>
              <w:t>保障了发放农牧区邮政普遍服务能力。</w:t>
            </w:r>
          </w:p>
        </w:tc>
      </w:tr>
      <w:tr w14:paraId="7D567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3122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6E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3D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F3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68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B8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77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A7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5E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EB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1A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BE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A3648">
            <w:pPr>
              <w:jc w:val="center"/>
            </w:pPr>
            <w:r>
              <w:rPr>
                <w:rFonts w:ascii="宋体" w:hAnsi="宋体" w:eastAsia="宋体"/>
                <w:sz w:val="16"/>
              </w:rPr>
              <w:t>偏差原因分析及改进措施</w:t>
            </w:r>
          </w:p>
        </w:tc>
      </w:tr>
      <w:tr w14:paraId="44E91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1E2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B58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7F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EC01">
            <w:pPr>
              <w:jc w:val="center"/>
            </w:pPr>
            <w:r>
              <w:rPr>
                <w:rFonts w:ascii="宋体" w:hAnsi="宋体" w:eastAsia="宋体"/>
                <w:sz w:val="16"/>
              </w:rPr>
              <w:t>农牧区投递员补贴人数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456E">
            <w:pPr>
              <w:jc w:val="center"/>
            </w:pPr>
            <w:r>
              <w:rPr>
                <w:rFonts w:ascii="宋体" w:hAnsi="宋体" w:eastAsia="宋体"/>
                <w:sz w:val="16"/>
              </w:rPr>
              <w:t>=10名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F7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D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9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DA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C9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1999">
            <w:pPr>
              <w:jc w:val="center"/>
            </w:pPr>
            <w:r>
              <w:rPr>
                <w:rFonts w:ascii="宋体" w:hAnsi="宋体" w:eastAsia="宋体"/>
                <w:sz w:val="16"/>
              </w:rPr>
              <w:t>=10名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7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5D40">
            <w:pPr>
              <w:jc w:val="center"/>
            </w:pPr>
          </w:p>
        </w:tc>
      </w:tr>
      <w:tr w14:paraId="5B147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4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1F4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2A7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8D4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3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F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6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4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67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F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4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2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0E79">
            <w:pPr>
              <w:jc w:val="center"/>
            </w:pPr>
          </w:p>
        </w:tc>
      </w:tr>
      <w:tr w14:paraId="5181D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06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0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8B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75D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F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6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2D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8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17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FF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86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76282">
            <w:pPr>
              <w:jc w:val="center"/>
            </w:pPr>
          </w:p>
        </w:tc>
      </w:tr>
      <w:tr w14:paraId="5DC15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D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C3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8A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FF37">
            <w:pPr>
              <w:jc w:val="center"/>
            </w:pPr>
            <w:r>
              <w:rPr>
                <w:rFonts w:ascii="宋体" w:hAnsi="宋体" w:eastAsia="宋体"/>
                <w:sz w:val="16"/>
              </w:rPr>
              <w:t>补贴按时发放率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D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3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7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5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9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0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54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B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7B9D">
            <w:pPr>
              <w:jc w:val="center"/>
            </w:pPr>
          </w:p>
        </w:tc>
      </w:tr>
      <w:tr w14:paraId="15F27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B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52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D1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D761">
            <w:pPr>
              <w:jc w:val="center"/>
            </w:pPr>
            <w:r>
              <w:rPr>
                <w:rFonts w:ascii="宋体" w:hAnsi="宋体" w:eastAsia="宋体"/>
                <w:sz w:val="16"/>
              </w:rPr>
              <w:t>人均每月补贴金额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5A7B">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7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8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F6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80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0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E75B">
            <w:pPr>
              <w:jc w:val="center"/>
            </w:pPr>
            <w:r>
              <w:rPr>
                <w:rFonts w:ascii="宋体" w:hAnsi="宋体" w:eastAsia="宋体"/>
                <w:sz w:val="16"/>
              </w:rPr>
              <w:t>=100元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4C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9418">
            <w:pPr>
              <w:jc w:val="center"/>
            </w:pPr>
          </w:p>
        </w:tc>
      </w:tr>
      <w:tr w14:paraId="1FE97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E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FF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13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E318">
            <w:pPr>
              <w:jc w:val="center"/>
            </w:pPr>
            <w:r>
              <w:rPr>
                <w:rFonts w:ascii="宋体" w:hAnsi="宋体" w:eastAsia="宋体"/>
                <w:sz w:val="16"/>
              </w:rPr>
              <w:t>农牧区邮政普遍服务能力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EB7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C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E5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E6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8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4BBB">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7B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EF2E">
            <w:pPr>
              <w:jc w:val="center"/>
            </w:pPr>
          </w:p>
        </w:tc>
      </w:tr>
      <w:tr w14:paraId="584B2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5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1A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BE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5D0C">
            <w:pPr>
              <w:jc w:val="center"/>
            </w:pPr>
            <w:r>
              <w:rPr>
                <w:rFonts w:ascii="宋体" w:hAnsi="宋体" w:eastAsia="宋体"/>
                <w:sz w:val="16"/>
              </w:rPr>
              <w:t>农牧区投递员满意率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25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1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D5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2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79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D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4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B9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DBFF">
            <w:pPr>
              <w:jc w:val="center"/>
            </w:pPr>
            <w:r>
              <w:rPr>
                <w:rFonts w:ascii="宋体" w:hAnsi="宋体" w:eastAsia="宋体"/>
                <w:sz w:val="16"/>
              </w:rPr>
              <w:t>资金到位及时，项目完成率高，满意度超出预期目标值</w:t>
            </w:r>
          </w:p>
        </w:tc>
      </w:tr>
      <w:tr w14:paraId="0A0B9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1A3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7F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C0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8769F">
            <w:pPr>
              <w:jc w:val="center"/>
            </w:pPr>
            <w:r>
              <w:rPr>
                <w:rFonts w:ascii="宋体" w:hAnsi="宋体" w:eastAsia="宋体"/>
                <w:sz w:val="16"/>
              </w:rPr>
              <w:t>100分</w:t>
            </w:r>
          </w:p>
        </w:tc>
      </w:tr>
    </w:tbl>
    <w:p w14:paraId="0B55C89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74F5D94">
        <w:tblPrEx>
          <w:tblCellMar>
            <w:top w:w="0" w:type="dxa"/>
            <w:left w:w="108" w:type="dxa"/>
            <w:bottom w:w="0" w:type="dxa"/>
            <w:right w:w="108" w:type="dxa"/>
          </w:tblCellMar>
        </w:tblPrEx>
        <w:tc>
          <w:tcPr>
            <w:tcW w:w="8848" w:type="dxa"/>
            <w:gridSpan w:val="14"/>
            <w:vAlign w:val="center"/>
          </w:tcPr>
          <w:p w14:paraId="220EF2DA">
            <w:pPr>
              <w:jc w:val="center"/>
            </w:pPr>
            <w:r>
              <w:rPr>
                <w:rFonts w:ascii="宋体" w:hAnsi="宋体" w:eastAsia="宋体"/>
                <w:sz w:val="24"/>
              </w:rPr>
              <w:t>项目支出绩效自评表</w:t>
            </w:r>
          </w:p>
        </w:tc>
      </w:tr>
      <w:tr w14:paraId="754628FE">
        <w:tblPrEx>
          <w:tblCellMar>
            <w:top w:w="0" w:type="dxa"/>
            <w:left w:w="108" w:type="dxa"/>
            <w:bottom w:w="0" w:type="dxa"/>
            <w:right w:w="108" w:type="dxa"/>
          </w:tblCellMar>
        </w:tblPrEx>
        <w:tc>
          <w:tcPr>
            <w:tcW w:w="8848" w:type="dxa"/>
            <w:gridSpan w:val="14"/>
            <w:vAlign w:val="center"/>
          </w:tcPr>
          <w:p w14:paraId="59C8CFFD">
            <w:pPr>
              <w:jc w:val="center"/>
            </w:pPr>
            <w:r>
              <w:rPr>
                <w:rFonts w:ascii="宋体" w:hAnsi="宋体" w:eastAsia="宋体"/>
                <w:sz w:val="24"/>
              </w:rPr>
              <w:t>(2024年度)</w:t>
            </w:r>
          </w:p>
        </w:tc>
      </w:tr>
      <w:tr w14:paraId="13838C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7A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04924F">
            <w:pPr>
              <w:jc w:val="center"/>
            </w:pPr>
            <w:r>
              <w:rPr>
                <w:rFonts w:ascii="宋体" w:hAnsi="宋体" w:eastAsia="宋体"/>
                <w:sz w:val="16"/>
              </w:rPr>
              <w:t>2024年车辆购置税收入补助地方【第一批】用于普通省道及农村公路建设“以奖代补”资金</w:t>
            </w:r>
          </w:p>
        </w:tc>
      </w:tr>
      <w:tr w14:paraId="2355F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0B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49851">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B9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897AC">
            <w:pPr>
              <w:jc w:val="center"/>
            </w:pPr>
            <w:r>
              <w:rPr>
                <w:rFonts w:ascii="宋体" w:hAnsi="宋体" w:eastAsia="宋体"/>
                <w:sz w:val="16"/>
              </w:rPr>
              <w:t>塔什库尔干塔吉克自治县交通运输局</w:t>
            </w:r>
          </w:p>
        </w:tc>
      </w:tr>
      <w:tr w14:paraId="09CDCE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5C5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2A0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81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B4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A3F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1E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0B9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C4C2">
            <w:pPr>
              <w:jc w:val="center"/>
            </w:pPr>
            <w:r>
              <w:rPr>
                <w:rFonts w:ascii="宋体" w:hAnsi="宋体" w:eastAsia="宋体"/>
                <w:sz w:val="16"/>
              </w:rPr>
              <w:t>得分</w:t>
            </w:r>
          </w:p>
        </w:tc>
      </w:tr>
      <w:tr w14:paraId="5B5525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F9B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DBD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C5CB">
            <w:pPr>
              <w:jc w:val="center"/>
            </w:pPr>
            <w:r>
              <w:rPr>
                <w:rFonts w:ascii="宋体" w:hAnsi="宋体" w:eastAsia="宋体"/>
                <w:sz w:val="16"/>
              </w:rPr>
              <w:t>199.00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9B93">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6149">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A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5EBF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C305">
            <w:pPr>
              <w:jc w:val="center"/>
            </w:pPr>
            <w:r>
              <w:rPr>
                <w:rFonts w:ascii="宋体" w:hAnsi="宋体" w:eastAsia="宋体"/>
                <w:sz w:val="16"/>
              </w:rPr>
              <w:t>10.00分</w:t>
            </w:r>
          </w:p>
        </w:tc>
      </w:tr>
      <w:tr w14:paraId="524CF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8DA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2B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8839">
            <w:pPr>
              <w:jc w:val="center"/>
            </w:pPr>
            <w:r>
              <w:rPr>
                <w:rFonts w:ascii="宋体" w:hAnsi="宋体" w:eastAsia="宋体"/>
                <w:sz w:val="16"/>
              </w:rPr>
              <w:t>199.00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CB1D8">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77E1">
            <w:pPr>
              <w:jc w:val="center"/>
            </w:pPr>
            <w:r>
              <w:rPr>
                <w:rFonts w:ascii="宋体" w:hAnsi="宋体" w:eastAsia="宋体"/>
                <w:sz w:val="16"/>
              </w:rPr>
              <w:t>179.80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8F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1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A6D0">
            <w:pPr>
              <w:jc w:val="center"/>
            </w:pPr>
            <w:r>
              <w:rPr>
                <w:rFonts w:ascii="宋体" w:hAnsi="宋体" w:eastAsia="宋体"/>
                <w:sz w:val="16"/>
              </w:rPr>
              <w:t>—</w:t>
            </w:r>
          </w:p>
        </w:tc>
      </w:tr>
      <w:tr w14:paraId="25FEF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7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55E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5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9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5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F1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3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FE76">
            <w:pPr>
              <w:jc w:val="center"/>
            </w:pPr>
            <w:r>
              <w:rPr>
                <w:rFonts w:ascii="宋体" w:hAnsi="宋体" w:eastAsia="宋体"/>
                <w:sz w:val="16"/>
              </w:rPr>
              <w:t>—</w:t>
            </w:r>
          </w:p>
        </w:tc>
      </w:tr>
      <w:tr w14:paraId="233A16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C80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374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5BECE">
            <w:pPr>
              <w:jc w:val="center"/>
            </w:pPr>
            <w:r>
              <w:rPr>
                <w:rFonts w:ascii="宋体" w:hAnsi="宋体" w:eastAsia="宋体"/>
                <w:sz w:val="16"/>
              </w:rPr>
              <w:t>实际完成情况</w:t>
            </w:r>
          </w:p>
        </w:tc>
      </w:tr>
      <w:tr w14:paraId="7AB51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8AF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A026A">
            <w:pPr>
              <w:jc w:val="both"/>
            </w:pPr>
            <w:r>
              <w:rPr>
                <w:rFonts w:ascii="宋体" w:hAnsi="宋体" w:eastAsia="宋体"/>
                <w:sz w:val="16"/>
              </w:rPr>
              <w:t>项目总投资179.8万，对库如木鲁克至卡拉奇古4.391公里道路进行提升改造。全面提升山区乡村道路质量，改善交通条件，促进经济发展，提高居民生活质量。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058855">
            <w:pPr>
              <w:jc w:val="both"/>
            </w:pPr>
            <w:r>
              <w:rPr>
                <w:rFonts w:ascii="宋体" w:hAnsi="宋体" w:eastAsia="宋体"/>
                <w:sz w:val="16"/>
              </w:rPr>
              <w:t>投资179.8万，对库如木鲁克至卡拉奇古4.391公里道路进行提升改造，提升了路况，增强了安全，促进了区域的发展。</w:t>
            </w:r>
          </w:p>
        </w:tc>
      </w:tr>
      <w:tr w14:paraId="08D735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070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A6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E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D8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6C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F9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FB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E2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1C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90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15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E7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61D8">
            <w:pPr>
              <w:jc w:val="center"/>
            </w:pPr>
            <w:r>
              <w:rPr>
                <w:rFonts w:ascii="宋体" w:hAnsi="宋体" w:eastAsia="宋体"/>
                <w:sz w:val="16"/>
              </w:rPr>
              <w:t>偏差原因分析及改进措施</w:t>
            </w:r>
          </w:p>
        </w:tc>
      </w:tr>
      <w:tr w14:paraId="15583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0D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E7A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BD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85C9">
            <w:pPr>
              <w:jc w:val="center"/>
            </w:pPr>
            <w:r>
              <w:rPr>
                <w:rFonts w:ascii="宋体" w:hAnsi="宋体" w:eastAsia="宋体"/>
                <w:sz w:val="16"/>
              </w:rPr>
              <w:t>养护农村公路里程（公里）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01C7">
            <w:pPr>
              <w:jc w:val="center"/>
            </w:pPr>
            <w:r>
              <w:rPr>
                <w:rFonts w:ascii="宋体" w:hAnsi="宋体" w:eastAsia="宋体"/>
                <w:sz w:val="16"/>
              </w:rPr>
              <w:t>&gt;=4.39公里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C0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A8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AB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4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E503">
            <w:pPr>
              <w:jc w:val="center"/>
            </w:pPr>
            <w:r>
              <w:rPr>
                <w:rFonts w:ascii="宋体" w:hAnsi="宋体" w:eastAsia="宋体"/>
                <w:sz w:val="16"/>
              </w:rPr>
              <w:t>=4.39公里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73A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9C6B">
            <w:pPr>
              <w:jc w:val="center"/>
            </w:pPr>
          </w:p>
        </w:tc>
      </w:tr>
      <w:tr w14:paraId="7024E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4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7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3C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1C8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E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BB5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0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E5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8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A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9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20D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0F0A">
            <w:pPr>
              <w:jc w:val="center"/>
            </w:pPr>
          </w:p>
        </w:tc>
      </w:tr>
      <w:tr w14:paraId="0EDC2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B0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4A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9E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B6AB">
            <w:pPr>
              <w:jc w:val="center"/>
            </w:pPr>
            <w:r>
              <w:rPr>
                <w:rFonts w:ascii="宋体" w:hAnsi="宋体" w:eastAsia="宋体"/>
                <w:sz w:val="16"/>
              </w:rPr>
              <w:t>按期完成投资率（%）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6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C1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26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E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B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D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5C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1D78">
            <w:pPr>
              <w:jc w:val="center"/>
            </w:pPr>
          </w:p>
        </w:tc>
      </w:tr>
      <w:tr w14:paraId="707F7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66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0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72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6421">
            <w:pPr>
              <w:jc w:val="center"/>
            </w:pPr>
            <w:r>
              <w:rPr>
                <w:rFonts w:ascii="宋体" w:hAnsi="宋体" w:eastAsia="宋体"/>
                <w:sz w:val="16"/>
              </w:rPr>
              <w:t>每公里投资金额（万元/公里）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E4A2">
            <w:pPr>
              <w:jc w:val="center"/>
            </w:pPr>
            <w:r>
              <w:rPr>
                <w:rFonts w:ascii="宋体" w:hAnsi="宋体" w:eastAsia="宋体"/>
                <w:sz w:val="16"/>
              </w:rPr>
              <w:t>&lt;=40.96万元/公里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CD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5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8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A8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BBA9">
            <w:pPr>
              <w:jc w:val="center"/>
            </w:pPr>
            <w:r>
              <w:rPr>
                <w:rFonts w:ascii="宋体" w:hAnsi="宋体" w:eastAsia="宋体"/>
                <w:sz w:val="16"/>
              </w:rPr>
              <w:t>=40.96万元/公里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10F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4FCA2">
            <w:pPr>
              <w:jc w:val="center"/>
            </w:pPr>
          </w:p>
        </w:tc>
      </w:tr>
      <w:tr w14:paraId="4D1B3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CA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C0AF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365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77C4">
            <w:pPr>
              <w:jc w:val="center"/>
            </w:pPr>
            <w:r>
              <w:rPr>
                <w:rFonts w:ascii="宋体" w:hAnsi="宋体" w:eastAsia="宋体"/>
                <w:sz w:val="16"/>
              </w:rPr>
              <w:t>改善农村交通便利及安全性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BC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0A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B4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3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C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2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611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2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B65B">
            <w:pPr>
              <w:jc w:val="center"/>
            </w:pPr>
          </w:p>
        </w:tc>
      </w:tr>
      <w:tr w14:paraId="48A57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8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4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BD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491C">
            <w:pPr>
              <w:jc w:val="center"/>
            </w:pPr>
            <w:r>
              <w:rPr>
                <w:rFonts w:ascii="宋体" w:hAnsi="宋体" w:eastAsia="宋体"/>
                <w:sz w:val="16"/>
              </w:rPr>
              <w:t>项目适应未来一定时期交通需求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297D">
            <w:pPr>
              <w:jc w:val="center"/>
            </w:pPr>
            <w:r>
              <w:rPr>
                <w:rFonts w:ascii="宋体" w:hAnsi="宋体" w:eastAsia="宋体"/>
                <w:sz w:val="16"/>
              </w:rPr>
              <w:t>适应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5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0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0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50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9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7661">
            <w:pPr>
              <w:jc w:val="center"/>
            </w:pPr>
            <w:r>
              <w:rPr>
                <w:rFonts w:ascii="宋体" w:hAnsi="宋体" w:eastAsia="宋体"/>
                <w:sz w:val="16"/>
              </w:rPr>
              <w:t>适应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DF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B454">
            <w:pPr>
              <w:jc w:val="center"/>
            </w:pPr>
          </w:p>
        </w:tc>
      </w:tr>
      <w:tr w14:paraId="2D6D9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5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C1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47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D159">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0C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6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7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77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44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C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9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8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847D0">
            <w:pPr>
              <w:jc w:val="center"/>
            </w:pPr>
          </w:p>
        </w:tc>
      </w:tr>
      <w:tr w14:paraId="263F2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62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BA0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42E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ACDF2">
            <w:pPr>
              <w:jc w:val="center"/>
            </w:pPr>
            <w:r>
              <w:rPr>
                <w:rFonts w:ascii="宋体" w:hAnsi="宋体" w:eastAsia="宋体"/>
                <w:sz w:val="16"/>
              </w:rPr>
              <w:t>100分</w:t>
            </w:r>
          </w:p>
        </w:tc>
      </w:tr>
    </w:tbl>
    <w:p w14:paraId="0F80CA60">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5D55C063">
        <w:tblPrEx>
          <w:tblCellMar>
            <w:top w:w="0" w:type="dxa"/>
            <w:left w:w="108" w:type="dxa"/>
            <w:bottom w:w="0" w:type="dxa"/>
            <w:right w:w="108" w:type="dxa"/>
          </w:tblCellMar>
        </w:tblPrEx>
        <w:tc>
          <w:tcPr>
            <w:tcW w:w="8848" w:type="dxa"/>
            <w:gridSpan w:val="14"/>
            <w:vAlign w:val="center"/>
          </w:tcPr>
          <w:p w14:paraId="24D49284">
            <w:pPr>
              <w:jc w:val="center"/>
            </w:pPr>
            <w:r>
              <w:rPr>
                <w:rFonts w:ascii="宋体" w:hAnsi="宋体" w:eastAsia="宋体"/>
                <w:sz w:val="24"/>
              </w:rPr>
              <w:t>项目支出绩效自评表</w:t>
            </w:r>
          </w:p>
        </w:tc>
      </w:tr>
      <w:tr w14:paraId="50446515">
        <w:tblPrEx>
          <w:tblCellMar>
            <w:top w:w="0" w:type="dxa"/>
            <w:left w:w="108" w:type="dxa"/>
            <w:bottom w:w="0" w:type="dxa"/>
            <w:right w:w="108" w:type="dxa"/>
          </w:tblCellMar>
        </w:tblPrEx>
        <w:tc>
          <w:tcPr>
            <w:tcW w:w="8848" w:type="dxa"/>
            <w:gridSpan w:val="14"/>
            <w:vAlign w:val="center"/>
          </w:tcPr>
          <w:p w14:paraId="19939F91">
            <w:pPr>
              <w:jc w:val="center"/>
            </w:pPr>
            <w:r>
              <w:rPr>
                <w:rFonts w:ascii="宋体" w:hAnsi="宋体" w:eastAsia="宋体"/>
                <w:sz w:val="24"/>
              </w:rPr>
              <w:t>(2024年度)</w:t>
            </w:r>
          </w:p>
        </w:tc>
      </w:tr>
      <w:tr w14:paraId="3A1B0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CD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B0A76C">
            <w:pPr>
              <w:jc w:val="center"/>
            </w:pPr>
            <w:r>
              <w:rPr>
                <w:rFonts w:ascii="宋体" w:hAnsi="宋体" w:eastAsia="宋体"/>
                <w:sz w:val="16"/>
              </w:rPr>
              <w:t>2024年鞍钢资金</w:t>
            </w:r>
            <w:r>
              <w:rPr>
                <w:rFonts w:hint="eastAsia" w:ascii="宋体" w:hAnsi="宋体"/>
                <w:sz w:val="16"/>
                <w:lang w:eastAsia="zh-CN"/>
              </w:rPr>
              <w:t>塔什库尔干塔吉克自治县</w:t>
            </w:r>
            <w:r>
              <w:rPr>
                <w:rFonts w:ascii="宋体" w:hAnsi="宋体" w:eastAsia="宋体"/>
                <w:sz w:val="16"/>
              </w:rPr>
              <w:t>绿色交通基础设施提升（新能源）项目</w:t>
            </w:r>
          </w:p>
        </w:tc>
      </w:tr>
      <w:tr w14:paraId="6B5227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ED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4C95C">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4E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33A87">
            <w:pPr>
              <w:jc w:val="center"/>
            </w:pPr>
            <w:r>
              <w:rPr>
                <w:rFonts w:ascii="宋体" w:hAnsi="宋体" w:eastAsia="宋体"/>
                <w:sz w:val="16"/>
              </w:rPr>
              <w:t>塔什库尔干塔吉克自治县交通运输局</w:t>
            </w:r>
          </w:p>
        </w:tc>
      </w:tr>
      <w:tr w14:paraId="2BA87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530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63D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404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72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CF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26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18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2A36">
            <w:pPr>
              <w:jc w:val="center"/>
            </w:pPr>
            <w:r>
              <w:rPr>
                <w:rFonts w:ascii="宋体" w:hAnsi="宋体" w:eastAsia="宋体"/>
                <w:sz w:val="16"/>
              </w:rPr>
              <w:t>得分</w:t>
            </w:r>
          </w:p>
        </w:tc>
      </w:tr>
      <w:tr w14:paraId="06F37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3B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E5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ECA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3A684">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35C5">
            <w:pPr>
              <w:jc w:val="center"/>
            </w:pPr>
            <w:r>
              <w:rPr>
                <w:rFonts w:ascii="宋体" w:hAnsi="宋体" w:eastAsia="宋体"/>
                <w:sz w:val="16"/>
              </w:rPr>
              <w:t>146.81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2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A3F6">
            <w:pPr>
              <w:jc w:val="center"/>
            </w:pPr>
            <w:r>
              <w:rPr>
                <w:rFonts w:ascii="宋体" w:hAnsi="宋体" w:eastAsia="宋体"/>
                <w:sz w:val="16"/>
              </w:rPr>
              <w:t>81.6%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C1A4">
            <w:pPr>
              <w:jc w:val="center"/>
            </w:pPr>
            <w:r>
              <w:rPr>
                <w:rFonts w:ascii="宋体" w:hAnsi="宋体" w:eastAsia="宋体"/>
                <w:sz w:val="16"/>
              </w:rPr>
              <w:t>5.39分</w:t>
            </w:r>
          </w:p>
        </w:tc>
      </w:tr>
      <w:tr w14:paraId="1F798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BF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39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9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F7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9E48">
            <w:pPr>
              <w:jc w:val="center"/>
            </w:pPr>
            <w:r>
              <w:rPr>
                <w:rFonts w:ascii="宋体" w:hAnsi="宋体" w:eastAsia="宋体"/>
                <w:sz w:val="16"/>
              </w:rPr>
              <w:t>146.81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B5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14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F0A7">
            <w:pPr>
              <w:jc w:val="center"/>
            </w:pPr>
            <w:r>
              <w:rPr>
                <w:rFonts w:ascii="宋体" w:hAnsi="宋体" w:eastAsia="宋体"/>
                <w:sz w:val="16"/>
              </w:rPr>
              <w:t>—</w:t>
            </w:r>
          </w:p>
        </w:tc>
      </w:tr>
      <w:tr w14:paraId="72FB2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CEB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3E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0DB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BC2C">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96A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7B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A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D306">
            <w:pPr>
              <w:jc w:val="center"/>
            </w:pPr>
            <w:r>
              <w:rPr>
                <w:rFonts w:ascii="宋体" w:hAnsi="宋体" w:eastAsia="宋体"/>
                <w:sz w:val="16"/>
              </w:rPr>
              <w:t>—</w:t>
            </w:r>
          </w:p>
        </w:tc>
      </w:tr>
      <w:tr w14:paraId="47153A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F9E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27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7E287">
            <w:pPr>
              <w:jc w:val="center"/>
            </w:pPr>
            <w:r>
              <w:rPr>
                <w:rFonts w:ascii="宋体" w:hAnsi="宋体" w:eastAsia="宋体"/>
                <w:sz w:val="16"/>
              </w:rPr>
              <w:t>实际完成情况</w:t>
            </w:r>
          </w:p>
        </w:tc>
      </w:tr>
      <w:tr w14:paraId="1D9A3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86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48BAD">
            <w:pPr>
              <w:jc w:val="both"/>
            </w:pPr>
            <w:r>
              <w:rPr>
                <w:rFonts w:ascii="宋体" w:hAnsi="宋体" w:eastAsia="宋体"/>
                <w:sz w:val="16"/>
              </w:rPr>
              <w:t>项目预算安排资金：180万，其中：财政资金180万，其他资金0万元。用于：</w:t>
            </w:r>
            <w:r>
              <w:rPr>
                <w:rFonts w:hint="eastAsia" w:ascii="宋体" w:hAnsi="宋体"/>
                <w:sz w:val="16"/>
                <w:lang w:eastAsia="zh-CN"/>
              </w:rPr>
              <w:t>塔什库尔干塔吉克自治县</w:t>
            </w:r>
            <w:r>
              <w:rPr>
                <w:rFonts w:ascii="宋体" w:hAnsi="宋体" w:eastAsia="宋体"/>
                <w:sz w:val="16"/>
              </w:rPr>
              <w:t>县城、塔合曼乡、塔什库尔干乡、阿巴提镇等地新建充电设施。实现充电桩设施的广泛覆盖和普及，满足日益增长的新能源汽车充电需求。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950B76">
            <w:pPr>
              <w:jc w:val="both"/>
            </w:pPr>
            <w:r>
              <w:rPr>
                <w:rFonts w:ascii="宋体" w:hAnsi="宋体" w:eastAsia="宋体"/>
                <w:sz w:val="16"/>
              </w:rPr>
              <w:t>项目实际支出146.81万元，在</w:t>
            </w:r>
            <w:r>
              <w:rPr>
                <w:rFonts w:hint="eastAsia" w:ascii="宋体" w:hAnsi="宋体"/>
                <w:sz w:val="16"/>
                <w:lang w:eastAsia="zh-CN"/>
              </w:rPr>
              <w:t>塔什库尔干塔吉克自治县</w:t>
            </w:r>
            <w:r>
              <w:rPr>
                <w:rFonts w:ascii="宋体" w:hAnsi="宋体" w:eastAsia="宋体"/>
                <w:sz w:val="16"/>
              </w:rPr>
              <w:t>县城、塔合曼乡、塔什库尔干乡、阿巴提镇等地新建充电设施。实现了充电桩设施的广泛覆盖和普及，满足了日益增长的新能源汽车充电需求。</w:t>
            </w:r>
          </w:p>
        </w:tc>
      </w:tr>
      <w:tr w14:paraId="394737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2051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C4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42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53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7E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6F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BB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61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3F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0C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71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E4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3C81E">
            <w:pPr>
              <w:jc w:val="center"/>
            </w:pPr>
            <w:r>
              <w:rPr>
                <w:rFonts w:ascii="宋体" w:hAnsi="宋体" w:eastAsia="宋体"/>
                <w:sz w:val="16"/>
              </w:rPr>
              <w:t>偏差原因分析及改进措施</w:t>
            </w:r>
          </w:p>
        </w:tc>
      </w:tr>
      <w:tr w14:paraId="7ED24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747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9D3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73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3CEF">
            <w:pPr>
              <w:jc w:val="center"/>
            </w:pPr>
            <w:r>
              <w:rPr>
                <w:rFonts w:ascii="宋体" w:hAnsi="宋体" w:eastAsia="宋体"/>
                <w:sz w:val="16"/>
              </w:rPr>
              <w:t>4处新建充电设施(处）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5934">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A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5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F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F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3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1ED1">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9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60C9">
            <w:pPr>
              <w:jc w:val="center"/>
            </w:pPr>
          </w:p>
        </w:tc>
      </w:tr>
      <w:tr w14:paraId="391E7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CA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3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C0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0D0B">
            <w:pPr>
              <w:jc w:val="center"/>
            </w:pPr>
            <w:r>
              <w:rPr>
                <w:rFonts w:ascii="宋体" w:hAnsi="宋体" w:eastAsia="宋体"/>
                <w:sz w:val="16"/>
              </w:rPr>
              <w:t>充电设施兼容性（%）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5B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C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F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B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A9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3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8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40CD">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7897">
            <w:pPr>
              <w:jc w:val="center"/>
            </w:pPr>
            <w:r>
              <w:rPr>
                <w:rFonts w:ascii="宋体" w:hAnsi="宋体" w:eastAsia="宋体"/>
                <w:sz w:val="16"/>
              </w:rPr>
              <w:t>偏差原因分析：项目实施情况较好，充电设施兼容性高于预期导致出现正偏差，改进措施：基于当前良好表现，重新审视绩效目标，在以后绩效目标设置时设置更具挑战性的目标，以推动业务持续发展。</w:t>
            </w:r>
          </w:p>
        </w:tc>
      </w:tr>
      <w:tr w14:paraId="5E6EC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1E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D9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55B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658F">
            <w:pPr>
              <w:jc w:val="center"/>
            </w:pPr>
            <w:r>
              <w:rPr>
                <w:rFonts w:ascii="宋体" w:hAnsi="宋体" w:eastAsia="宋体"/>
                <w:sz w:val="16"/>
              </w:rPr>
              <w:t>项目建设完成率（%）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C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E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D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46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D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4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2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9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CEFEB">
            <w:pPr>
              <w:jc w:val="center"/>
            </w:pPr>
          </w:p>
        </w:tc>
      </w:tr>
      <w:tr w14:paraId="6E803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1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F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9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F53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4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7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B6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C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1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D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B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EC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564BE">
            <w:pPr>
              <w:jc w:val="center"/>
            </w:pPr>
          </w:p>
        </w:tc>
      </w:tr>
      <w:tr w14:paraId="32660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EF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D90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35E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6033">
            <w:pPr>
              <w:jc w:val="center"/>
            </w:pPr>
            <w:r>
              <w:rPr>
                <w:rFonts w:ascii="宋体" w:hAnsi="宋体" w:eastAsia="宋体"/>
                <w:sz w:val="16"/>
              </w:rPr>
              <w:t>安装服务费（万元）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7112">
            <w:pPr>
              <w:jc w:val="center"/>
            </w:pPr>
            <w:r>
              <w:rPr>
                <w:rFonts w:ascii="宋体" w:hAnsi="宋体" w:eastAsia="宋体"/>
                <w:sz w:val="16"/>
              </w:rPr>
              <w:t>&lt;=2.05万元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12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1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F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FC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6A11">
            <w:pPr>
              <w:jc w:val="center"/>
            </w:pPr>
            <w:r>
              <w:rPr>
                <w:rFonts w:ascii="宋体" w:hAnsi="宋体" w:eastAsia="宋体"/>
                <w:sz w:val="16"/>
              </w:rPr>
              <w:t>=2.05万元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AC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3259">
            <w:pPr>
              <w:jc w:val="center"/>
            </w:pPr>
          </w:p>
        </w:tc>
      </w:tr>
      <w:tr w14:paraId="51FED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E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9B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76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457A">
            <w:pPr>
              <w:jc w:val="center"/>
            </w:pPr>
            <w:r>
              <w:rPr>
                <w:rFonts w:ascii="宋体" w:hAnsi="宋体" w:eastAsia="宋体"/>
                <w:sz w:val="16"/>
              </w:rPr>
              <w:t>充电设施采购费（万元）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CFB3">
            <w:pPr>
              <w:jc w:val="center"/>
            </w:pPr>
            <w:r>
              <w:rPr>
                <w:rFonts w:ascii="宋体" w:hAnsi="宋体" w:eastAsia="宋体"/>
                <w:sz w:val="16"/>
              </w:rPr>
              <w:t>&lt;=177.95万元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A4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E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9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0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8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7A7">
            <w:pPr>
              <w:jc w:val="center"/>
            </w:pPr>
            <w:r>
              <w:rPr>
                <w:rFonts w:ascii="宋体" w:hAnsi="宋体" w:eastAsia="宋体"/>
                <w:sz w:val="16"/>
              </w:rPr>
              <w:t>=144.76万元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BA1A">
            <w:pPr>
              <w:jc w:val="center"/>
            </w:pPr>
            <w:r>
              <w:rPr>
                <w:rFonts w:ascii="宋体" w:hAnsi="宋体" w:eastAsia="宋体"/>
                <w:sz w:val="16"/>
              </w:rPr>
              <w:t>5.34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1FEA8">
            <w:pPr>
              <w:jc w:val="center"/>
            </w:pPr>
            <w:r>
              <w:rPr>
                <w:rFonts w:ascii="宋体" w:hAnsi="宋体" w:eastAsia="宋体"/>
                <w:sz w:val="16"/>
              </w:rPr>
              <w:t>目前已完工，但因天气原因无法验收，该项目剩余资金已结转至2025年使用，等施工验收完成，再进行支付</w:t>
            </w:r>
          </w:p>
        </w:tc>
      </w:tr>
      <w:tr w14:paraId="12CD6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57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DFA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B16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3D94">
            <w:pPr>
              <w:jc w:val="center"/>
            </w:pPr>
            <w:r>
              <w:rPr>
                <w:rFonts w:ascii="宋体" w:hAnsi="宋体" w:eastAsia="宋体"/>
                <w:sz w:val="16"/>
              </w:rPr>
              <w:t>降低车辆运营成本率（%）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F8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6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D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81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0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3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C9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19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949E">
            <w:pPr>
              <w:jc w:val="center"/>
            </w:pPr>
          </w:p>
        </w:tc>
      </w:tr>
      <w:tr w14:paraId="5D71D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1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82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9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ECFF">
            <w:pPr>
              <w:jc w:val="center"/>
            </w:pPr>
            <w:r>
              <w:rPr>
                <w:rFonts w:ascii="宋体" w:hAnsi="宋体" w:eastAsia="宋体"/>
                <w:sz w:val="16"/>
              </w:rPr>
              <w:t>充电设施可持续年限（年）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42AB">
            <w:pPr>
              <w:jc w:val="center"/>
            </w:pPr>
            <w:r>
              <w:rPr>
                <w:rFonts w:ascii="宋体" w:hAnsi="宋体" w:eastAsia="宋体"/>
                <w:sz w:val="16"/>
              </w:rPr>
              <w:t>&gt;=8年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04B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F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C0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1B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3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D61D">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C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219E">
            <w:pPr>
              <w:jc w:val="center"/>
            </w:pPr>
          </w:p>
        </w:tc>
      </w:tr>
      <w:tr w14:paraId="66581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FF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F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4AB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2049">
            <w:pPr>
              <w:jc w:val="center"/>
            </w:pPr>
            <w:r>
              <w:rPr>
                <w:rFonts w:ascii="宋体" w:hAnsi="宋体" w:eastAsia="宋体"/>
                <w:sz w:val="16"/>
              </w:rPr>
              <w:t>改善空气质量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38A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6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F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E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1E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3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105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69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38BC">
            <w:pPr>
              <w:jc w:val="center"/>
            </w:pPr>
          </w:p>
        </w:tc>
      </w:tr>
      <w:tr w14:paraId="450A5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15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1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6D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AB35">
            <w:pPr>
              <w:jc w:val="center"/>
            </w:pPr>
            <w:r>
              <w:rPr>
                <w:rFonts w:ascii="宋体" w:hAnsi="宋体" w:eastAsia="宋体"/>
                <w:sz w:val="16"/>
              </w:rPr>
              <w:t>充电设施使用人群满意度（%）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6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9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9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4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C7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C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0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D2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60E8">
            <w:pPr>
              <w:jc w:val="center"/>
            </w:pPr>
            <w:r>
              <w:rPr>
                <w:rFonts w:ascii="宋体" w:hAnsi="宋体" w:eastAsia="宋体"/>
                <w:sz w:val="16"/>
              </w:rPr>
              <w:t>目标设定过低，实际表现超出预期</w:t>
            </w:r>
          </w:p>
        </w:tc>
      </w:tr>
      <w:tr w14:paraId="32B36A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70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614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2B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893F9D">
            <w:pPr>
              <w:jc w:val="center"/>
            </w:pPr>
            <w:r>
              <w:rPr>
                <w:rFonts w:ascii="宋体" w:hAnsi="宋体" w:eastAsia="宋体"/>
                <w:sz w:val="16"/>
              </w:rPr>
              <w:t>90.2分</w:t>
            </w:r>
          </w:p>
        </w:tc>
      </w:tr>
    </w:tbl>
    <w:p w14:paraId="2B527F6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449"/>
        <w:gridCol w:w="183"/>
        <w:gridCol w:w="632"/>
        <w:gridCol w:w="632"/>
      </w:tblGrid>
      <w:tr w14:paraId="56E7FEDF">
        <w:tblPrEx>
          <w:tblCellMar>
            <w:top w:w="0" w:type="dxa"/>
            <w:left w:w="108" w:type="dxa"/>
            <w:bottom w:w="0" w:type="dxa"/>
            <w:right w:w="108" w:type="dxa"/>
          </w:tblCellMar>
        </w:tblPrEx>
        <w:tc>
          <w:tcPr>
            <w:tcW w:w="9056" w:type="dxa"/>
            <w:gridSpan w:val="15"/>
            <w:vAlign w:val="center"/>
          </w:tcPr>
          <w:p w14:paraId="6BDE8305">
            <w:pPr>
              <w:jc w:val="center"/>
            </w:pPr>
            <w:r>
              <w:rPr>
                <w:rFonts w:ascii="宋体" w:hAnsi="宋体" w:eastAsia="宋体"/>
                <w:sz w:val="24"/>
              </w:rPr>
              <w:t>项目支出绩效自评表</w:t>
            </w:r>
          </w:p>
        </w:tc>
      </w:tr>
      <w:tr w14:paraId="2EF15049">
        <w:tblPrEx>
          <w:tblCellMar>
            <w:top w:w="0" w:type="dxa"/>
            <w:left w:w="108" w:type="dxa"/>
            <w:bottom w:w="0" w:type="dxa"/>
            <w:right w:w="108" w:type="dxa"/>
          </w:tblCellMar>
        </w:tblPrEx>
        <w:tc>
          <w:tcPr>
            <w:tcW w:w="9056" w:type="dxa"/>
            <w:gridSpan w:val="15"/>
            <w:vAlign w:val="center"/>
          </w:tcPr>
          <w:p w14:paraId="4C101582">
            <w:pPr>
              <w:jc w:val="center"/>
            </w:pPr>
            <w:r>
              <w:rPr>
                <w:rFonts w:ascii="宋体" w:hAnsi="宋体" w:eastAsia="宋体"/>
                <w:sz w:val="24"/>
              </w:rPr>
              <w:t>(2024年度)</w:t>
            </w:r>
          </w:p>
        </w:tc>
      </w:tr>
      <w:tr w14:paraId="5D748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0EA1">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5EBBF00">
            <w:pPr>
              <w:jc w:val="center"/>
            </w:pPr>
            <w:r>
              <w:rPr>
                <w:rFonts w:ascii="宋体" w:hAnsi="宋体" w:eastAsia="宋体"/>
                <w:sz w:val="16"/>
              </w:rPr>
              <w:t>农村公路日常养护资金</w:t>
            </w:r>
          </w:p>
        </w:tc>
      </w:tr>
      <w:tr w14:paraId="224E93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02D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72240">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EDD0">
            <w:pPr>
              <w:jc w:val="center"/>
            </w:pPr>
            <w:r>
              <w:rPr>
                <w:rFonts w:ascii="宋体" w:hAnsi="宋体" w:eastAsia="宋体"/>
                <w:sz w:val="16"/>
              </w:rPr>
              <w:t>实施单位</w:t>
            </w:r>
          </w:p>
        </w:tc>
        <w:tc>
          <w:tcPr>
            <w:tcW w:w="330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C80C1">
            <w:pPr>
              <w:jc w:val="center"/>
            </w:pPr>
            <w:r>
              <w:rPr>
                <w:rFonts w:ascii="宋体" w:hAnsi="宋体" w:eastAsia="宋体"/>
                <w:sz w:val="16"/>
              </w:rPr>
              <w:t>塔什库尔干塔吉克自治县交通运输局</w:t>
            </w:r>
          </w:p>
        </w:tc>
      </w:tr>
      <w:tr w14:paraId="307B3E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60C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654F">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31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3B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B0BF">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71435">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7FD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072C">
            <w:pPr>
              <w:jc w:val="center"/>
            </w:pPr>
            <w:r>
              <w:rPr>
                <w:rFonts w:ascii="宋体" w:hAnsi="宋体" w:eastAsia="宋体"/>
                <w:sz w:val="16"/>
              </w:rPr>
              <w:t>得分</w:t>
            </w:r>
          </w:p>
        </w:tc>
      </w:tr>
      <w:tr w14:paraId="520767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A8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A3B39">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72B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8C9E">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622A">
            <w:pPr>
              <w:jc w:val="center"/>
            </w:pPr>
            <w:r>
              <w:rPr>
                <w:rFonts w:ascii="宋体" w:hAnsi="宋体" w:eastAsia="宋体"/>
                <w:sz w:val="16"/>
              </w:rPr>
              <w:t>192.03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B9DB">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10F8C">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0952">
            <w:pPr>
              <w:jc w:val="center"/>
            </w:pPr>
            <w:r>
              <w:rPr>
                <w:rFonts w:ascii="宋体" w:hAnsi="宋体" w:eastAsia="宋体"/>
                <w:sz w:val="16"/>
              </w:rPr>
              <w:t>5.87分</w:t>
            </w:r>
          </w:p>
        </w:tc>
      </w:tr>
      <w:tr w14:paraId="1EA64F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6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BA0C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A2E6">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C82AB">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ADF3">
            <w:pPr>
              <w:jc w:val="center"/>
            </w:pPr>
            <w:r>
              <w:rPr>
                <w:rFonts w:ascii="宋体" w:hAnsi="宋体" w:eastAsia="宋体"/>
                <w:sz w:val="16"/>
              </w:rPr>
              <w:t>192.03</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647B">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ACD8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F818">
            <w:pPr>
              <w:jc w:val="center"/>
            </w:pPr>
            <w:r>
              <w:rPr>
                <w:rFonts w:ascii="宋体" w:hAnsi="宋体" w:eastAsia="宋体"/>
                <w:sz w:val="16"/>
              </w:rPr>
              <w:t>—</w:t>
            </w:r>
          </w:p>
        </w:tc>
      </w:tr>
      <w:tr w14:paraId="3D441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A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FA5E8">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64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DE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A6364">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DDFA">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1BA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272E">
            <w:pPr>
              <w:jc w:val="center"/>
            </w:pPr>
            <w:r>
              <w:rPr>
                <w:rFonts w:ascii="宋体" w:hAnsi="宋体" w:eastAsia="宋体"/>
                <w:sz w:val="16"/>
              </w:rPr>
              <w:t>—</w:t>
            </w:r>
          </w:p>
        </w:tc>
      </w:tr>
      <w:tr w14:paraId="4559CE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245D6">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88D9A">
            <w:pPr>
              <w:jc w:val="center"/>
            </w:pPr>
            <w:r>
              <w:rPr>
                <w:rFonts w:ascii="宋体" w:hAnsi="宋体" w:eastAsia="宋体"/>
                <w:sz w:val="16"/>
              </w:rPr>
              <w:t>预期目标</w:t>
            </w:r>
          </w:p>
        </w:tc>
        <w:tc>
          <w:tcPr>
            <w:tcW w:w="39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649D4">
            <w:pPr>
              <w:jc w:val="center"/>
            </w:pPr>
            <w:r>
              <w:rPr>
                <w:rFonts w:ascii="宋体" w:hAnsi="宋体" w:eastAsia="宋体"/>
                <w:sz w:val="16"/>
              </w:rPr>
              <w:t>实际完成情况</w:t>
            </w:r>
          </w:p>
        </w:tc>
      </w:tr>
      <w:tr w14:paraId="2DFC5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E60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7C53D">
            <w:pPr>
              <w:jc w:val="both"/>
            </w:pPr>
            <w:r>
              <w:rPr>
                <w:rFonts w:ascii="宋体" w:hAnsi="宋体" w:eastAsia="宋体"/>
                <w:sz w:val="16"/>
              </w:rPr>
              <w:t>项目预算安排资金：230万，其中：财政资金230万，其他资金0万元。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通过该项目实施将进一步把农村公路建好、管好、护好、运营好，逐步消除制约农村公路发展的交通瓶颈，为广大农民致富奔小康提供更好的保障，确保通行群众满意度95%以上。</w:t>
            </w:r>
          </w:p>
        </w:tc>
        <w:tc>
          <w:tcPr>
            <w:tcW w:w="393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B096A">
            <w:pPr>
              <w:jc w:val="both"/>
            </w:pPr>
            <w:r>
              <w:rPr>
                <w:rFonts w:ascii="宋体" w:hAnsi="宋体" w:eastAsia="宋体"/>
                <w:sz w:val="16"/>
              </w:rPr>
              <w:t>该项目实际支出192.03万元，1、完成对瓦罕走廊C167线路面翻浆、路基下沉段进行换填并铺设路面；2、完成盘龙古道停车场清理平整；3、完成热斯喀木村温泉沟道路建设；4、完成对大同乡、马尔洋乡等五座危桥进行加固；5、完成90%的X614线、Y962线（托格伦夏）坑槽进行修补和沉降处进行特殊路基处理；6、对全县680公里村道进行自动化检测，并对全县所有桥梁进行检测。通过该项目的实施进一步做到了建好、管好、护好、运营好农村公路，逐步消除了制约农村公路发展的交通瓶颈，为广大农民致富奔小康提供了更好的保障。</w:t>
            </w:r>
          </w:p>
        </w:tc>
      </w:tr>
      <w:tr w14:paraId="1364D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480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E5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56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D5AF">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96D8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C1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B9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FA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AE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AA41">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20D522">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D16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C851">
            <w:pPr>
              <w:jc w:val="center"/>
            </w:pPr>
            <w:r>
              <w:rPr>
                <w:rFonts w:ascii="宋体" w:hAnsi="宋体" w:eastAsia="宋体"/>
                <w:sz w:val="16"/>
              </w:rPr>
              <w:t>偏差原因分析及改进措施</w:t>
            </w:r>
          </w:p>
        </w:tc>
      </w:tr>
      <w:tr w14:paraId="64BCC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36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5C6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5C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3089">
            <w:pPr>
              <w:jc w:val="center"/>
            </w:pPr>
            <w:r>
              <w:rPr>
                <w:rFonts w:ascii="宋体" w:hAnsi="宋体" w:eastAsia="宋体"/>
                <w:sz w:val="16"/>
              </w:rPr>
              <w:t>对瓦罕走廊C167线路面翻浆、路基下沉段进行换填并铺设路面</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19505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1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F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B0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5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5E3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AF43EA">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0DC81E6">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423851">
            <w:pPr>
              <w:jc w:val="center"/>
            </w:pPr>
          </w:p>
        </w:tc>
      </w:tr>
      <w:tr w14:paraId="75AE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D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EE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CF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18A7">
            <w:pPr>
              <w:jc w:val="center"/>
            </w:pPr>
            <w:r>
              <w:rPr>
                <w:rFonts w:ascii="宋体" w:hAnsi="宋体" w:eastAsia="宋体"/>
                <w:sz w:val="16"/>
              </w:rPr>
              <w:t>盘龙古道停车场清理平整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9091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E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C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1B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C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38A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A0642B">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3B001D7">
            <w:pPr>
              <w:jc w:val="center"/>
            </w:pPr>
            <w:r>
              <w:rPr>
                <w:rFonts w:ascii="宋体" w:hAnsi="宋体" w:eastAsia="宋体"/>
                <w:sz w:val="16"/>
              </w:rPr>
              <w:t>4.74</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58C11">
            <w:pPr>
              <w:jc w:val="center"/>
            </w:pPr>
            <w:r>
              <w:rPr>
                <w:rFonts w:ascii="宋体" w:hAnsi="宋体" w:eastAsia="宋体"/>
                <w:sz w:val="16"/>
              </w:rPr>
              <w:t>偏差原因：项目实施情况较好，盘龙古道停车场清理平整进度超预期，导致出现正偏差，改进措施：基于当前良好表现，重新审视绩效目标，在以后绩效目标设置时设置更具挑战性的目标，以推动业务持续发展</w:t>
            </w:r>
          </w:p>
        </w:tc>
      </w:tr>
      <w:tr w14:paraId="25BDB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F7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81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8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0C78">
            <w:pPr>
              <w:jc w:val="center"/>
            </w:pPr>
            <w:r>
              <w:rPr>
                <w:rFonts w:ascii="宋体" w:hAnsi="宋体" w:eastAsia="宋体"/>
                <w:sz w:val="16"/>
              </w:rPr>
              <w:t>热斯喀木村温泉沟道路建设</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24FF6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A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3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B3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3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F8A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22943C">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4BE3A36">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33BB1">
            <w:pPr>
              <w:jc w:val="center"/>
            </w:pPr>
          </w:p>
        </w:tc>
      </w:tr>
      <w:tr w14:paraId="33334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E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A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C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05DE">
            <w:pPr>
              <w:jc w:val="center"/>
            </w:pPr>
            <w:r>
              <w:rPr>
                <w:rFonts w:ascii="宋体" w:hAnsi="宋体" w:eastAsia="宋体"/>
                <w:sz w:val="16"/>
              </w:rPr>
              <w:t>对大同乡、马尔洋乡等五座危桥进行加固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2AB823">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0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4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AB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48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7B1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778915">
            <w:pPr>
              <w:jc w:val="center"/>
            </w:pPr>
            <w:r>
              <w:rPr>
                <w:rFonts w:ascii="宋体" w:hAnsi="宋体" w:eastAsia="宋体"/>
                <w:sz w:val="16"/>
              </w:rPr>
              <w:t>=5座</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3E782C8C">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96F47">
            <w:pPr>
              <w:jc w:val="center"/>
            </w:pPr>
          </w:p>
        </w:tc>
      </w:tr>
      <w:tr w14:paraId="198CA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D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6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F7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1264">
            <w:pPr>
              <w:jc w:val="center"/>
            </w:pPr>
            <w:r>
              <w:rPr>
                <w:rFonts w:ascii="宋体" w:hAnsi="宋体" w:eastAsia="宋体"/>
                <w:sz w:val="16"/>
              </w:rPr>
              <w:t>对X614线、Y962线（托格伦夏）坑槽进行修补和沉降处进行特殊路基处理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E4AC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4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B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3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3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DB0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170B1A">
            <w:pPr>
              <w:jc w:val="center"/>
            </w:pPr>
            <w:r>
              <w:rPr>
                <w:rFonts w:ascii="宋体" w:hAnsi="宋体" w:eastAsia="宋体"/>
                <w:sz w:val="16"/>
              </w:rPr>
              <w:t>=90%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17AAC7C8">
            <w:pPr>
              <w:jc w:val="center"/>
            </w:pPr>
            <w:r>
              <w:rPr>
                <w:rFonts w:ascii="宋体" w:hAnsi="宋体" w:eastAsia="宋体"/>
                <w:sz w:val="16"/>
              </w:rPr>
              <w:t>8.68</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3A7BE1">
            <w:pPr>
              <w:jc w:val="center"/>
            </w:pPr>
            <w:r>
              <w:rPr>
                <w:rFonts w:ascii="宋体" w:hAnsi="宋体" w:eastAsia="宋体"/>
                <w:sz w:val="16"/>
              </w:rPr>
              <w:t>目前工程量已完成90%，施工方正在完成剩余工程，预计今年第二季度验收，改进措施加强项目监控和管理，定期评估项目进展情况，及时进行项目调度，督促施工方加快项目进度。</w:t>
            </w:r>
          </w:p>
        </w:tc>
      </w:tr>
      <w:tr w14:paraId="2D99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9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EA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50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D8B1">
            <w:pPr>
              <w:jc w:val="center"/>
            </w:pPr>
            <w:r>
              <w:rPr>
                <w:rFonts w:ascii="宋体" w:hAnsi="宋体" w:eastAsia="宋体"/>
                <w:sz w:val="16"/>
              </w:rPr>
              <w:t>工程验收合格率（%）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FF8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BB0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B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8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7A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B86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523A78">
            <w:pPr>
              <w:jc w:val="center"/>
            </w:pPr>
            <w:r>
              <w:rPr>
                <w:rFonts w:ascii="宋体" w:hAnsi="宋体" w:eastAsia="宋体"/>
                <w:sz w:val="16"/>
              </w:rPr>
              <w:t>=90%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23710B54">
            <w:pPr>
              <w:jc w:val="center"/>
            </w:pPr>
            <w:r>
              <w:rPr>
                <w:rFonts w:ascii="宋体" w:hAnsi="宋体" w:eastAsia="宋体"/>
                <w:sz w:val="16"/>
              </w:rPr>
              <w:t>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080394">
            <w:pPr>
              <w:jc w:val="center"/>
            </w:pPr>
            <w:r>
              <w:rPr>
                <w:rFonts w:ascii="宋体" w:hAnsi="宋体" w:eastAsia="宋体"/>
                <w:sz w:val="16"/>
              </w:rPr>
              <w:t>目前工程量已完成90%，施工方正在完成剩余工程，预计今年第二季度验收，改进措施加强项目监控和管理，定期评估项目进展情况，及时进行项目调度，督促施工方加快项目进度。</w:t>
            </w:r>
          </w:p>
        </w:tc>
      </w:tr>
      <w:tr w14:paraId="6684E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0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0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63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E1F7">
            <w:pPr>
              <w:jc w:val="center"/>
            </w:pPr>
            <w:r>
              <w:rPr>
                <w:rFonts w:ascii="宋体" w:hAnsi="宋体" w:eastAsia="宋体"/>
                <w:sz w:val="16"/>
              </w:rPr>
              <w:t>按期完成投资率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01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1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6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2E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D8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F12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452DB1">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4BCA0D1">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799125">
            <w:pPr>
              <w:jc w:val="center"/>
            </w:pPr>
            <w:r>
              <w:rPr>
                <w:rFonts w:ascii="宋体" w:hAnsi="宋体" w:eastAsia="宋体"/>
                <w:sz w:val="16"/>
              </w:rPr>
              <w:t>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tc>
      </w:tr>
      <w:tr w14:paraId="7C15F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20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BDA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F7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B861">
            <w:pPr>
              <w:jc w:val="center"/>
            </w:pPr>
            <w:r>
              <w:rPr>
                <w:rFonts w:ascii="宋体" w:hAnsi="宋体" w:eastAsia="宋体"/>
                <w:sz w:val="16"/>
              </w:rPr>
              <w:t>道路养护成本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F0E1BB">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C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9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B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5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0CD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69897F">
            <w:pPr>
              <w:jc w:val="center"/>
            </w:pPr>
            <w:r>
              <w:rPr>
                <w:rFonts w:ascii="宋体" w:hAnsi="宋体" w:eastAsia="宋体"/>
                <w:sz w:val="16"/>
              </w:rPr>
              <w:t>=192.03万元</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7016B89A">
            <w:pPr>
              <w:jc w:val="center"/>
            </w:pPr>
            <w:r>
              <w:rPr>
                <w:rFonts w:ascii="宋体" w:hAnsi="宋体" w:eastAsia="宋体"/>
                <w:sz w:val="16"/>
              </w:rPr>
              <w:t>5.87</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80602">
            <w:pPr>
              <w:jc w:val="center"/>
            </w:pPr>
            <w:r>
              <w:rPr>
                <w:rFonts w:ascii="宋体" w:hAnsi="宋体" w:eastAsia="宋体"/>
                <w:sz w:val="16"/>
              </w:rPr>
              <w:t>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tc>
      </w:tr>
      <w:tr w14:paraId="7C61B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AE8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755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B44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EA77">
            <w:pPr>
              <w:jc w:val="center"/>
            </w:pPr>
            <w:r>
              <w:rPr>
                <w:rFonts w:ascii="宋体" w:hAnsi="宋体" w:eastAsia="宋体"/>
                <w:sz w:val="16"/>
              </w:rPr>
              <w:t>对经济发展促进作用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9A6C5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7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6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7B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DF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8B5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861EC5">
            <w:pPr>
              <w:jc w:val="center"/>
            </w:pPr>
            <w:r>
              <w:rPr>
                <w:rFonts w:ascii="宋体" w:hAnsi="宋体" w:eastAsia="宋体"/>
                <w:sz w:val="16"/>
              </w:rPr>
              <w:t>明显提升</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C83705F">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64AAF8">
            <w:pPr>
              <w:jc w:val="center"/>
            </w:pPr>
          </w:p>
        </w:tc>
      </w:tr>
      <w:tr w14:paraId="12619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2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4E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FD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334A">
            <w:pPr>
              <w:jc w:val="center"/>
            </w:pPr>
            <w:r>
              <w:rPr>
                <w:rFonts w:ascii="宋体" w:hAnsi="宋体" w:eastAsia="宋体"/>
                <w:sz w:val="16"/>
              </w:rPr>
              <w:t>项目适应未来一定时期交通需求</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B776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6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9B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62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C6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0B6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739FA2">
            <w:pPr>
              <w:jc w:val="center"/>
            </w:pPr>
            <w:r>
              <w:rPr>
                <w:rFonts w:ascii="宋体" w:hAnsi="宋体" w:eastAsia="宋体"/>
                <w:sz w:val="16"/>
              </w:rPr>
              <w:t>明显</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4FE8A244">
            <w:pPr>
              <w:jc w:val="center"/>
            </w:pPr>
            <w:r>
              <w:rPr>
                <w:rFonts w:ascii="宋体" w:hAnsi="宋体" w:eastAsia="宋体"/>
                <w:sz w:val="16"/>
              </w:rPr>
              <w:t>5</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6CC315">
            <w:pPr>
              <w:jc w:val="center"/>
            </w:pPr>
          </w:p>
        </w:tc>
      </w:tr>
      <w:tr w14:paraId="0FD5F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B0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99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650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505A">
            <w:pPr>
              <w:jc w:val="center"/>
            </w:pPr>
            <w:r>
              <w:rPr>
                <w:rFonts w:ascii="宋体" w:hAnsi="宋体" w:eastAsia="宋体"/>
                <w:sz w:val="16"/>
              </w:rPr>
              <w:t>交通建设符合环评审批要求</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AEB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1AB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F8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0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FB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5AA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1BC4C4">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7CB72295">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1818A0">
            <w:pPr>
              <w:jc w:val="center"/>
            </w:pPr>
          </w:p>
        </w:tc>
      </w:tr>
      <w:tr w14:paraId="3D617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76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B0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4C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AE33">
            <w:pPr>
              <w:jc w:val="center"/>
            </w:pPr>
            <w:r>
              <w:rPr>
                <w:rFonts w:ascii="宋体" w:hAnsi="宋体" w:eastAsia="宋体"/>
                <w:sz w:val="16"/>
              </w:rPr>
              <w:t>受益道路使用者满意度（%）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0EC0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E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D5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0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22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5ED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BF1B1B">
            <w:pPr>
              <w:jc w:val="center"/>
            </w:pPr>
            <w:r>
              <w:rPr>
                <w:rFonts w:ascii="宋体" w:hAnsi="宋体" w:eastAsia="宋体"/>
                <w:sz w:val="16"/>
              </w:rPr>
              <w:t>=100%</w:t>
            </w:r>
          </w:p>
        </w:tc>
        <w:tc>
          <w:tcPr>
            <w:tcW w:w="449" w:type="dxa"/>
            <w:tcBorders>
              <w:top w:val="single" w:color="auto" w:sz="10" w:space="0"/>
              <w:left w:val="single" w:color="auto" w:sz="10" w:space="0"/>
              <w:bottom w:val="single" w:color="auto" w:sz="10" w:space="0"/>
              <w:right w:val="single" w:color="auto" w:sz="10" w:space="0"/>
              <w:insideV w:val="single" w:sz="10" w:space="0"/>
            </w:tcBorders>
            <w:vAlign w:val="center"/>
          </w:tcPr>
          <w:p w14:paraId="520EDD97">
            <w:pPr>
              <w:jc w:val="center"/>
            </w:pPr>
            <w:r>
              <w:rPr>
                <w:rFonts w:ascii="宋体" w:hAnsi="宋体" w:eastAsia="宋体"/>
                <w:sz w:val="16"/>
              </w:rPr>
              <w:t>10</w:t>
            </w:r>
          </w:p>
        </w:tc>
        <w:tc>
          <w:tcPr>
            <w:tcW w:w="14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58C64D">
            <w:pPr>
              <w:jc w:val="center"/>
            </w:pPr>
            <w:r>
              <w:rPr>
                <w:rFonts w:ascii="宋体" w:hAnsi="宋体" w:eastAsia="宋体"/>
                <w:sz w:val="16"/>
              </w:rPr>
              <w:t>项目完成情况较好，实际受益道路使用者满意度较高，所以指标出现正偏差</w:t>
            </w:r>
          </w:p>
        </w:tc>
      </w:tr>
      <w:tr w14:paraId="2B78E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0F4A">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E8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6896">
            <w:pPr>
              <w:jc w:val="center"/>
            </w:pPr>
            <w:r>
              <w:rPr>
                <w:rFonts w:ascii="宋体" w:hAnsi="宋体" w:eastAsia="宋体"/>
                <w:sz w:val="16"/>
              </w:rPr>
              <w:t>得分</w:t>
            </w:r>
          </w:p>
        </w:tc>
        <w:tc>
          <w:tcPr>
            <w:tcW w:w="330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A610E">
            <w:pPr>
              <w:jc w:val="center"/>
            </w:pPr>
            <w:r>
              <w:rPr>
                <w:rFonts w:ascii="宋体" w:hAnsi="宋体" w:eastAsia="宋体"/>
                <w:sz w:val="16"/>
              </w:rPr>
              <w:t>80.16分</w:t>
            </w:r>
          </w:p>
        </w:tc>
      </w:tr>
    </w:tbl>
    <w:p w14:paraId="44978A3D">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5EC8A5F4">
        <w:tblPrEx>
          <w:tblCellMar>
            <w:top w:w="0" w:type="dxa"/>
            <w:left w:w="108" w:type="dxa"/>
            <w:bottom w:w="0" w:type="dxa"/>
            <w:right w:w="108" w:type="dxa"/>
          </w:tblCellMar>
        </w:tblPrEx>
        <w:tc>
          <w:tcPr>
            <w:tcW w:w="8848" w:type="dxa"/>
            <w:gridSpan w:val="14"/>
            <w:vAlign w:val="center"/>
          </w:tcPr>
          <w:p w14:paraId="39891F27">
            <w:pPr>
              <w:jc w:val="center"/>
            </w:pPr>
            <w:r>
              <w:rPr>
                <w:rFonts w:ascii="宋体" w:hAnsi="宋体" w:eastAsia="宋体"/>
                <w:sz w:val="24"/>
              </w:rPr>
              <w:t>项目支出绩效自评表</w:t>
            </w:r>
          </w:p>
        </w:tc>
      </w:tr>
      <w:tr w14:paraId="18650247">
        <w:tblPrEx>
          <w:tblCellMar>
            <w:top w:w="0" w:type="dxa"/>
            <w:left w:w="108" w:type="dxa"/>
            <w:bottom w:w="0" w:type="dxa"/>
            <w:right w:w="108" w:type="dxa"/>
          </w:tblCellMar>
        </w:tblPrEx>
        <w:tc>
          <w:tcPr>
            <w:tcW w:w="8848" w:type="dxa"/>
            <w:gridSpan w:val="14"/>
            <w:vAlign w:val="center"/>
          </w:tcPr>
          <w:p w14:paraId="68B8B905">
            <w:pPr>
              <w:jc w:val="center"/>
            </w:pPr>
            <w:r>
              <w:rPr>
                <w:rFonts w:ascii="宋体" w:hAnsi="宋体" w:eastAsia="宋体"/>
                <w:sz w:val="24"/>
              </w:rPr>
              <w:t>(2024年度)</w:t>
            </w:r>
          </w:p>
        </w:tc>
      </w:tr>
      <w:tr w14:paraId="08E3C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C5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705652">
            <w:pPr>
              <w:jc w:val="center"/>
            </w:pPr>
            <w:r>
              <w:rPr>
                <w:rFonts w:ascii="宋体" w:hAnsi="宋体" w:eastAsia="宋体"/>
                <w:sz w:val="16"/>
              </w:rPr>
              <w:t>车辆购置税收入补助地方（第三批农村公路建设）（2024年车购税“以奖代补”清算资金农村道路改建项目）</w:t>
            </w:r>
          </w:p>
        </w:tc>
      </w:tr>
      <w:tr w14:paraId="5AACF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3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ADD97">
            <w:pPr>
              <w:jc w:val="center"/>
            </w:pPr>
            <w:r>
              <w:rPr>
                <w:rFonts w:ascii="宋体" w:hAnsi="宋体" w:eastAsia="宋体"/>
                <w:sz w:val="16"/>
              </w:rPr>
              <w:t>塔什库尔干塔吉克自治县交通运输局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67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08ECF5">
            <w:pPr>
              <w:jc w:val="center"/>
            </w:pPr>
            <w:r>
              <w:rPr>
                <w:rFonts w:ascii="宋体" w:hAnsi="宋体" w:eastAsia="宋体"/>
                <w:sz w:val="16"/>
              </w:rPr>
              <w:t>塔什库尔干塔吉克自治县交通运输局</w:t>
            </w:r>
          </w:p>
        </w:tc>
      </w:tr>
      <w:tr w14:paraId="081E5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B98B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84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1B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E7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16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5D4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44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8BE8">
            <w:pPr>
              <w:jc w:val="center"/>
            </w:pPr>
            <w:r>
              <w:rPr>
                <w:rFonts w:ascii="宋体" w:hAnsi="宋体" w:eastAsia="宋体"/>
                <w:sz w:val="16"/>
              </w:rPr>
              <w:t>得分</w:t>
            </w:r>
          </w:p>
        </w:tc>
      </w:tr>
      <w:tr w14:paraId="6C372C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CB7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F9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8D9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D2FD">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A2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DE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E20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1407">
            <w:pPr>
              <w:jc w:val="center"/>
            </w:pPr>
            <w:r>
              <w:rPr>
                <w:rFonts w:ascii="宋体" w:hAnsi="宋体" w:eastAsia="宋体"/>
                <w:sz w:val="16"/>
              </w:rPr>
              <w:t>10.00分</w:t>
            </w:r>
          </w:p>
        </w:tc>
      </w:tr>
      <w:tr w14:paraId="4F3E6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E4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7C1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F7C4">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FF88">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681F">
            <w:pPr>
              <w:jc w:val="center"/>
            </w:pPr>
            <w:r>
              <w:rPr>
                <w:rFonts w:ascii="宋体" w:hAnsi="宋体" w:eastAsia="宋体"/>
                <w:sz w:val="16"/>
              </w:rPr>
              <w:t>102.21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96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7F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D1C">
            <w:pPr>
              <w:jc w:val="center"/>
            </w:pPr>
            <w:r>
              <w:rPr>
                <w:rFonts w:ascii="宋体" w:hAnsi="宋体" w:eastAsia="宋体"/>
                <w:sz w:val="16"/>
              </w:rPr>
              <w:t>—</w:t>
            </w:r>
          </w:p>
        </w:tc>
      </w:tr>
      <w:tr w14:paraId="65242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98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3C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7E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07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9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6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96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23A0">
            <w:pPr>
              <w:jc w:val="center"/>
            </w:pPr>
            <w:r>
              <w:rPr>
                <w:rFonts w:ascii="宋体" w:hAnsi="宋体" w:eastAsia="宋体"/>
                <w:sz w:val="16"/>
              </w:rPr>
              <w:t>—</w:t>
            </w:r>
          </w:p>
        </w:tc>
      </w:tr>
      <w:tr w14:paraId="14D5A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6EE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99D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06680">
            <w:pPr>
              <w:jc w:val="center"/>
            </w:pPr>
            <w:r>
              <w:rPr>
                <w:rFonts w:ascii="宋体" w:hAnsi="宋体" w:eastAsia="宋体"/>
                <w:sz w:val="16"/>
              </w:rPr>
              <w:t>实际完成情况</w:t>
            </w:r>
          </w:p>
        </w:tc>
      </w:tr>
      <w:tr w14:paraId="62063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ACA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CAC98">
            <w:pPr>
              <w:jc w:val="both"/>
            </w:pPr>
            <w:r>
              <w:rPr>
                <w:rFonts w:ascii="宋体" w:hAnsi="宋体" w:eastAsia="宋体"/>
                <w:sz w:val="16"/>
              </w:rPr>
              <w:t>安排资金：102.21万，其中：财政资金102.21万，其他资金0万元。建设2.1公里农村道路及安全防护设施。通过该项目实施将进一步把农村公路建好、管好、护好、运营好，逐步消除制约农村公路发展的交通瓶颈，为广大农民致富奔小康提供更好的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6A5A9">
            <w:pPr>
              <w:jc w:val="both"/>
            </w:pPr>
            <w:r>
              <w:rPr>
                <w:rFonts w:ascii="宋体" w:hAnsi="宋体" w:eastAsia="宋体"/>
                <w:sz w:val="16"/>
              </w:rPr>
              <w:t>项目实际支出资金102.21万元，建设2.1公里农村道路及安全防护设施。通过该项</w:t>
            </w:r>
            <w:r>
              <w:rPr>
                <w:rFonts w:hint="eastAsia" w:ascii="宋体" w:hAnsi="宋体"/>
                <w:sz w:val="16"/>
                <w:lang w:eastAsia="zh-CN"/>
              </w:rPr>
              <w:t>目的</w:t>
            </w:r>
            <w:r>
              <w:rPr>
                <w:rFonts w:ascii="宋体" w:hAnsi="宋体" w:eastAsia="宋体"/>
                <w:sz w:val="16"/>
              </w:rPr>
              <w:t>实施将进一步把农村公路建好、管好、护好、运营好，逐步消除制约农村公路发展的交通瓶颈，为广大农民致富奔小康提供更好的保障，提升农村交通便利及安全性，该项目可持续影响年限为8年，受益群众满意度达到100%。</w:t>
            </w:r>
          </w:p>
        </w:tc>
      </w:tr>
      <w:tr w14:paraId="2FC43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65C2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6B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DE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A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96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93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0E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A7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04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52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D6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E3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4D70">
            <w:pPr>
              <w:jc w:val="center"/>
            </w:pPr>
            <w:r>
              <w:rPr>
                <w:rFonts w:ascii="宋体" w:hAnsi="宋体" w:eastAsia="宋体"/>
                <w:sz w:val="16"/>
              </w:rPr>
              <w:t>偏差原因分析及改进措施</w:t>
            </w:r>
          </w:p>
        </w:tc>
      </w:tr>
      <w:tr w14:paraId="61C22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B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E92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9E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0BD9">
            <w:pPr>
              <w:jc w:val="center"/>
            </w:pPr>
            <w:r>
              <w:rPr>
                <w:rFonts w:ascii="宋体" w:hAnsi="宋体" w:eastAsia="宋体"/>
                <w:sz w:val="16"/>
              </w:rPr>
              <w:t>新建道路里程（公里）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9F5">
            <w:pPr>
              <w:jc w:val="center"/>
            </w:pPr>
            <w:r>
              <w:rPr>
                <w:rFonts w:ascii="宋体" w:hAnsi="宋体" w:eastAsia="宋体"/>
                <w:sz w:val="16"/>
              </w:rPr>
              <w:t>&gt;=2.1公里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4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1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A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71AF">
            <w:pPr>
              <w:jc w:val="center"/>
            </w:pPr>
            <w:r>
              <w:rPr>
                <w:rFonts w:ascii="宋体" w:hAnsi="宋体" w:eastAsia="宋体"/>
                <w:sz w:val="16"/>
              </w:rPr>
              <w:t>=2.1公里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F8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5E4C5">
            <w:pPr>
              <w:jc w:val="center"/>
            </w:pPr>
          </w:p>
        </w:tc>
      </w:tr>
      <w:tr w14:paraId="376ED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85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1A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5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3A6A">
            <w:pPr>
              <w:jc w:val="center"/>
            </w:pPr>
            <w:r>
              <w:rPr>
                <w:rFonts w:ascii="宋体" w:hAnsi="宋体" w:eastAsia="宋体"/>
                <w:sz w:val="16"/>
              </w:rPr>
              <w:t>项目建设完工合格率（%）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3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5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F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5B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5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3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515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CE13">
            <w:pPr>
              <w:jc w:val="center"/>
            </w:pPr>
          </w:p>
        </w:tc>
      </w:tr>
      <w:tr w14:paraId="12374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0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02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F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194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6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F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5F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F06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44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9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E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EF5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B2BD">
            <w:pPr>
              <w:jc w:val="center"/>
            </w:pPr>
          </w:p>
        </w:tc>
      </w:tr>
      <w:tr w14:paraId="76E60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EB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D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E2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77EA">
            <w:pPr>
              <w:jc w:val="center"/>
            </w:pPr>
            <w:r>
              <w:rPr>
                <w:rFonts w:ascii="宋体" w:hAnsi="宋体" w:eastAsia="宋体"/>
                <w:sz w:val="16"/>
              </w:rPr>
              <w:t>总投入资金金额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C771">
            <w:pPr>
              <w:jc w:val="center"/>
            </w:pPr>
            <w:r>
              <w:rPr>
                <w:rFonts w:ascii="宋体" w:hAnsi="宋体" w:eastAsia="宋体"/>
                <w:sz w:val="16"/>
              </w:rPr>
              <w:t>&lt;=102.21万元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8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5D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9E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C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3C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FC7E">
            <w:pPr>
              <w:jc w:val="center"/>
            </w:pPr>
            <w:r>
              <w:rPr>
                <w:rFonts w:ascii="宋体" w:hAnsi="宋体" w:eastAsia="宋体"/>
                <w:sz w:val="16"/>
              </w:rPr>
              <w:t>=102.21万元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22D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3C8A">
            <w:pPr>
              <w:jc w:val="center"/>
            </w:pPr>
          </w:p>
        </w:tc>
      </w:tr>
      <w:tr w14:paraId="452A0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C1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1CB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32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E81A">
            <w:pPr>
              <w:jc w:val="center"/>
            </w:pPr>
            <w:r>
              <w:rPr>
                <w:rFonts w:ascii="宋体" w:hAnsi="宋体" w:eastAsia="宋体"/>
                <w:sz w:val="16"/>
              </w:rPr>
              <w:t>提升农村交通便利及安全性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DBA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B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0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B7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1C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E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65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3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3669">
            <w:pPr>
              <w:jc w:val="center"/>
            </w:pPr>
          </w:p>
        </w:tc>
      </w:tr>
      <w:tr w14:paraId="07A60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2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C3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64A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9BD0">
            <w:pPr>
              <w:jc w:val="center"/>
            </w:pPr>
            <w:r>
              <w:rPr>
                <w:rFonts w:ascii="宋体" w:hAnsi="宋体" w:eastAsia="宋体"/>
                <w:sz w:val="16"/>
              </w:rPr>
              <w:t>该项目可持续影响年限（年）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A29E">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B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09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C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77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0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B4E9">
            <w:pPr>
              <w:jc w:val="center"/>
            </w:pPr>
            <w:r>
              <w:rPr>
                <w:rFonts w:ascii="宋体" w:hAnsi="宋体" w:eastAsia="宋体"/>
                <w:sz w:val="16"/>
              </w:rPr>
              <w:t>=8年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FD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B66C">
            <w:pPr>
              <w:jc w:val="center"/>
            </w:pPr>
          </w:p>
        </w:tc>
      </w:tr>
      <w:tr w14:paraId="74901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A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33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D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206D">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7D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6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5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9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A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5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1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E71D">
            <w:pPr>
              <w:jc w:val="center"/>
            </w:pPr>
            <w:r>
              <w:rPr>
                <w:rFonts w:ascii="宋体" w:hAnsi="宋体" w:eastAsia="宋体"/>
                <w:sz w:val="16"/>
              </w:rPr>
              <w:t>项目完成情况较好，实际受益群众满意度较高，所以指标出现正偏差</w:t>
            </w:r>
          </w:p>
        </w:tc>
      </w:tr>
      <w:tr w14:paraId="7856D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09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44B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EB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BF642">
            <w:pPr>
              <w:jc w:val="center"/>
            </w:pPr>
            <w:r>
              <w:rPr>
                <w:rFonts w:ascii="宋体" w:hAnsi="宋体" w:eastAsia="宋体"/>
                <w:sz w:val="16"/>
              </w:rPr>
              <w:t>100分</w:t>
            </w:r>
          </w:p>
        </w:tc>
      </w:tr>
    </w:tbl>
    <w:p w14:paraId="637C5768">
      <w:r>
        <w:br w:type="page"/>
      </w:r>
    </w:p>
    <w:p w14:paraId="671C465E">
      <w:pPr>
        <w:spacing w:line="640" w:lineRule="exact"/>
        <w:ind w:firstLine="640"/>
        <w:jc w:val="both"/>
        <w:outlineLvl w:val="2"/>
      </w:pPr>
      <w:r>
        <w:rPr>
          <w:rFonts w:ascii="黑体" w:hAnsi="黑体" w:eastAsia="黑体"/>
          <w:sz w:val="32"/>
        </w:rPr>
        <w:t>十二、其他需说明的事项</w:t>
      </w:r>
    </w:p>
    <w:p w14:paraId="6F22A418">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E3FB492">
      <w:r>
        <w:br w:type="page"/>
      </w:r>
    </w:p>
    <w:p w14:paraId="4295DC4B">
      <w:pPr>
        <w:spacing w:line="240" w:lineRule="auto"/>
        <w:jc w:val="center"/>
        <w:outlineLvl w:val="1"/>
      </w:pPr>
      <w:r>
        <w:rPr>
          <w:rFonts w:ascii="黑体" w:hAnsi="黑体" w:eastAsia="黑体"/>
          <w:sz w:val="32"/>
        </w:rPr>
        <w:t>第三部分 专业名词解释</w:t>
      </w:r>
    </w:p>
    <w:p w14:paraId="5C5C095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0300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04DB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3B23F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A400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28D8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4E43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E37D7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6380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85ED6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33151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02F36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A2FA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14DE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4BF7B1">
      <w:r>
        <w:br w:type="page"/>
      </w:r>
    </w:p>
    <w:p w14:paraId="4E42E042">
      <w:pPr>
        <w:spacing w:line="240" w:lineRule="auto"/>
        <w:jc w:val="center"/>
        <w:outlineLvl w:val="1"/>
      </w:pPr>
      <w:r>
        <w:rPr>
          <w:rFonts w:ascii="黑体" w:hAnsi="黑体" w:eastAsia="黑体"/>
          <w:sz w:val="32"/>
        </w:rPr>
        <w:t>第四部分 部门决算报表（见附表）</w:t>
      </w:r>
    </w:p>
    <w:p w14:paraId="2AF1328C">
      <w:pPr>
        <w:spacing w:line="240" w:lineRule="auto"/>
        <w:ind w:firstLine="640"/>
        <w:jc w:val="both"/>
      </w:pPr>
      <w:r>
        <w:rPr>
          <w:rFonts w:ascii="仿宋_GB2312" w:hAnsi="仿宋_GB2312" w:eastAsia="仿宋_GB2312"/>
          <w:b w:val="0"/>
          <w:sz w:val="32"/>
        </w:rPr>
        <w:t>一、《收入支出决算总表》</w:t>
      </w:r>
    </w:p>
    <w:p w14:paraId="2B1FF16A">
      <w:pPr>
        <w:spacing w:line="240" w:lineRule="auto"/>
        <w:ind w:firstLine="640"/>
        <w:jc w:val="both"/>
      </w:pPr>
      <w:r>
        <w:rPr>
          <w:rFonts w:ascii="仿宋_GB2312" w:hAnsi="仿宋_GB2312" w:eastAsia="仿宋_GB2312"/>
          <w:b w:val="0"/>
          <w:sz w:val="32"/>
        </w:rPr>
        <w:t>二、《收入决算表》</w:t>
      </w:r>
    </w:p>
    <w:p w14:paraId="3F8E6FB7">
      <w:pPr>
        <w:spacing w:line="240" w:lineRule="auto"/>
        <w:ind w:firstLine="640"/>
        <w:jc w:val="both"/>
      </w:pPr>
      <w:r>
        <w:rPr>
          <w:rFonts w:ascii="仿宋_GB2312" w:hAnsi="仿宋_GB2312" w:eastAsia="仿宋_GB2312"/>
          <w:b w:val="0"/>
          <w:sz w:val="32"/>
        </w:rPr>
        <w:t>三、《支出决算表》</w:t>
      </w:r>
    </w:p>
    <w:p w14:paraId="70CB40D3">
      <w:pPr>
        <w:spacing w:line="240" w:lineRule="auto"/>
        <w:ind w:firstLine="640"/>
        <w:jc w:val="both"/>
      </w:pPr>
      <w:r>
        <w:rPr>
          <w:rFonts w:ascii="仿宋_GB2312" w:hAnsi="仿宋_GB2312" w:eastAsia="仿宋_GB2312"/>
          <w:b w:val="0"/>
          <w:sz w:val="32"/>
        </w:rPr>
        <w:t>四、《财政拨款收入支出决算总表》</w:t>
      </w:r>
    </w:p>
    <w:p w14:paraId="4A678247">
      <w:pPr>
        <w:spacing w:line="240" w:lineRule="auto"/>
        <w:ind w:firstLine="640"/>
        <w:jc w:val="both"/>
      </w:pPr>
      <w:r>
        <w:rPr>
          <w:rFonts w:ascii="仿宋_GB2312" w:hAnsi="仿宋_GB2312" w:eastAsia="仿宋_GB2312"/>
          <w:b w:val="0"/>
          <w:sz w:val="32"/>
        </w:rPr>
        <w:t>五、《一般公共预算财政拨款支出决算表》</w:t>
      </w:r>
    </w:p>
    <w:p w14:paraId="6F19F3FF">
      <w:pPr>
        <w:spacing w:line="240" w:lineRule="auto"/>
        <w:ind w:firstLine="640"/>
        <w:jc w:val="both"/>
      </w:pPr>
      <w:r>
        <w:rPr>
          <w:rFonts w:ascii="仿宋_GB2312" w:hAnsi="仿宋_GB2312" w:eastAsia="仿宋_GB2312"/>
          <w:b w:val="0"/>
          <w:sz w:val="32"/>
        </w:rPr>
        <w:t>六、《一般公共预算财政拨款基本支出决算表》</w:t>
      </w:r>
    </w:p>
    <w:p w14:paraId="48A00F75">
      <w:pPr>
        <w:spacing w:line="240" w:lineRule="auto"/>
        <w:ind w:firstLine="640"/>
        <w:jc w:val="both"/>
      </w:pPr>
      <w:r>
        <w:rPr>
          <w:rFonts w:ascii="仿宋_GB2312" w:hAnsi="仿宋_GB2312" w:eastAsia="仿宋_GB2312"/>
          <w:b w:val="0"/>
          <w:sz w:val="32"/>
        </w:rPr>
        <w:t>七、《政府性基金预算财政拨款收入支出决算表》</w:t>
      </w:r>
    </w:p>
    <w:p w14:paraId="5E5844B7">
      <w:pPr>
        <w:spacing w:line="240" w:lineRule="auto"/>
        <w:ind w:firstLine="640"/>
        <w:jc w:val="both"/>
      </w:pPr>
      <w:r>
        <w:rPr>
          <w:rFonts w:ascii="仿宋_GB2312" w:hAnsi="仿宋_GB2312" w:eastAsia="仿宋_GB2312"/>
          <w:b w:val="0"/>
          <w:sz w:val="32"/>
        </w:rPr>
        <w:t>八、《国有资本经营预算财政拨款收入支出决算表》</w:t>
      </w:r>
    </w:p>
    <w:p w14:paraId="51C12C55">
      <w:pPr>
        <w:spacing w:line="240" w:lineRule="auto"/>
        <w:ind w:firstLine="640"/>
        <w:jc w:val="both"/>
      </w:pPr>
      <w:r>
        <w:rPr>
          <w:rFonts w:ascii="仿宋_GB2312" w:hAnsi="仿宋_GB2312" w:eastAsia="仿宋_GB2312"/>
          <w:b w:val="0"/>
          <w:sz w:val="32"/>
        </w:rPr>
        <w:t>九、《财政拨款“三公”经费支出决算表》</w:t>
      </w:r>
    </w:p>
    <w:p w14:paraId="22CE1DEA">
      <w:pPr>
        <w:spacing w:line="240" w:lineRule="auto"/>
        <w:ind w:firstLine="640"/>
        <w:jc w:val="both"/>
      </w:pPr>
    </w:p>
    <w:p w14:paraId="1C275A8D">
      <w:pPr>
        <w:spacing w:line="240" w:lineRule="auto"/>
        <w:ind w:firstLine="640"/>
        <w:jc w:val="both"/>
      </w:pPr>
    </w:p>
    <w:p w14:paraId="0284415A">
      <w:pPr>
        <w:spacing w:line="240" w:lineRule="auto"/>
        <w:ind w:firstLine="640"/>
        <w:jc w:val="both"/>
      </w:pPr>
    </w:p>
    <w:p w14:paraId="1D72B25D">
      <w:pPr>
        <w:spacing w:line="240" w:lineRule="auto"/>
        <w:ind w:firstLine="640"/>
        <w:jc w:val="both"/>
      </w:pPr>
    </w:p>
    <w:p w14:paraId="729028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5D1F5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840D74"/>
    <w:rsid w:val="2DAE0E44"/>
    <w:rsid w:val="2FD27414"/>
    <w:rsid w:val="313F1D52"/>
    <w:rsid w:val="318029AB"/>
    <w:rsid w:val="31C63837"/>
    <w:rsid w:val="326F0A17"/>
    <w:rsid w:val="3277581B"/>
    <w:rsid w:val="38006E2C"/>
    <w:rsid w:val="3914510A"/>
    <w:rsid w:val="3A983C7C"/>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C32940"/>
    <w:rsid w:val="5FA17648"/>
    <w:rsid w:val="5FD320BD"/>
    <w:rsid w:val="60DE4D57"/>
    <w:rsid w:val="613409CB"/>
    <w:rsid w:val="61A46A97"/>
    <w:rsid w:val="61E90CA8"/>
    <w:rsid w:val="62DD7D21"/>
    <w:rsid w:val="65D97752"/>
    <w:rsid w:val="664C500C"/>
    <w:rsid w:val="67D111AB"/>
    <w:rsid w:val="68DB0208"/>
    <w:rsid w:val="68DF36D5"/>
    <w:rsid w:val="69846A0E"/>
    <w:rsid w:val="69AD798C"/>
    <w:rsid w:val="69B84C41"/>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9148</Words>
  <Characters>10410</Characters>
  <Lines>0</Lines>
  <Paragraphs>0</Paragraphs>
  <TotalTime>7</TotalTime>
  <ScaleCrop>false</ScaleCrop>
  <LinksUpToDate>false</LinksUpToDate>
  <CharactersWithSpaces>10431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