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E686C3">
      <w:r>
        <w:br w:type="page"/>
      </w:r>
    </w:p>
    <w:p w14:paraId="7C0B23E8">
      <w:pPr>
        <w:spacing w:line="640" w:lineRule="exact"/>
        <w:jc w:val="center"/>
        <w:outlineLvl w:val="1"/>
      </w:pPr>
      <w:r>
        <w:rPr>
          <w:rFonts w:ascii="黑体" w:hAnsi="黑体" w:eastAsia="黑体"/>
          <w:sz w:val="32"/>
        </w:rPr>
        <w:t>第一部分 单位概况</w:t>
      </w:r>
    </w:p>
    <w:p w14:paraId="21EC229E">
      <w:pPr>
        <w:spacing w:line="640" w:lineRule="exact"/>
        <w:ind w:firstLine="640"/>
        <w:jc w:val="both"/>
        <w:outlineLvl w:val="2"/>
      </w:pPr>
      <w:r>
        <w:rPr>
          <w:rFonts w:ascii="黑体" w:hAnsi="黑体" w:eastAsia="黑体"/>
          <w:sz w:val="32"/>
        </w:rPr>
        <w:t>一、主要职能</w:t>
      </w:r>
    </w:p>
    <w:p w14:paraId="19A32442">
      <w:pPr>
        <w:spacing w:line="580" w:lineRule="exact"/>
        <w:ind w:firstLine="640"/>
        <w:jc w:val="both"/>
      </w:pPr>
      <w:r>
        <w:rPr>
          <w:rFonts w:ascii="仿宋_GB2312" w:hAnsi="仿宋_GB2312" w:eastAsia="仿宋_GB2312"/>
          <w:sz w:val="32"/>
        </w:rPr>
        <w:t>（一）保障性住房建设，做好保障性住房的相关工作，提高全县住房保障相关政策，并指导实施，拟定城乡保障性住房计划及政策，做好县和自治县有关城乡保障性住房资金安排工作，监督各部门组织实施。</w:t>
      </w:r>
    </w:p>
    <w:p w14:paraId="263D5BA1">
      <w:pPr>
        <w:spacing w:line="580" w:lineRule="exact"/>
        <w:ind w:firstLine="640"/>
        <w:jc w:val="both"/>
      </w:pPr>
      <w:r>
        <w:rPr>
          <w:rFonts w:ascii="仿宋_GB2312" w:hAnsi="仿宋_GB2312" w:eastAsia="仿宋_GB2312"/>
          <w:sz w:val="32"/>
        </w:rPr>
        <w:t>（二）住房制度改革，县住房建设规划并指导实施。拟定适合县的住房政策，指导住房建设和住房制度改革，拟定全县住房建设规划并指导实施。</w:t>
      </w:r>
    </w:p>
    <w:p w14:paraId="44CFDB85">
      <w:pPr>
        <w:spacing w:line="580" w:lineRule="exact"/>
        <w:ind w:firstLine="640"/>
        <w:jc w:val="both"/>
      </w:pPr>
      <w:r>
        <w:rPr>
          <w:rFonts w:ascii="仿宋_GB2312" w:hAnsi="仿宋_GB2312" w:eastAsia="仿宋_GB2312"/>
          <w:sz w:val="32"/>
        </w:rPr>
        <w:t>（三）管理秩序，提出住房和城乡建设（人民防空）重大问题的建议。拟定全县住房和城乡建设（人民防空）战略，中长期规划并组织实施，提出住房和城乡建设（人民防空）重大问题的建议。</w:t>
      </w:r>
    </w:p>
    <w:p w14:paraId="07C69B38">
      <w:pPr>
        <w:spacing w:line="580" w:lineRule="exact"/>
        <w:ind w:firstLine="640"/>
        <w:jc w:val="both"/>
      </w:pPr>
      <w:r>
        <w:rPr>
          <w:rFonts w:ascii="仿宋_GB2312" w:hAnsi="仿宋_GB2312" w:eastAsia="仿宋_GB2312"/>
          <w:sz w:val="32"/>
        </w:rPr>
        <w:t>（四）地方标准体系责任，组织学习住房和城乡建设的地方性标准，建设标准和工程造价的管理制度。组织学习住房和城乡建设的地方性标准，拟定建设项目可行性研究评价方法、经济参数。建设标准和工程造价的管理制度。</w:t>
      </w:r>
    </w:p>
    <w:p w14:paraId="40F53152">
      <w:pPr>
        <w:spacing w:line="580" w:lineRule="exact"/>
        <w:ind w:firstLine="640"/>
        <w:jc w:val="both"/>
      </w:pPr>
      <w:r>
        <w:rPr>
          <w:rFonts w:ascii="仿宋_GB2312" w:hAnsi="仿宋_GB2312" w:eastAsia="仿宋_GB2312"/>
          <w:sz w:val="32"/>
        </w:rPr>
        <w:t>（五）监督管理全县建筑市场，负责建筑工程质量安全；负责建筑市场的监督管理，规范建筑市场各方主体行为，促进建筑市场健康发展。提高建筑工程质量，减少建筑安全生产事故，提高行业水平。</w:t>
      </w:r>
    </w:p>
    <w:p w14:paraId="032D864F">
      <w:pPr>
        <w:spacing w:line="580" w:lineRule="exact"/>
        <w:ind w:firstLine="640"/>
        <w:jc w:val="both"/>
      </w:pPr>
      <w:r>
        <w:rPr>
          <w:rFonts w:ascii="仿宋_GB2312" w:hAnsi="仿宋_GB2312" w:eastAsia="仿宋_GB2312"/>
          <w:sz w:val="32"/>
        </w:rPr>
        <w:t>（六）城市建设政策,城市市政市容的建设,负责市政公用事业特许经营供水、供气、供热和市容环境卫生、园林绿化法律法规规章执行的监督指导，指导城市市政公用设施建设，安全和应急管理。</w:t>
      </w:r>
    </w:p>
    <w:p w14:paraId="47C3DF46">
      <w:pPr>
        <w:spacing w:line="580" w:lineRule="exact"/>
        <w:ind w:firstLine="640"/>
        <w:jc w:val="both"/>
      </w:pPr>
      <w:r>
        <w:rPr>
          <w:rFonts w:ascii="仿宋_GB2312" w:hAnsi="仿宋_GB2312" w:eastAsia="仿宋_GB2312"/>
          <w:sz w:val="32"/>
        </w:rPr>
        <w:t>（七）规范和指导全县村镇建设,指导城市建设，指导村镇建设,加强村镇建设，改善</w:t>
      </w:r>
      <w:r>
        <w:rPr>
          <w:rFonts w:hint="eastAsia" w:ascii="仿宋_GB2312" w:hAnsi="仿宋_GB2312" w:eastAsia="仿宋_GB2312"/>
          <w:sz w:val="32"/>
          <w:lang w:eastAsia="zh-CN"/>
        </w:rPr>
        <w:t>农村</w:t>
      </w:r>
      <w:r>
        <w:rPr>
          <w:rFonts w:ascii="仿宋_GB2312" w:hAnsi="仿宋_GB2312" w:eastAsia="仿宋_GB2312"/>
          <w:sz w:val="32"/>
        </w:rPr>
        <w:t>人居环境，实现城乡统筹发展。</w:t>
      </w:r>
    </w:p>
    <w:p w14:paraId="20B69FA9">
      <w:pPr>
        <w:spacing w:line="580" w:lineRule="exact"/>
        <w:ind w:firstLine="640"/>
        <w:jc w:val="both"/>
      </w:pPr>
      <w:r>
        <w:rPr>
          <w:rFonts w:ascii="仿宋_GB2312" w:hAnsi="仿宋_GB2312" w:eastAsia="仿宋_GB2312"/>
          <w:sz w:val="32"/>
        </w:rPr>
        <w:t>（八）建筑工程质量安全监管,负责建筑工程质量的安全监管,负责建筑工程质量、建筑安全生产和竣工验收备案的法律法规规章执行的监督指导。</w:t>
      </w:r>
    </w:p>
    <w:p w14:paraId="29531A43">
      <w:pPr>
        <w:spacing w:line="580" w:lineRule="exact"/>
        <w:ind w:firstLine="640"/>
        <w:jc w:val="both"/>
      </w:pPr>
      <w:r>
        <w:rPr>
          <w:rFonts w:ascii="仿宋_GB2312" w:hAnsi="仿宋_GB2312" w:eastAsia="仿宋_GB2312"/>
          <w:sz w:val="32"/>
        </w:rPr>
        <w:t>（九）综合管理城乡建设抗震减灾工作,对全县各类房屋建筑和城市市政工程的抗震</w:t>
      </w:r>
      <w:r>
        <w:rPr>
          <w:rFonts w:hint="eastAsia" w:ascii="仿宋_GB2312" w:hAnsi="仿宋_GB2312" w:eastAsia="仿宋_GB2312"/>
          <w:sz w:val="32"/>
          <w:lang w:eastAsia="zh-CN"/>
        </w:rPr>
        <w:t>实绩</w:t>
      </w:r>
      <w:r>
        <w:rPr>
          <w:rFonts w:ascii="仿宋_GB2312" w:hAnsi="仿宋_GB2312" w:eastAsia="仿宋_GB2312"/>
          <w:sz w:val="32"/>
        </w:rPr>
        <w:t>规范的实施进行监督检查。负责对全县各类房屋建筑及其附属设施和城市市政工程的抗震实际规范的实施进行监督检查。</w:t>
      </w:r>
    </w:p>
    <w:p w14:paraId="123F01CF">
      <w:pPr>
        <w:spacing w:line="580" w:lineRule="exact"/>
        <w:ind w:firstLine="640"/>
        <w:jc w:val="both"/>
      </w:pPr>
      <w:r>
        <w:rPr>
          <w:rFonts w:ascii="仿宋_GB2312" w:hAnsi="仿宋_GB2312" w:eastAsia="仿宋_GB2312"/>
          <w:sz w:val="32"/>
        </w:rPr>
        <w:t>（十）推进建筑节能减排,推进建筑节能减排的责任,会同有关部门拟定建筑节能的政策，规划并监督实施，负责建筑节能法律法规规章的监督指导。</w:t>
      </w:r>
    </w:p>
    <w:p w14:paraId="3E011946">
      <w:pPr>
        <w:spacing w:line="580" w:lineRule="exact"/>
        <w:ind w:firstLine="640"/>
        <w:jc w:val="both"/>
      </w:pPr>
      <w:r>
        <w:rPr>
          <w:rFonts w:ascii="仿宋_GB2312" w:hAnsi="仿宋_GB2312" w:eastAsia="仿宋_GB2312"/>
          <w:sz w:val="32"/>
        </w:rPr>
        <w:t>（十一）人民防空组织指导体系建设,组织与实施人民防空通信，警报试鸣、信息化建设与管理、战备执勤工作。拟定防空袭方案和各项保障方案并组织实施，组织与实施人民防空通信，警报试鸣、信息化建设与管理、战备执勤工作。</w:t>
      </w:r>
    </w:p>
    <w:p w14:paraId="11C7EA40">
      <w:pPr>
        <w:spacing w:line="580" w:lineRule="exact"/>
        <w:ind w:firstLine="640"/>
        <w:jc w:val="both"/>
      </w:pPr>
      <w:r>
        <w:rPr>
          <w:rFonts w:ascii="仿宋_GB2312" w:hAnsi="仿宋_GB2312" w:eastAsia="仿宋_GB2312"/>
          <w:sz w:val="32"/>
        </w:rPr>
        <w:t>（十二）审批人民防空建设与城市相结合,对城市建设和重要经济目标落实人民防空要求、重要经济目标应急抢险抢修方案制定和落实情况进行监督。监督检查城市总体规划中贯彻落实人民防空要求及人民防空建设情况。依法对城市建设和重要经济目标落实人民防空要求、重要经济目标应急抢险抢修方案制定和落实情况进行监督。</w:t>
      </w:r>
    </w:p>
    <w:p w14:paraId="3F241D90">
      <w:pPr>
        <w:spacing w:line="580" w:lineRule="exact"/>
        <w:ind w:firstLine="640"/>
        <w:jc w:val="both"/>
      </w:pPr>
      <w:r>
        <w:rPr>
          <w:rFonts w:ascii="仿宋_GB2312" w:hAnsi="仿宋_GB2312" w:eastAsia="仿宋_GB2312"/>
          <w:sz w:val="32"/>
        </w:rPr>
        <w:t>(十三)城市管理和执法工作，对辖区内城市管理和执法工作监管，对辖区内城市管理和执法工作的业务指导、组织协调、监督检查和考核评价。</w:t>
      </w:r>
    </w:p>
    <w:p w14:paraId="6A04CAD3">
      <w:pPr>
        <w:spacing w:line="580" w:lineRule="exact"/>
        <w:ind w:firstLine="640"/>
        <w:jc w:val="both"/>
      </w:pPr>
      <w:r>
        <w:rPr>
          <w:rFonts w:ascii="仿宋_GB2312" w:hAnsi="仿宋_GB2312" w:eastAsia="仿宋_GB2312"/>
          <w:sz w:val="32"/>
        </w:rPr>
        <w:t>（十四）住建政务管理，负责单位综合政务管理，加强县住房城乡建设人才队伍建设，提高人才业务素质。加大信息宣传力度，创造良好舆论氛围。</w:t>
      </w:r>
    </w:p>
    <w:p w14:paraId="1E3AAE28">
      <w:pPr>
        <w:spacing w:line="580" w:lineRule="exact"/>
        <w:ind w:firstLine="640"/>
        <w:jc w:val="both"/>
      </w:pPr>
      <w:r>
        <w:rPr>
          <w:rFonts w:ascii="仿宋_GB2312" w:hAnsi="仿宋_GB2312" w:eastAsia="仿宋_GB2312"/>
          <w:sz w:val="32"/>
        </w:rPr>
        <w:t>（十五）完成县委、县政府及地区生态环境局交办的其他工作及任务。</w:t>
      </w:r>
    </w:p>
    <w:p w14:paraId="006E690B">
      <w:pPr>
        <w:spacing w:line="640" w:lineRule="exact"/>
        <w:ind w:firstLine="640"/>
        <w:jc w:val="both"/>
        <w:outlineLvl w:val="2"/>
      </w:pPr>
      <w:r>
        <w:rPr>
          <w:rFonts w:ascii="黑体" w:hAnsi="黑体" w:eastAsia="黑体"/>
          <w:sz w:val="32"/>
        </w:rPr>
        <w:t>二、机构设置及人员情况</w:t>
      </w:r>
    </w:p>
    <w:p w14:paraId="220F71B9">
      <w:pPr>
        <w:spacing w:line="580" w:lineRule="exact"/>
        <w:ind w:firstLine="640"/>
        <w:jc w:val="both"/>
      </w:pPr>
      <w:r>
        <w:rPr>
          <w:rFonts w:ascii="仿宋_GB2312" w:hAnsi="仿宋_GB2312" w:eastAsia="仿宋_GB2312"/>
          <w:sz w:val="32"/>
        </w:rPr>
        <w:t>塔什库尔干塔吉克自治县住房和城乡建设局2024年度，实有人数93人，其中：在职人员68人，减少24人；离休人员0人，增加0人；退休人员25人,增加5人。</w:t>
      </w:r>
    </w:p>
    <w:p w14:paraId="35C100B1">
      <w:pPr>
        <w:spacing w:line="580" w:lineRule="exact"/>
        <w:ind w:firstLine="640"/>
        <w:jc w:val="both"/>
      </w:pPr>
      <w:r>
        <w:rPr>
          <w:rFonts w:ascii="仿宋_GB2312" w:hAnsi="仿宋_GB2312" w:eastAsia="仿宋_GB2312"/>
          <w:sz w:val="32"/>
        </w:rPr>
        <w:t>单位无下属预算单位，下设7个科室，分别是：建设工程质量监督站、市政公共设施服务中心、房产服务中心、城管所、环卫大队、财务室、行政办。</w:t>
      </w:r>
    </w:p>
    <w:p w14:paraId="09BB1BE2">
      <w:r>
        <w:br w:type="page"/>
      </w:r>
    </w:p>
    <w:p w14:paraId="73D20D07">
      <w:pPr>
        <w:spacing w:line="240" w:lineRule="auto"/>
        <w:jc w:val="center"/>
        <w:outlineLvl w:val="1"/>
      </w:pPr>
      <w:r>
        <w:rPr>
          <w:rFonts w:ascii="黑体" w:hAnsi="黑体" w:eastAsia="黑体"/>
          <w:sz w:val="32"/>
        </w:rPr>
        <w:t>第二部分 部门决算情况说明</w:t>
      </w:r>
    </w:p>
    <w:p w14:paraId="6807BCF8">
      <w:pPr>
        <w:spacing w:line="640" w:lineRule="exact"/>
        <w:ind w:firstLine="640"/>
        <w:jc w:val="both"/>
        <w:outlineLvl w:val="2"/>
      </w:pPr>
      <w:r>
        <w:rPr>
          <w:rFonts w:ascii="黑体" w:hAnsi="黑体" w:eastAsia="黑体"/>
          <w:sz w:val="32"/>
        </w:rPr>
        <w:t>一、收入支出决算总体情况说明</w:t>
      </w:r>
    </w:p>
    <w:p w14:paraId="4B0A87CF">
      <w:pPr>
        <w:spacing w:line="580" w:lineRule="exact"/>
        <w:ind w:firstLine="640"/>
        <w:jc w:val="both"/>
      </w:pPr>
      <w:r>
        <w:rPr>
          <w:rFonts w:ascii="仿宋_GB2312" w:hAnsi="仿宋_GB2312" w:eastAsia="仿宋_GB2312"/>
          <w:b/>
          <w:sz w:val="32"/>
        </w:rPr>
        <w:t>2024年度收入总计12,197.59万元，</w:t>
      </w:r>
      <w:r>
        <w:rPr>
          <w:rFonts w:ascii="仿宋_GB2312" w:hAnsi="仿宋_GB2312" w:eastAsia="仿宋_GB2312"/>
          <w:b w:val="0"/>
          <w:sz w:val="32"/>
        </w:rPr>
        <w:t>其中：本年收入合计12,197.59万元，使用非财政拨款结余（含专用结余）0.00万元，年初结转和结余0.00万元。</w:t>
      </w:r>
    </w:p>
    <w:p w14:paraId="363A276D">
      <w:pPr>
        <w:spacing w:line="580" w:lineRule="exact"/>
        <w:ind w:firstLine="640"/>
        <w:jc w:val="both"/>
      </w:pPr>
      <w:r>
        <w:rPr>
          <w:rFonts w:ascii="仿宋_GB2312" w:hAnsi="仿宋_GB2312" w:eastAsia="仿宋_GB2312"/>
          <w:b/>
          <w:sz w:val="32"/>
        </w:rPr>
        <w:t>2024年度支出总计12,197.59万元，</w:t>
      </w:r>
      <w:r>
        <w:rPr>
          <w:rFonts w:ascii="仿宋_GB2312" w:hAnsi="仿宋_GB2312" w:eastAsia="仿宋_GB2312"/>
          <w:b w:val="0"/>
          <w:sz w:val="32"/>
        </w:rPr>
        <w:t>其中：本年支出合计12,197.59万元，结余分配0.00万元，年末结转和结余0.00万元。</w:t>
      </w:r>
    </w:p>
    <w:p w14:paraId="296E2B44">
      <w:pPr>
        <w:spacing w:line="580" w:lineRule="exact"/>
        <w:ind w:firstLine="640"/>
        <w:jc w:val="both"/>
      </w:pPr>
      <w:r>
        <w:rPr>
          <w:rFonts w:ascii="仿宋_GB2312" w:hAnsi="仿宋_GB2312" w:eastAsia="仿宋_GB2312"/>
          <w:b w:val="0"/>
          <w:sz w:val="32"/>
        </w:rPr>
        <w:t>收入支出总体与上年相比，减少25,912.81万元，下降67.99%，主要原因是：减少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2023年守边固边工程项目、塔县</w:t>
      </w:r>
      <w:r>
        <w:rPr>
          <w:rFonts w:hint="eastAsia" w:ascii="仿宋_GB2312" w:hAnsi="仿宋_GB2312" w:eastAsia="仿宋_GB2312"/>
          <w:b w:val="0"/>
          <w:sz w:val="32"/>
          <w:lang w:eastAsia="zh-CN"/>
        </w:rPr>
        <w:t>易地扶贫搬迁</w:t>
      </w:r>
      <w:r>
        <w:rPr>
          <w:rFonts w:ascii="仿宋_GB2312" w:hAnsi="仿宋_GB2312" w:eastAsia="仿宋_GB2312"/>
          <w:b w:val="0"/>
          <w:sz w:val="32"/>
        </w:rPr>
        <w:t>塔提库力安置点工程项目、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城集中供热备用热源环保提升改造项目、2015年公共租赁住房建设项目（二标）、喀什地区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帕米尔路片区供水管网改造项目、喀什地区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红其拉甫路片区供热管网改造项目，导致收入支出减少。</w:t>
      </w:r>
    </w:p>
    <w:p w14:paraId="106C326A">
      <w:pPr>
        <w:spacing w:line="640" w:lineRule="exact"/>
        <w:ind w:firstLine="640"/>
        <w:jc w:val="both"/>
        <w:outlineLvl w:val="2"/>
      </w:pPr>
      <w:r>
        <w:rPr>
          <w:rFonts w:ascii="黑体" w:hAnsi="黑体" w:eastAsia="黑体"/>
          <w:sz w:val="32"/>
        </w:rPr>
        <w:t>二、收入决算情况说明</w:t>
      </w:r>
    </w:p>
    <w:p w14:paraId="16494077">
      <w:pPr>
        <w:spacing w:line="580" w:lineRule="exact"/>
        <w:ind w:firstLine="640"/>
        <w:jc w:val="both"/>
      </w:pPr>
      <w:r>
        <w:rPr>
          <w:rFonts w:ascii="仿宋_GB2312" w:hAnsi="仿宋_GB2312" w:eastAsia="仿宋_GB2312"/>
          <w:b/>
          <w:sz w:val="32"/>
        </w:rPr>
        <w:t>本年收入12,197.59万元，</w:t>
      </w:r>
      <w:r>
        <w:rPr>
          <w:rFonts w:ascii="仿宋_GB2312" w:hAnsi="仿宋_GB2312" w:eastAsia="仿宋_GB2312"/>
          <w:b w:val="0"/>
          <w:sz w:val="32"/>
        </w:rPr>
        <w:t>其中：财政拨款收入11,122.83万元，占91.19%；上级补助收入0.00万元，占0.00%；事业收入0.00万元，占0.00%；经营收入0.00万元，占0.00%；附属单位上缴收入0.00万元，占0.00%；其他收入1,074.76万元，占8.81%。</w:t>
      </w:r>
    </w:p>
    <w:p w14:paraId="6FE8FF05">
      <w:pPr>
        <w:spacing w:line="640" w:lineRule="exact"/>
        <w:ind w:firstLine="640"/>
        <w:jc w:val="both"/>
        <w:outlineLvl w:val="2"/>
      </w:pPr>
      <w:r>
        <w:rPr>
          <w:rFonts w:ascii="黑体" w:hAnsi="黑体" w:eastAsia="黑体"/>
          <w:sz w:val="32"/>
        </w:rPr>
        <w:t>三、支出决算情况说明</w:t>
      </w:r>
    </w:p>
    <w:p w14:paraId="52A4C2E4">
      <w:pPr>
        <w:spacing w:line="580" w:lineRule="exact"/>
        <w:ind w:firstLine="640"/>
        <w:jc w:val="both"/>
      </w:pPr>
      <w:r>
        <w:rPr>
          <w:rFonts w:ascii="仿宋_GB2312" w:hAnsi="仿宋_GB2312" w:eastAsia="仿宋_GB2312"/>
          <w:b/>
          <w:sz w:val="32"/>
        </w:rPr>
        <w:t>本年支出12,197.59万元，</w:t>
      </w:r>
      <w:r>
        <w:rPr>
          <w:rFonts w:ascii="仿宋_GB2312" w:hAnsi="仿宋_GB2312" w:eastAsia="仿宋_GB2312"/>
          <w:b w:val="0"/>
          <w:sz w:val="32"/>
        </w:rPr>
        <w:t>其中：基本支出1,234.65万元，占10.12%；项目支出10,962.94万元，占89.88%；上缴上级支出0.00万元，占0.00%；经营支出0.00万元，占0.00%；对附属单位补助支出0.00万元，占0.00%。</w:t>
      </w:r>
    </w:p>
    <w:p w14:paraId="5BF2201A">
      <w:pPr>
        <w:spacing w:line="640" w:lineRule="exact"/>
        <w:ind w:firstLine="640"/>
        <w:jc w:val="both"/>
        <w:outlineLvl w:val="2"/>
      </w:pPr>
      <w:r>
        <w:rPr>
          <w:rFonts w:ascii="黑体" w:hAnsi="黑体" w:eastAsia="黑体"/>
          <w:sz w:val="32"/>
        </w:rPr>
        <w:t>四、财政拨款收入支出决算总体情况说明</w:t>
      </w:r>
    </w:p>
    <w:p w14:paraId="412C8587">
      <w:pPr>
        <w:spacing w:line="580" w:lineRule="exact"/>
        <w:ind w:firstLine="640"/>
        <w:jc w:val="both"/>
      </w:pPr>
      <w:r>
        <w:rPr>
          <w:rFonts w:ascii="仿宋_GB2312" w:hAnsi="仿宋_GB2312" w:eastAsia="仿宋_GB2312"/>
          <w:b/>
          <w:sz w:val="32"/>
        </w:rPr>
        <w:t>2024年度财政拨款收入总计11,122.83万元，</w:t>
      </w:r>
      <w:r>
        <w:rPr>
          <w:rFonts w:ascii="仿宋_GB2312" w:hAnsi="仿宋_GB2312" w:eastAsia="仿宋_GB2312"/>
          <w:b w:val="0"/>
          <w:sz w:val="32"/>
        </w:rPr>
        <w:t>其中：年初财政拨款结转和结余0.00万元，本年财政拨款收入11,122.83万元。</w:t>
      </w:r>
      <w:r>
        <w:rPr>
          <w:rFonts w:ascii="仿宋_GB2312" w:hAnsi="仿宋_GB2312" w:eastAsia="仿宋_GB2312"/>
          <w:b/>
          <w:sz w:val="32"/>
        </w:rPr>
        <w:t>财政拨款支出总计11,122.83万元，</w:t>
      </w:r>
      <w:r>
        <w:rPr>
          <w:rFonts w:ascii="仿宋_GB2312" w:hAnsi="仿宋_GB2312" w:eastAsia="仿宋_GB2312"/>
          <w:b w:val="0"/>
          <w:sz w:val="32"/>
        </w:rPr>
        <w:t>其中：年末财政拨款结转和结余0.00万元，本年财政拨款支出11,122.83万元。</w:t>
      </w:r>
    </w:p>
    <w:p w14:paraId="591E275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减少26,987.57万元，下降70.81%，主要原因是：减少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2023年守边固边工程项目、塔县</w:t>
      </w:r>
      <w:r>
        <w:rPr>
          <w:rFonts w:hint="eastAsia" w:ascii="仿宋_GB2312" w:hAnsi="仿宋_GB2312" w:eastAsia="仿宋_GB2312"/>
          <w:b w:val="0"/>
          <w:sz w:val="32"/>
          <w:lang w:eastAsia="zh-CN"/>
        </w:rPr>
        <w:t>易地扶贫搬迁</w:t>
      </w:r>
      <w:r>
        <w:rPr>
          <w:rFonts w:ascii="仿宋_GB2312" w:hAnsi="仿宋_GB2312" w:eastAsia="仿宋_GB2312"/>
          <w:b w:val="0"/>
          <w:sz w:val="32"/>
        </w:rPr>
        <w:t>塔提库力安置点工程项目、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城集中供热备用热源环保提升改造项目、2015年公共租赁住房建设项目（二标）、喀什地区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帕米尔路片区供水管网改造项目、喀什地区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红其拉甫路片区供热管网改造项目，导致收入支出减少。</w:t>
      </w:r>
      <w:r>
        <w:rPr>
          <w:rFonts w:ascii="仿宋_GB2312" w:hAnsi="仿宋_GB2312" w:eastAsia="仿宋_GB2312"/>
          <w:b/>
          <w:sz w:val="32"/>
        </w:rPr>
        <w:t>与年初预算相比，</w:t>
      </w:r>
      <w:r>
        <w:rPr>
          <w:rFonts w:ascii="仿宋_GB2312" w:hAnsi="仿宋_GB2312" w:eastAsia="仿宋_GB2312"/>
          <w:b w:val="0"/>
          <w:sz w:val="32"/>
        </w:rPr>
        <w:t>年初预算数1,933.06万元，决算数11,122.83万元，预决算差异率475.40%，主要原因是：本年在职人员工资调薪，工资、社保、公积金等相关人员经费增加，年中追加人员经费。年中追加喀什地区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消防基础设施项目、城镇生活污水回水再生利用项目、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居民小区充电桩建设项目、塔县雪莲变电站及电锅炉10KV配电设施运维费、深圳新村公共和生活配套建设项目、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排水管网改造项目工程款等历年项目经费，导致预决算存在差异。</w:t>
      </w:r>
    </w:p>
    <w:p w14:paraId="43B959E2">
      <w:pPr>
        <w:spacing w:line="640" w:lineRule="exact"/>
        <w:ind w:firstLine="640"/>
        <w:jc w:val="both"/>
        <w:outlineLvl w:val="2"/>
      </w:pPr>
      <w:r>
        <w:rPr>
          <w:rFonts w:ascii="黑体" w:hAnsi="黑体" w:eastAsia="黑体"/>
          <w:sz w:val="32"/>
        </w:rPr>
        <w:t>五、一般公共预算财政拨款支出决算情况说明</w:t>
      </w:r>
    </w:p>
    <w:p w14:paraId="6387DE1A">
      <w:pPr>
        <w:spacing w:line="640" w:lineRule="exact"/>
        <w:ind w:firstLine="640"/>
        <w:jc w:val="both"/>
        <w:outlineLvl w:val="3"/>
      </w:pPr>
      <w:r>
        <w:rPr>
          <w:rFonts w:ascii="楷体_GB2312" w:hAnsi="楷体_GB2312" w:eastAsia="楷体_GB2312"/>
          <w:b/>
          <w:sz w:val="32"/>
        </w:rPr>
        <w:t>（一）一般公共预算财政拨款支出决算总体情况</w:t>
      </w:r>
    </w:p>
    <w:p w14:paraId="11FB6C72">
      <w:pPr>
        <w:spacing w:line="580" w:lineRule="exact"/>
        <w:ind w:firstLine="640"/>
        <w:jc w:val="both"/>
      </w:pPr>
      <w:r>
        <w:rPr>
          <w:rFonts w:ascii="仿宋_GB2312" w:hAnsi="仿宋_GB2312" w:eastAsia="仿宋_GB2312"/>
          <w:b/>
          <w:sz w:val="32"/>
        </w:rPr>
        <w:t>2024年度一般公共预算财政拨款支出11,122.83万元，</w:t>
      </w:r>
      <w:r>
        <w:rPr>
          <w:rFonts w:ascii="仿宋_GB2312" w:hAnsi="仿宋_GB2312" w:eastAsia="仿宋_GB2312"/>
          <w:b w:val="0"/>
          <w:sz w:val="32"/>
        </w:rPr>
        <w:t>占本年支出合计的91.19%。</w:t>
      </w:r>
      <w:r>
        <w:rPr>
          <w:rFonts w:ascii="仿宋_GB2312" w:hAnsi="仿宋_GB2312" w:eastAsia="仿宋_GB2312"/>
          <w:b/>
          <w:sz w:val="32"/>
        </w:rPr>
        <w:t>与上年相比，</w:t>
      </w:r>
      <w:r>
        <w:rPr>
          <w:rFonts w:ascii="仿宋_GB2312" w:hAnsi="仿宋_GB2312" w:eastAsia="仿宋_GB2312"/>
          <w:b w:val="0"/>
          <w:sz w:val="32"/>
        </w:rPr>
        <w:t>减少26,689.74万元，下降70.58%，主要原因是：减少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2023年守边固边工程项目、塔县</w:t>
      </w:r>
      <w:r>
        <w:rPr>
          <w:rFonts w:hint="eastAsia" w:ascii="仿宋_GB2312" w:hAnsi="仿宋_GB2312" w:eastAsia="仿宋_GB2312"/>
          <w:b w:val="0"/>
          <w:sz w:val="32"/>
          <w:lang w:eastAsia="zh-CN"/>
        </w:rPr>
        <w:t>易地扶贫搬迁</w:t>
      </w:r>
      <w:r>
        <w:rPr>
          <w:rFonts w:ascii="仿宋_GB2312" w:hAnsi="仿宋_GB2312" w:eastAsia="仿宋_GB2312"/>
          <w:b w:val="0"/>
          <w:sz w:val="32"/>
        </w:rPr>
        <w:t>塔提库力安置点工程项目、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城集中供热备用热源环保提升改造项目、2015年公共租赁住房建设项目（二标）、喀什地区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帕米尔路片区供水管网改造项目、喀什地区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红其拉甫路片区供热管网改造项目，导致收入支出减少。</w:t>
      </w:r>
      <w:r>
        <w:rPr>
          <w:rFonts w:ascii="仿宋_GB2312" w:hAnsi="仿宋_GB2312" w:eastAsia="仿宋_GB2312"/>
          <w:b/>
          <w:sz w:val="32"/>
        </w:rPr>
        <w:t>与年初预算相比,</w:t>
      </w:r>
      <w:r>
        <w:rPr>
          <w:rFonts w:ascii="仿宋_GB2312" w:hAnsi="仿宋_GB2312" w:eastAsia="仿宋_GB2312"/>
          <w:b w:val="0"/>
          <w:sz w:val="32"/>
        </w:rPr>
        <w:t>年初预算数1,933.06万元，决算数11,122.83万元，预决算差异率475.40%，主要原因是：本年在职人员工资调薪，工资、社保、公积金等相关人员经费增加，年中追加人员经费。年中追加喀什地区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消防基础设施项目、城镇生活污水回水再生利用项目、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居民小区充电桩建设项目、塔县雪莲变电站及电锅炉10KV配电设施运维费、深圳新村公共和生活配套建设项目、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排水管网改造项目工程款等历年项目经费，导致预决算存在差异。</w:t>
      </w:r>
    </w:p>
    <w:p w14:paraId="375C7C8D">
      <w:pPr>
        <w:spacing w:line="640" w:lineRule="exact"/>
        <w:ind w:firstLine="640"/>
        <w:jc w:val="both"/>
        <w:outlineLvl w:val="3"/>
      </w:pPr>
      <w:r>
        <w:rPr>
          <w:rFonts w:ascii="楷体_GB2312" w:hAnsi="楷体_GB2312" w:eastAsia="楷体_GB2312"/>
          <w:b/>
          <w:sz w:val="32"/>
        </w:rPr>
        <w:t>（二）一般公共预算财政拨款支出决算结构情况</w:t>
      </w:r>
    </w:p>
    <w:p w14:paraId="33ADF5F7">
      <w:pPr>
        <w:spacing w:line="580" w:lineRule="exact"/>
        <w:ind w:firstLine="640"/>
        <w:jc w:val="both"/>
      </w:pPr>
      <w:r>
        <w:rPr>
          <w:rFonts w:ascii="仿宋_GB2312" w:hAnsi="仿宋_GB2312" w:eastAsia="仿宋_GB2312"/>
          <w:b w:val="0"/>
          <w:sz w:val="32"/>
        </w:rPr>
        <w:t>1.文化旅游体育与传媒支出(类)1,685.65万元,占15.15%。</w:t>
      </w:r>
    </w:p>
    <w:p w14:paraId="1204D9A0">
      <w:pPr>
        <w:spacing w:line="580" w:lineRule="exact"/>
        <w:ind w:firstLine="640"/>
        <w:jc w:val="both"/>
      </w:pPr>
      <w:r>
        <w:rPr>
          <w:rFonts w:ascii="仿宋_GB2312" w:hAnsi="仿宋_GB2312" w:eastAsia="仿宋_GB2312"/>
          <w:b w:val="0"/>
          <w:sz w:val="32"/>
        </w:rPr>
        <w:t>2.社会保障和就业支出(类)170.32万元,占1.53%。</w:t>
      </w:r>
    </w:p>
    <w:p w14:paraId="4E9E8204">
      <w:pPr>
        <w:spacing w:line="580" w:lineRule="exact"/>
        <w:ind w:firstLine="640"/>
        <w:jc w:val="both"/>
      </w:pPr>
      <w:r>
        <w:rPr>
          <w:rFonts w:ascii="仿宋_GB2312" w:hAnsi="仿宋_GB2312" w:eastAsia="仿宋_GB2312"/>
          <w:b w:val="0"/>
          <w:sz w:val="32"/>
        </w:rPr>
        <w:t>3.卫生健康支出(类)54.80万元,占0.49%。</w:t>
      </w:r>
    </w:p>
    <w:p w14:paraId="2DCD5858">
      <w:pPr>
        <w:spacing w:line="580" w:lineRule="exact"/>
        <w:ind w:firstLine="640"/>
        <w:jc w:val="both"/>
      </w:pPr>
      <w:r>
        <w:rPr>
          <w:rFonts w:ascii="仿宋_GB2312" w:hAnsi="仿宋_GB2312" w:eastAsia="仿宋_GB2312"/>
          <w:b w:val="0"/>
          <w:sz w:val="32"/>
        </w:rPr>
        <w:t>4.城乡社区支出(类)8,993.22万元,占80.85%。</w:t>
      </w:r>
    </w:p>
    <w:p w14:paraId="69570F63">
      <w:pPr>
        <w:spacing w:line="580" w:lineRule="exact"/>
        <w:ind w:firstLine="640"/>
        <w:jc w:val="both"/>
      </w:pPr>
      <w:r>
        <w:rPr>
          <w:rFonts w:ascii="仿宋_GB2312" w:hAnsi="仿宋_GB2312" w:eastAsia="仿宋_GB2312"/>
          <w:b w:val="0"/>
          <w:sz w:val="32"/>
        </w:rPr>
        <w:t>5.住房保障支出(类)211.83万元,占1.90%。</w:t>
      </w:r>
    </w:p>
    <w:p w14:paraId="09ABE1B3">
      <w:pPr>
        <w:spacing w:line="580" w:lineRule="exact"/>
        <w:ind w:firstLine="640"/>
        <w:jc w:val="both"/>
      </w:pPr>
      <w:r>
        <w:rPr>
          <w:rFonts w:ascii="仿宋_GB2312" w:hAnsi="仿宋_GB2312" w:eastAsia="仿宋_GB2312"/>
          <w:b w:val="0"/>
          <w:sz w:val="32"/>
        </w:rPr>
        <w:t>6.其他支出(类)7.00万元,占0.06%。</w:t>
      </w:r>
    </w:p>
    <w:p w14:paraId="110A73C4">
      <w:pPr>
        <w:spacing w:line="640" w:lineRule="exact"/>
        <w:ind w:firstLine="640"/>
        <w:jc w:val="both"/>
        <w:outlineLvl w:val="3"/>
      </w:pPr>
      <w:r>
        <w:rPr>
          <w:rFonts w:ascii="楷体_GB2312" w:hAnsi="楷体_GB2312" w:eastAsia="楷体_GB2312"/>
          <w:b/>
          <w:sz w:val="32"/>
        </w:rPr>
        <w:t>（三）一般公共预算财政拨款支出决算具体情况</w:t>
      </w:r>
    </w:p>
    <w:p w14:paraId="03764A0B">
      <w:pPr>
        <w:spacing w:line="580" w:lineRule="exact"/>
        <w:ind w:firstLine="640"/>
        <w:jc w:val="both"/>
      </w:pPr>
      <w:r>
        <w:rPr>
          <w:rFonts w:ascii="仿宋_GB2312" w:hAnsi="仿宋_GB2312" w:eastAsia="仿宋_GB2312"/>
          <w:b w:val="0"/>
          <w:sz w:val="32"/>
        </w:rPr>
        <w:t>1.文化旅游体育与传媒支出(类)文化和旅游(款)其他文化和旅游支出(项):支出决算数为1,685.65万元，比上年决算增加1,685.65万元，增长100.00%,主要原因是：本年新增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2024年旅游基础设施提升改造工程、喀什地区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游客服务中心建设项目。</w:t>
      </w:r>
    </w:p>
    <w:p w14:paraId="5C5C7EDE">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30.84万元，比上年决算增加8.68万元，增长39.17%,主要原因是：本年新增退休人员，补发退休人员绩效，导致退休费较上年增加。</w:t>
      </w:r>
    </w:p>
    <w:p w14:paraId="08F6331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120.23万元，比上年决算增加11.68万元，增长10.76%,主要原因是：本年在职人员工资基数调增，养老缴费基数上涨，相应支出</w:t>
      </w:r>
      <w:r>
        <w:rPr>
          <w:rFonts w:hint="eastAsia" w:ascii="仿宋_GB2312" w:hAnsi="仿宋_GB2312" w:eastAsia="仿宋_GB2312"/>
          <w:b w:val="0"/>
          <w:sz w:val="32"/>
          <w:lang w:eastAsia="zh-CN"/>
        </w:rPr>
        <w:t>增加</w:t>
      </w:r>
      <w:r>
        <w:rPr>
          <w:rFonts w:ascii="仿宋_GB2312" w:hAnsi="仿宋_GB2312" w:eastAsia="仿宋_GB2312"/>
          <w:b w:val="0"/>
          <w:sz w:val="32"/>
        </w:rPr>
        <w:t>。</w:t>
      </w:r>
    </w:p>
    <w:p w14:paraId="4B68844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19.26万元，比上年决算减少20.16万元，下降51.14%,主要原因是：本年新增退休人员、调出人员较上年减少，职业年金缴费较上年减少。</w:t>
      </w:r>
    </w:p>
    <w:p w14:paraId="6490B8A4">
      <w:pPr>
        <w:spacing w:line="580" w:lineRule="exact"/>
        <w:ind w:firstLine="640"/>
        <w:jc w:val="both"/>
      </w:pPr>
      <w:r>
        <w:rPr>
          <w:rFonts w:ascii="仿宋_GB2312" w:hAnsi="仿宋_GB2312" w:eastAsia="仿宋_GB2312"/>
          <w:b w:val="0"/>
          <w:sz w:val="32"/>
        </w:rPr>
        <w:t>5.卫生健康支出(类)行政事业单位医疗(款)行政单位医疗(项):支出决算数为51.43万元，比上年决算减少3.32万元，下降6.06%,主要原因是：本年在职人员减少，行政单位医疗较上年减少。</w:t>
      </w:r>
    </w:p>
    <w:p w14:paraId="34AE1F72">
      <w:pPr>
        <w:spacing w:line="580" w:lineRule="exact"/>
        <w:ind w:firstLine="640"/>
        <w:jc w:val="both"/>
      </w:pPr>
      <w:r>
        <w:rPr>
          <w:rFonts w:ascii="仿宋_GB2312" w:hAnsi="仿宋_GB2312" w:eastAsia="仿宋_GB2312"/>
          <w:b w:val="0"/>
          <w:sz w:val="32"/>
        </w:rPr>
        <w:t>6.卫生健康支出(类)行政事业单位医疗(款)公务员医疗补助(项):支出决算数为3.38万元，比上年决算减少1.52万元，下降31.02%,主要原因是：本年在职人员减少，公务员医疗补助较上年减少。</w:t>
      </w:r>
    </w:p>
    <w:p w14:paraId="10E6D98E">
      <w:pPr>
        <w:spacing w:line="580" w:lineRule="exact"/>
        <w:ind w:firstLine="640"/>
        <w:jc w:val="both"/>
      </w:pPr>
      <w:r>
        <w:rPr>
          <w:rFonts w:ascii="仿宋_GB2312" w:hAnsi="仿宋_GB2312" w:eastAsia="仿宋_GB2312"/>
          <w:b w:val="0"/>
          <w:sz w:val="32"/>
        </w:rPr>
        <w:t>7.节能环保支出(类)能源节约利用(款)能源节约利用(项):支出决算数为0.00万元，比上年决算减少10.14万元，下降100.00%,主要原因是：本年减少2023年新疆煤改电二期工程补助项目资金。</w:t>
      </w:r>
    </w:p>
    <w:p w14:paraId="6D258A4A">
      <w:pPr>
        <w:spacing w:line="580" w:lineRule="exact"/>
        <w:ind w:firstLine="640"/>
        <w:jc w:val="both"/>
      </w:pPr>
      <w:r>
        <w:rPr>
          <w:rFonts w:ascii="仿宋_GB2312" w:hAnsi="仿宋_GB2312" w:eastAsia="仿宋_GB2312"/>
          <w:b w:val="0"/>
          <w:sz w:val="32"/>
        </w:rPr>
        <w:t>8.城乡社区支出(类)城乡社区管理事务(款)行政运行(项):支出决算数为209.44万元，比上年决算减少51.54万元，下降19.75%,主要原因是：本年在职人员减少，相应人员经费较上年减少。</w:t>
      </w:r>
    </w:p>
    <w:p w14:paraId="5653A5AA">
      <w:pPr>
        <w:spacing w:line="580" w:lineRule="exact"/>
        <w:ind w:firstLine="640"/>
        <w:jc w:val="both"/>
      </w:pPr>
      <w:r>
        <w:rPr>
          <w:rFonts w:ascii="仿宋_GB2312" w:hAnsi="仿宋_GB2312" w:eastAsia="仿宋_GB2312"/>
          <w:b w:val="0"/>
          <w:sz w:val="32"/>
        </w:rPr>
        <w:t>9.城乡社区支出(类)城乡社区管理事务(款)城管执法(项):支出决算数为697.85万元，比上年决算减少48.25万元，下降6.47%,主要原因是：本年在职人员减少，相应人员经费较上年减少。</w:t>
      </w:r>
    </w:p>
    <w:p w14:paraId="6BF3EE49">
      <w:pPr>
        <w:spacing w:line="580" w:lineRule="exact"/>
        <w:ind w:firstLine="640"/>
        <w:jc w:val="both"/>
      </w:pPr>
      <w:r>
        <w:rPr>
          <w:rFonts w:ascii="仿宋_GB2312" w:hAnsi="仿宋_GB2312" w:eastAsia="仿宋_GB2312"/>
          <w:b w:val="0"/>
          <w:sz w:val="32"/>
        </w:rPr>
        <w:t>10.城乡社区支出(类)城乡社区公共设施(款)小城镇基础设施建设(项):支出决算数为7,935.93万元，比上年决算减少15,247.26万元，下降65.77%,主要原因是：本年减少2015年城市棚户区改造项目、2015年公共租赁住房建设项目（二标）、县城集中供热备用热源环保提升改造项目等。</w:t>
      </w:r>
    </w:p>
    <w:p w14:paraId="2D72F915">
      <w:pPr>
        <w:spacing w:line="580" w:lineRule="exact"/>
        <w:ind w:firstLine="640"/>
        <w:jc w:val="both"/>
      </w:pPr>
      <w:r>
        <w:rPr>
          <w:rFonts w:ascii="仿宋_GB2312" w:hAnsi="仿宋_GB2312" w:eastAsia="仿宋_GB2312"/>
          <w:b w:val="0"/>
          <w:sz w:val="32"/>
        </w:rPr>
        <w:t>11.城乡社区支出(类)城乡社区公共设施(款)其他城乡社区公共设施支出(项):支出决算数为150.00万元，比上年决算减少5,972.23万元，下降97.55%,主要原因是：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消防基础设施项目。</w:t>
      </w:r>
    </w:p>
    <w:p w14:paraId="3F581969">
      <w:pPr>
        <w:spacing w:line="580" w:lineRule="exact"/>
        <w:ind w:firstLine="640"/>
        <w:jc w:val="both"/>
      </w:pPr>
      <w:r>
        <w:rPr>
          <w:rFonts w:ascii="仿宋_GB2312" w:hAnsi="仿宋_GB2312" w:eastAsia="仿宋_GB2312"/>
          <w:b w:val="0"/>
          <w:sz w:val="32"/>
        </w:rPr>
        <w:t>12.农林水支出(类)巩固脱贫攻坚成果衔接乡村振兴(款)农村基础设施建设(项):支出决算数为0.00万元，比上年决算减少1,710.15万元，下降100.00%,主要原因是：本年减少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提孜那甫乡，塔合曼乡，科克亚尔乡，达布达尔乡，塔干乡配套基础设施2023年以工代赈示范项目、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塔什库尔干乡配套基础设施2023年以工代赈示范项目等。</w:t>
      </w:r>
    </w:p>
    <w:p w14:paraId="10EF3A63">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13.农林水支出(类)巩固脱贫攻坚成果衔接乡村振兴(款)生产发展(项):支出决算数为0.00万元，比上年决算减少1,140.00万元，下降100.00%,主要原因是：本年减少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塔什库尔干乡配套附属设施中央财政以工代赈项目、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达布达尔乡卡拉苏牧场村、萨热吉力尕村、萨拉力克村、萨斯合提卡村配套附属设施中央财政以工代赈项目、塔县提孜那甫乡、科克亚尔乡、班迪尔乡、塔合曼乡配套附属设施自治区财政以工代赈项目。</w:t>
      </w:r>
    </w:p>
    <w:p w14:paraId="6864F7BC">
      <w:pPr>
        <w:spacing w:line="580" w:lineRule="exact"/>
        <w:ind w:firstLine="640"/>
        <w:jc w:val="both"/>
      </w:pPr>
      <w:r>
        <w:rPr>
          <w:rFonts w:ascii="仿宋_GB2312" w:hAnsi="仿宋_GB2312" w:eastAsia="仿宋_GB2312"/>
          <w:b w:val="0"/>
          <w:sz w:val="32"/>
        </w:rPr>
        <w:t>14.农林水支出(类)农村综合改革(款)对村民委员会和村党支部的补助(项):支出决算数为0.00万元，比上年决算减少50.00万元，下降100.00%,主要原因是：本年减少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公共厕所建设项目。</w:t>
      </w:r>
    </w:p>
    <w:p w14:paraId="00783ABC">
      <w:pPr>
        <w:spacing w:line="580" w:lineRule="exact"/>
        <w:ind w:firstLine="640"/>
        <w:jc w:val="both"/>
      </w:pPr>
      <w:r>
        <w:rPr>
          <w:rFonts w:ascii="仿宋_GB2312" w:hAnsi="仿宋_GB2312" w:eastAsia="仿宋_GB2312"/>
          <w:b w:val="0"/>
          <w:sz w:val="32"/>
        </w:rPr>
        <w:t>15.交通运输支出(类)公路水路运输(款)公路建设(项):支出决算数为0.00万元，比上年决算减少3,562.93万元，下降100.00%,主要原因是：本年减少喀什地区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乔戈里路提升改造工程、喀什地区红其拉甫路提升改造工程、喀什地区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帕米尔路提升改造工程、喀什地区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道路提升改造工程等。</w:t>
      </w:r>
    </w:p>
    <w:p w14:paraId="22D6B91F">
      <w:pPr>
        <w:spacing w:line="580" w:lineRule="exact"/>
        <w:ind w:firstLine="640"/>
        <w:jc w:val="both"/>
      </w:pPr>
      <w:r>
        <w:rPr>
          <w:rFonts w:ascii="仿宋_GB2312" w:hAnsi="仿宋_GB2312" w:eastAsia="仿宋_GB2312"/>
          <w:b w:val="0"/>
          <w:sz w:val="32"/>
        </w:rPr>
        <w:t>16.住房保障支出(类)保障性安居工程支出(款)少数民族地区游牧民定居工程(项):支出决算数为32.71万元，比上年决算增加32.71万元，增长100.00%,主要原因是：本年新增2024年城乡抗震安居工程（牧民越冬放牧点生产用房安全隐患排查整治）项目。</w:t>
      </w:r>
    </w:p>
    <w:p w14:paraId="3395E429">
      <w:pPr>
        <w:spacing w:line="580" w:lineRule="exact"/>
        <w:ind w:firstLine="640"/>
        <w:jc w:val="both"/>
      </w:pPr>
      <w:r>
        <w:rPr>
          <w:rFonts w:ascii="仿宋_GB2312" w:hAnsi="仿宋_GB2312" w:eastAsia="仿宋_GB2312"/>
          <w:b w:val="0"/>
          <w:sz w:val="32"/>
        </w:rPr>
        <w:t>17.住房保障支出(类)保障性安居工程支出(款)农村危房改造(项):支出决算数为1.85万元，比上年决算增加1.85万元，增长100.00%,主要原因是：本年新增2024年城乡抗震安居工程建设民生实事项目。</w:t>
      </w:r>
    </w:p>
    <w:p w14:paraId="15A3157B">
      <w:pPr>
        <w:spacing w:line="580" w:lineRule="exact"/>
        <w:ind w:firstLine="640"/>
        <w:jc w:val="both"/>
      </w:pPr>
      <w:r>
        <w:rPr>
          <w:rFonts w:ascii="仿宋_GB2312" w:hAnsi="仿宋_GB2312" w:eastAsia="仿宋_GB2312"/>
          <w:b w:val="0"/>
          <w:sz w:val="32"/>
        </w:rPr>
        <w:t>18.住房保障支出(类)保障性安居工程支出(款)公共租赁住房(项):支出决算数为0.00万元，比上年决算减少640.57万元，下降100.00%,主要原因是：本年减少塔什库尔干塔吉克自治县2022年公租房建设项目。</w:t>
      </w:r>
    </w:p>
    <w:p w14:paraId="313D61D6">
      <w:pPr>
        <w:spacing w:line="580" w:lineRule="exact"/>
        <w:ind w:firstLine="640"/>
        <w:jc w:val="both"/>
      </w:pPr>
      <w:r>
        <w:rPr>
          <w:rFonts w:ascii="仿宋_GB2312" w:hAnsi="仿宋_GB2312" w:eastAsia="仿宋_GB2312"/>
          <w:b w:val="0"/>
          <w:sz w:val="32"/>
        </w:rPr>
        <w:t>19.住房保障支出(类)住房改革支出(款)住房公积金(项):支出决算数为102.23万元，比上年决算增加15.00万元，增长17.20%,主要原因是：本年在职人员工资基数调增，公积金缴费基数上涨，相应支出增加。</w:t>
      </w:r>
    </w:p>
    <w:p w14:paraId="29949553">
      <w:pPr>
        <w:spacing w:line="580" w:lineRule="exact"/>
        <w:ind w:firstLine="640"/>
        <w:jc w:val="both"/>
      </w:pPr>
      <w:r>
        <w:rPr>
          <w:rFonts w:ascii="仿宋_GB2312" w:hAnsi="仿宋_GB2312" w:eastAsia="仿宋_GB2312"/>
          <w:b w:val="0"/>
          <w:sz w:val="32"/>
        </w:rPr>
        <w:t>20.住房保障支出(类)城乡社区住宅(款)其他城乡社区住宅支出(项):支出决算数为75.04万元，比上年决算增加75.04万元，增长100.00%,主要原因是：本年增加塔县地震重点危险区城镇住宅抗震安全排查整治项目。</w:t>
      </w:r>
    </w:p>
    <w:p w14:paraId="36217E60">
      <w:pPr>
        <w:spacing w:line="580" w:lineRule="exact"/>
        <w:ind w:firstLine="640"/>
        <w:jc w:val="both"/>
      </w:pPr>
      <w:r>
        <w:rPr>
          <w:rFonts w:ascii="仿宋_GB2312" w:hAnsi="仿宋_GB2312" w:eastAsia="仿宋_GB2312"/>
          <w:b w:val="0"/>
          <w:sz w:val="32"/>
        </w:rPr>
        <w:t>21.其他支出(类)其他支出(款)其他支出(项):支出决算数为7.00万元，比上年决算减少62.27万元，下降89.89%,主要原因是：本年减少喀什地区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道路提升改造工程、</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2023年守边固边工程项目。</w:t>
      </w:r>
    </w:p>
    <w:p w14:paraId="7B50A9B5">
      <w:pPr>
        <w:spacing w:line="640" w:lineRule="exact"/>
        <w:ind w:firstLine="640"/>
        <w:jc w:val="both"/>
        <w:outlineLvl w:val="2"/>
      </w:pPr>
      <w:r>
        <w:rPr>
          <w:rFonts w:ascii="黑体" w:hAnsi="黑体" w:eastAsia="黑体"/>
          <w:sz w:val="32"/>
        </w:rPr>
        <w:t>六、一般公共预算财政拨款基本支出决算情况说明</w:t>
      </w:r>
    </w:p>
    <w:p w14:paraId="12D0F041">
      <w:pPr>
        <w:spacing w:line="580" w:lineRule="exact"/>
        <w:ind w:firstLine="640"/>
        <w:jc w:val="both"/>
      </w:pPr>
      <w:r>
        <w:rPr>
          <w:rFonts w:ascii="仿宋_GB2312" w:hAnsi="仿宋_GB2312" w:eastAsia="仿宋_GB2312"/>
          <w:b w:val="0"/>
          <w:sz w:val="32"/>
        </w:rPr>
        <w:t>2024年度一般公共预算财政拨款基本支出1,234.65万元，其中：</w:t>
      </w:r>
      <w:r>
        <w:rPr>
          <w:rFonts w:ascii="仿宋_GB2312" w:hAnsi="仿宋_GB2312" w:eastAsia="仿宋_GB2312"/>
          <w:b/>
          <w:sz w:val="32"/>
        </w:rPr>
        <w:t>人员经费1,204.42万元，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26DB1F9B">
      <w:pPr>
        <w:spacing w:line="580" w:lineRule="exact"/>
        <w:ind w:firstLine="640"/>
        <w:jc w:val="both"/>
      </w:pPr>
      <w:r>
        <w:rPr>
          <w:rFonts w:ascii="仿宋_GB2312" w:hAnsi="仿宋_GB2312" w:eastAsia="仿宋_GB2312"/>
          <w:b/>
          <w:sz w:val="32"/>
        </w:rPr>
        <w:t>公用经费30.22万元，</w:t>
      </w:r>
      <w:r>
        <w:rPr>
          <w:rFonts w:ascii="仿宋_GB2312" w:hAnsi="仿宋_GB2312" w:eastAsia="仿宋_GB2312"/>
          <w:b w:val="0"/>
          <w:sz w:val="32"/>
        </w:rPr>
        <w:t>包括：办公费、电费、取暖费、差旅费、公务用车运行维护费。</w:t>
      </w:r>
    </w:p>
    <w:p w14:paraId="7F2A48E3">
      <w:pPr>
        <w:spacing w:line="640" w:lineRule="exact"/>
        <w:ind w:firstLine="640"/>
        <w:jc w:val="both"/>
        <w:outlineLvl w:val="2"/>
      </w:pPr>
      <w:r>
        <w:rPr>
          <w:rFonts w:ascii="黑体" w:hAnsi="黑体" w:eastAsia="黑体"/>
          <w:sz w:val="32"/>
        </w:rPr>
        <w:t>七、政府性基金预算财政拨款收入支出决算情况说明</w:t>
      </w:r>
    </w:p>
    <w:p w14:paraId="6E87F436">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5738EBA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减少297.83万元，下降100.00%，主要原因是：本年减少拆迁福源小镇、如意小区私人自建房项目、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如意小区内5户自建房征收费用项目。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621D8E3D">
      <w:pPr>
        <w:spacing w:line="580" w:lineRule="exact"/>
        <w:ind w:firstLine="640"/>
        <w:jc w:val="both"/>
      </w:pPr>
      <w:r>
        <w:rPr>
          <w:rFonts w:ascii="仿宋_GB2312" w:hAnsi="仿宋_GB2312" w:eastAsia="仿宋_GB2312"/>
          <w:b w:val="0"/>
          <w:sz w:val="32"/>
        </w:rPr>
        <w:t>政府性基金预算财政拨款支出0.00万元。</w:t>
      </w:r>
    </w:p>
    <w:p w14:paraId="0B6258BE">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1.城乡社区支出(类)国有土地使用权出让收入安排的支出(款)征地和拆迁补偿支出(项):支出决算数为0.00万元，比上年决算减少297.83万元，下降100.00%,主要原因是：本年减少拆迁福源小镇、如意小区私人自建房项目、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如意小区内5户自建房征收费用项目。</w:t>
      </w:r>
    </w:p>
    <w:p w14:paraId="22343259">
      <w:pPr>
        <w:spacing w:line="640" w:lineRule="exact"/>
        <w:ind w:firstLine="640"/>
        <w:jc w:val="both"/>
        <w:outlineLvl w:val="2"/>
      </w:pPr>
      <w:r>
        <w:rPr>
          <w:rFonts w:ascii="黑体" w:hAnsi="黑体" w:eastAsia="黑体"/>
          <w:sz w:val="32"/>
        </w:rPr>
        <w:t>八、国有资本经营预算财政拨款收入支出决算情况说明</w:t>
      </w:r>
    </w:p>
    <w:p w14:paraId="13AF81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2891B1E">
      <w:pPr>
        <w:spacing w:line="640" w:lineRule="exact"/>
        <w:ind w:firstLine="640"/>
        <w:jc w:val="both"/>
        <w:outlineLvl w:val="2"/>
      </w:pPr>
      <w:r>
        <w:rPr>
          <w:rFonts w:ascii="黑体" w:hAnsi="黑体" w:eastAsia="黑体"/>
          <w:sz w:val="32"/>
        </w:rPr>
        <w:t>九、财政拨款“三公”经费支出决算情况说明</w:t>
      </w:r>
    </w:p>
    <w:p w14:paraId="417A9681">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w:t>
      </w:r>
      <w:r>
        <w:rPr>
          <w:rFonts w:hint="eastAsia" w:ascii="仿宋_GB2312" w:hAnsi="仿宋_GB2312" w:eastAsia="仿宋_GB2312"/>
          <w:b w:val="0"/>
          <w:sz w:val="32"/>
          <w:lang w:eastAsia="zh-CN"/>
        </w:rPr>
        <w:t>。</w:t>
      </w:r>
      <w:r>
        <w:rPr>
          <w:rFonts w:ascii="仿宋_GB2312" w:hAnsi="仿宋_GB2312" w:eastAsia="仿宋_GB2312"/>
          <w:b w:val="0"/>
          <w:sz w:val="32"/>
        </w:rPr>
        <w:t>公务接待费支出0.00万元，占0.00%，比上年增加0.00万元，增长0.00%，主要原因是：2023年与2024年均未安排公务接待费支出。</w:t>
      </w:r>
    </w:p>
    <w:p w14:paraId="4FFEF455">
      <w:pPr>
        <w:spacing w:line="580" w:lineRule="exact"/>
        <w:ind w:firstLine="640"/>
        <w:jc w:val="both"/>
      </w:pPr>
      <w:r>
        <w:rPr>
          <w:rFonts w:ascii="仿宋_GB2312" w:hAnsi="仿宋_GB2312" w:eastAsia="仿宋_GB2312"/>
          <w:b/>
          <w:sz w:val="32"/>
        </w:rPr>
        <w:t>具体情况如下：</w:t>
      </w:r>
    </w:p>
    <w:p w14:paraId="4C6380D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B4A3D4">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燃油费、保险费、维修维护费、过路费等。公务用车购置数0辆，公务用车保有量2辆。国有资产占用情况中固定资产车辆38辆，与公务用车保有量差异原因是：差异车辆为一般业务用车，预算未安排公务用车运行维护费。</w:t>
      </w:r>
    </w:p>
    <w:p w14:paraId="3DA418F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CC51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2.80万元，决算数2.80万元，预决算差异率0.00%，主要原因是：严格按照预算执行，预决算无差异。公务接待费全年预算数0.00万元，决算数0.00万元，预决算差异率0.00%，主要原因是：本单位无公务接待费。</w:t>
      </w:r>
    </w:p>
    <w:p w14:paraId="4A5CFA97">
      <w:pPr>
        <w:spacing w:line="640" w:lineRule="exact"/>
        <w:ind w:firstLine="640"/>
        <w:jc w:val="both"/>
        <w:outlineLvl w:val="2"/>
      </w:pPr>
      <w:r>
        <w:rPr>
          <w:rFonts w:ascii="黑体" w:hAnsi="黑体" w:eastAsia="黑体"/>
          <w:sz w:val="32"/>
        </w:rPr>
        <w:t>十、其他重要事项的情况说明</w:t>
      </w:r>
    </w:p>
    <w:p w14:paraId="14652774">
      <w:pPr>
        <w:spacing w:line="640" w:lineRule="exact"/>
        <w:ind w:firstLine="640"/>
        <w:jc w:val="both"/>
        <w:outlineLvl w:val="3"/>
      </w:pPr>
      <w:r>
        <w:rPr>
          <w:rFonts w:ascii="楷体_GB2312" w:hAnsi="楷体_GB2312" w:eastAsia="楷体_GB2312"/>
          <w:b/>
          <w:sz w:val="32"/>
        </w:rPr>
        <w:t>（一）机关运行经费及公用经费支出情况</w:t>
      </w:r>
    </w:p>
    <w:p w14:paraId="1F8F350E">
      <w:pPr>
        <w:spacing w:line="580" w:lineRule="exact"/>
        <w:ind w:firstLine="640"/>
        <w:jc w:val="both"/>
      </w:pPr>
      <w:r>
        <w:rPr>
          <w:rFonts w:ascii="仿宋_GB2312" w:hAnsi="仿宋_GB2312" w:eastAsia="仿宋_GB2312"/>
          <w:b w:val="0"/>
          <w:sz w:val="32"/>
        </w:rPr>
        <w:t>2024年度塔什库尔干塔吉克自治县住房和城乡建设局（行政单位和参照公务员法管理事业单位）机关运行经费支出30.22万元，比上年减少0.38万元，下降1.24%，主要原因是：本年有人员调出，办公费、水电费减少，导致经费较上年减少。</w:t>
      </w:r>
    </w:p>
    <w:p w14:paraId="76C2279F">
      <w:pPr>
        <w:spacing w:line="640" w:lineRule="exact"/>
        <w:ind w:firstLine="640"/>
        <w:jc w:val="both"/>
        <w:outlineLvl w:val="3"/>
      </w:pPr>
      <w:r>
        <w:rPr>
          <w:rFonts w:ascii="楷体_GB2312" w:hAnsi="楷体_GB2312" w:eastAsia="楷体_GB2312"/>
          <w:b/>
          <w:sz w:val="32"/>
        </w:rPr>
        <w:t>（二）政府采购情况</w:t>
      </w:r>
    </w:p>
    <w:p w14:paraId="2E65489D">
      <w:pPr>
        <w:spacing w:line="580" w:lineRule="exact"/>
        <w:ind w:firstLine="640"/>
        <w:jc w:val="both"/>
      </w:pPr>
      <w:r>
        <w:rPr>
          <w:rFonts w:ascii="仿宋_GB2312" w:hAnsi="仿宋_GB2312" w:eastAsia="仿宋_GB2312"/>
          <w:b w:val="0"/>
          <w:sz w:val="32"/>
        </w:rPr>
        <w:t>2024年度政府采购支出总额3,256.73万元，其中：政府采购货物支出3,015.21万元、政府采购工程支出205.47万元、政府采购服务支出36.05万元。</w:t>
      </w:r>
    </w:p>
    <w:p w14:paraId="5721A1C6">
      <w:pPr>
        <w:spacing w:line="580" w:lineRule="exact"/>
        <w:ind w:firstLine="640"/>
        <w:jc w:val="both"/>
      </w:pPr>
      <w:r>
        <w:rPr>
          <w:rFonts w:ascii="仿宋_GB2312" w:hAnsi="仿宋_GB2312" w:eastAsia="仿宋_GB2312"/>
          <w:b w:val="0"/>
          <w:sz w:val="32"/>
        </w:rPr>
        <w:t>授予中小企业合同金额241.52万元，占政府采购支出总额的7.42%，其中：授予小微企业合同金额0.00万元，占政府采购支出总额的0.00%。</w:t>
      </w:r>
    </w:p>
    <w:p w14:paraId="0BB27F35">
      <w:pPr>
        <w:spacing w:line="640" w:lineRule="exact"/>
        <w:ind w:firstLine="640"/>
        <w:jc w:val="both"/>
        <w:outlineLvl w:val="3"/>
      </w:pPr>
      <w:r>
        <w:rPr>
          <w:rFonts w:ascii="楷体_GB2312" w:hAnsi="楷体_GB2312" w:eastAsia="楷体_GB2312"/>
          <w:b/>
          <w:sz w:val="32"/>
        </w:rPr>
        <w:t>（三）国有资产占用情况说明</w:t>
      </w:r>
    </w:p>
    <w:p w14:paraId="255ED9B5">
      <w:pPr>
        <w:spacing w:line="580" w:lineRule="exact"/>
        <w:ind w:firstLine="640"/>
        <w:jc w:val="both"/>
      </w:pPr>
      <w:r>
        <w:rPr>
          <w:rFonts w:ascii="仿宋_GB2312" w:hAnsi="仿宋_GB2312" w:eastAsia="仿宋_GB2312"/>
          <w:b w:val="0"/>
          <w:sz w:val="32"/>
        </w:rPr>
        <w:t>截至2024年12月31日，房屋4,566.60平方米，价值2,032.66万元。车辆38辆，价值2,191.64万元，其中：副部（省）级及以上领导用车0辆、主要负责人用车0辆、机要通信用车0辆、应急保障用车0辆、执法执勤用车1辆、特种专业技术用车1辆、离退休干部服务用车0辆、其他用车36辆，其他用车主要是：垃圾清运车、扫路车、扫雪车、登高车等。单价100万元（含）以上设备（不含车辆）4台（套）。</w:t>
      </w:r>
    </w:p>
    <w:p w14:paraId="28630555">
      <w:pPr>
        <w:spacing w:line="640" w:lineRule="exact"/>
        <w:ind w:firstLine="640"/>
        <w:jc w:val="both"/>
        <w:outlineLvl w:val="2"/>
      </w:pPr>
      <w:r>
        <w:rPr>
          <w:rFonts w:ascii="黑体" w:hAnsi="黑体" w:eastAsia="黑体"/>
          <w:sz w:val="32"/>
        </w:rPr>
        <w:t>十一、预算绩效的情况说明</w:t>
      </w:r>
    </w:p>
    <w:p w14:paraId="00C8101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14,884.16万元，实际执行总额12,197.59万元；预算绩效评价项目5个，全年预算数7,382.54万元，全年执行数6,845.92万元。预算绩效管理取得的成效：一是本项目能够严格按照《项目实施方案》执行，项目执行情况较好；二是加强组织领导，本项目绩效评价工作，有县政府主要领导亲自挂帅，分管县领导具体负责，从项目到资金，均能</w:t>
      </w:r>
      <w:r>
        <w:rPr>
          <w:rFonts w:hint="eastAsia" w:ascii="仿宋_GB2312" w:hAnsi="仿宋_GB2312" w:eastAsia="仿宋_GB2312"/>
          <w:b w:val="0"/>
          <w:sz w:val="32"/>
          <w:lang w:eastAsia="zh-CN"/>
        </w:rPr>
        <w:t>有</w:t>
      </w:r>
      <w:r>
        <w:rPr>
          <w:rFonts w:ascii="仿宋_GB2312" w:hAnsi="仿宋_GB2312" w:eastAsia="仿宋_GB2312"/>
          <w:b w:val="0"/>
          <w:sz w:val="32"/>
        </w:rPr>
        <w:t>很好的执行；三是加强沟通协调，我单位及时向县领导汇报项目建设进度，加强与施工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hint="eastAsia" w:ascii="仿宋_GB2312" w:hAnsi="仿宋_GB2312" w:eastAsia="仿宋_GB2312"/>
          <w:b w:val="0"/>
          <w:sz w:val="32"/>
          <w:lang w:eastAsia="zh-CN"/>
        </w:rPr>
        <w:t>。</w:t>
      </w:r>
      <w:r>
        <w:rPr>
          <w:rFonts w:ascii="仿宋_GB2312" w:hAnsi="仿宋_GB2312" w:eastAsia="仿宋_GB2312"/>
          <w:b w:val="0"/>
          <w:sz w:val="32"/>
        </w:rPr>
        <w:t>下一步改进措施：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二是项目评价资料有待进一步完善。项目启动时同步做好档案的归纳与整理，及时整理、收集、汇总，健全档案资料。项目后续管理有待进一步加强和跟踪；三是通过绩效管理，发现实施中存在漏洞，以后加强管理，及时掌握与之相关的各类信息，减少成本，使资金效益最大化；四是评价工作应从项目实施方案源头抓起，评价工作和意识应贯穿项目整个过程</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3B5355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0F8B35">
        <w:tblPrEx>
          <w:tblCellMar>
            <w:top w:w="0" w:type="dxa"/>
            <w:left w:w="108" w:type="dxa"/>
            <w:bottom w:w="0" w:type="dxa"/>
            <w:right w:w="108" w:type="dxa"/>
          </w:tblCellMar>
        </w:tblPrEx>
        <w:tc>
          <w:tcPr>
            <w:tcW w:w="8847" w:type="dxa"/>
            <w:gridSpan w:val="9"/>
            <w:vAlign w:val="center"/>
          </w:tcPr>
          <w:p w14:paraId="46EDF922">
            <w:pPr>
              <w:jc w:val="center"/>
            </w:pPr>
            <w:r>
              <w:rPr>
                <w:rFonts w:ascii="宋体" w:hAnsi="宋体" w:eastAsia="宋体"/>
                <w:sz w:val="24"/>
              </w:rPr>
              <w:t>单位整体支出绩效自评表</w:t>
            </w:r>
          </w:p>
        </w:tc>
      </w:tr>
      <w:tr w14:paraId="6AB343F7">
        <w:tblPrEx>
          <w:tblCellMar>
            <w:top w:w="0" w:type="dxa"/>
            <w:left w:w="108" w:type="dxa"/>
            <w:bottom w:w="0" w:type="dxa"/>
            <w:right w:w="108" w:type="dxa"/>
          </w:tblCellMar>
        </w:tblPrEx>
        <w:tc>
          <w:tcPr>
            <w:tcW w:w="8847" w:type="dxa"/>
            <w:gridSpan w:val="9"/>
            <w:vAlign w:val="center"/>
          </w:tcPr>
          <w:p w14:paraId="69787D62">
            <w:pPr>
              <w:jc w:val="center"/>
            </w:pPr>
            <w:r>
              <w:rPr>
                <w:rFonts w:ascii="宋体" w:hAnsi="宋体" w:eastAsia="宋体"/>
                <w:sz w:val="24"/>
              </w:rPr>
              <w:t>（2024年度）</w:t>
            </w:r>
          </w:p>
        </w:tc>
      </w:tr>
      <w:tr w14:paraId="0CB04E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C45A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023D86">
            <w:pPr>
              <w:jc w:val="center"/>
            </w:pPr>
            <w:r>
              <w:rPr>
                <w:rFonts w:ascii="宋体" w:hAnsi="宋体" w:eastAsia="宋体"/>
                <w:sz w:val="16"/>
              </w:rPr>
              <w:t>塔什库尔干塔吉克自治县住房和城乡建设局</w:t>
            </w:r>
          </w:p>
        </w:tc>
      </w:tr>
      <w:tr w14:paraId="21DB79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22AC1">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9C0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7A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D91C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2C9B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1944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2C3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45DB">
            <w:pPr>
              <w:jc w:val="center"/>
            </w:pPr>
            <w:r>
              <w:rPr>
                <w:rFonts w:ascii="宋体" w:hAnsi="宋体" w:eastAsia="宋体"/>
                <w:sz w:val="16"/>
              </w:rPr>
              <w:t>得分</w:t>
            </w:r>
          </w:p>
        </w:tc>
      </w:tr>
      <w:tr w14:paraId="41FD3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A10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B80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D3B5">
            <w:pPr>
              <w:jc w:val="center"/>
            </w:pPr>
            <w:r>
              <w:rPr>
                <w:rFonts w:ascii="宋体" w:hAnsi="宋体" w:eastAsia="宋体"/>
                <w:sz w:val="16"/>
              </w:rPr>
              <w:t>1,933.06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C7E06">
            <w:pPr>
              <w:jc w:val="center"/>
            </w:pPr>
            <w:r>
              <w:rPr>
                <w:rFonts w:ascii="宋体" w:hAnsi="宋体" w:eastAsia="宋体"/>
                <w:sz w:val="16"/>
              </w:rPr>
              <w:t>14,884.16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B330E">
            <w:pPr>
              <w:jc w:val="center"/>
            </w:pPr>
            <w:r>
              <w:rPr>
                <w:rFonts w:ascii="宋体" w:hAnsi="宋体" w:eastAsia="宋体"/>
                <w:sz w:val="16"/>
              </w:rPr>
              <w:t>12,197.59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7A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509E">
            <w:pPr>
              <w:jc w:val="center"/>
            </w:pPr>
            <w:r>
              <w:rPr>
                <w:rFonts w:ascii="宋体" w:hAnsi="宋体" w:eastAsia="宋体"/>
                <w:sz w:val="16"/>
              </w:rPr>
              <w:t>81.95%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C7B6">
            <w:pPr>
              <w:jc w:val="center"/>
            </w:pPr>
            <w:r>
              <w:rPr>
                <w:rFonts w:ascii="宋体" w:hAnsi="宋体" w:eastAsia="宋体"/>
                <w:sz w:val="16"/>
              </w:rPr>
              <w:t>8.2</w:t>
            </w:r>
          </w:p>
        </w:tc>
      </w:tr>
      <w:tr w14:paraId="22C424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A7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FA5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38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DDE8">
            <w:pPr>
              <w:jc w:val="center"/>
            </w:pPr>
            <w:r>
              <w:rPr>
                <w:rFonts w:ascii="宋体" w:hAnsi="宋体" w:eastAsia="宋体"/>
                <w:sz w:val="16"/>
              </w:rPr>
              <w:t>8,819.71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5FE0">
            <w:pPr>
              <w:jc w:val="center"/>
            </w:pPr>
            <w:r>
              <w:rPr>
                <w:rFonts w:ascii="宋体" w:hAnsi="宋体" w:eastAsia="宋体"/>
                <w:sz w:val="16"/>
              </w:rPr>
              <w:t>6,414.44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C41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DA1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0F64">
            <w:pPr>
              <w:jc w:val="center"/>
            </w:pPr>
            <w:r>
              <w:rPr>
                <w:rFonts w:ascii="宋体" w:hAnsi="宋体" w:eastAsia="宋体"/>
                <w:sz w:val="16"/>
              </w:rPr>
              <w:t>—</w:t>
            </w:r>
          </w:p>
        </w:tc>
      </w:tr>
      <w:tr w14:paraId="4398FF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DDC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6E0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7B32E">
            <w:pPr>
              <w:jc w:val="center"/>
            </w:pPr>
            <w:r>
              <w:rPr>
                <w:rFonts w:ascii="宋体" w:hAnsi="宋体" w:eastAsia="宋体"/>
                <w:sz w:val="16"/>
              </w:rPr>
              <w:t>1,933.06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44D2">
            <w:pPr>
              <w:jc w:val="center"/>
            </w:pPr>
            <w:r>
              <w:rPr>
                <w:rFonts w:ascii="宋体" w:hAnsi="宋体" w:eastAsia="宋体"/>
                <w:sz w:val="16"/>
              </w:rPr>
              <w:t>5,915.49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DE4A5">
            <w:pPr>
              <w:jc w:val="center"/>
            </w:pPr>
            <w:r>
              <w:rPr>
                <w:rFonts w:ascii="宋体" w:hAnsi="宋体" w:eastAsia="宋体"/>
                <w:sz w:val="16"/>
              </w:rPr>
              <w:t>5,634.19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60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AD3A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ECBB">
            <w:pPr>
              <w:jc w:val="center"/>
            </w:pPr>
            <w:r>
              <w:rPr>
                <w:rFonts w:ascii="宋体" w:hAnsi="宋体" w:eastAsia="宋体"/>
                <w:sz w:val="16"/>
              </w:rPr>
              <w:t>—</w:t>
            </w:r>
          </w:p>
        </w:tc>
      </w:tr>
      <w:tr w14:paraId="59664A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20D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55B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B1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7CA8A">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7BE12">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6A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96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743F">
            <w:pPr>
              <w:jc w:val="center"/>
            </w:pPr>
            <w:r>
              <w:rPr>
                <w:rFonts w:ascii="宋体" w:hAnsi="宋体" w:eastAsia="宋体"/>
                <w:sz w:val="16"/>
              </w:rPr>
              <w:t>—</w:t>
            </w:r>
          </w:p>
        </w:tc>
      </w:tr>
      <w:tr w14:paraId="141F7D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211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AC0D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5B304">
            <w:pPr>
              <w:jc w:val="center"/>
            </w:pPr>
            <w:r>
              <w:rPr>
                <w:rFonts w:ascii="宋体" w:hAnsi="宋体" w:eastAsia="宋体"/>
                <w:sz w:val="16"/>
              </w:rPr>
              <w:t>实际完成目标</w:t>
            </w:r>
          </w:p>
        </w:tc>
      </w:tr>
      <w:tr w14:paraId="22386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06B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3AE07">
            <w:pPr>
              <w:jc w:val="both"/>
            </w:pPr>
            <w:r>
              <w:rPr>
                <w:rFonts w:ascii="宋体" w:hAnsi="宋体" w:eastAsia="宋体"/>
                <w:sz w:val="16"/>
              </w:rPr>
              <w:t>2024年是“十四五”的关键之年。县住房城乡建设系统将高举习近平新时代中国特色社会主义思想伟大旗帜，坚持“稳中求进”工作总基调，践行以人民为中心的发展思想，以高质量发展为目标，以重点项目建设为引领，以强化行业管理为抓手，按照“补短板，抓提升，强管理”总体思路，以精细化管理为保障，提升城市品质，推动住房城乡事业高质量发展。加强党建，改进作风，营造积极向上的干事氛围。完善机制，夯实基础，维护全系统和谐稳定。持续</w:t>
            </w:r>
            <w:r>
              <w:rPr>
                <w:rFonts w:hint="eastAsia" w:ascii="宋体" w:hAnsi="宋体"/>
                <w:sz w:val="16"/>
                <w:lang w:eastAsia="zh-CN"/>
              </w:rPr>
              <w:t>推进</w:t>
            </w:r>
            <w:r>
              <w:rPr>
                <w:rFonts w:ascii="宋体" w:hAnsi="宋体" w:eastAsia="宋体"/>
                <w:sz w:val="16"/>
              </w:rPr>
              <w:t>园林城市建设，提升城市承载力，基础设施补短板。突出民生优先，提高住房保障水平，着力抓好住房保障建设和管理工作，保质保量完成自建房排查整治工作任务。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38B10">
            <w:pPr>
              <w:jc w:val="both"/>
            </w:pPr>
            <w:r>
              <w:rPr>
                <w:rFonts w:hint="eastAsia" w:ascii="宋体" w:hAnsi="宋体"/>
                <w:sz w:val="16"/>
                <w:lang w:eastAsia="zh-CN"/>
              </w:rPr>
              <w:t>截至</w:t>
            </w:r>
            <w:r>
              <w:rPr>
                <w:rFonts w:ascii="宋体" w:hAnsi="宋体" w:eastAsia="宋体"/>
                <w:sz w:val="16"/>
              </w:rPr>
              <w:t>自评节点完成了492套公租房的建设，并改造了5342.72平方米的沥青路面，新建消防水池1座，景观雕塑1座，栽植花卉28万株，有效推进改善了人居环境，着力提升了城市建设。县住房城乡建设系统将高举习近平新时代中国特色社会主义思想伟大旗帜，坚持“稳中求进”工作总基调，树牢“慢进是退，不进更是退”意识，不断巩固汲取党史学习教育力量，践行以人民为中心的发展思想，以高质量发展为目标，以重点项目建设为引领，以强化行业管理为抓手，着力做好</w:t>
            </w:r>
            <w:r>
              <w:rPr>
                <w:rFonts w:hint="eastAsia" w:ascii="宋体" w:hAnsi="宋体"/>
                <w:sz w:val="16"/>
                <w:lang w:eastAsia="zh-CN"/>
              </w:rPr>
              <w:t>“六稳”、“六保”</w:t>
            </w:r>
            <w:r>
              <w:rPr>
                <w:rFonts w:ascii="宋体" w:hAnsi="宋体" w:eastAsia="宋体"/>
                <w:sz w:val="16"/>
              </w:rPr>
              <w:t>工作，按照“补短板，抓提升，强管理”总体思路，以精细化管理为保障，提升城市品质，推动住房城乡事业高质量发展。积极主动做好城市建设谋划工作，根据城市建设规划要求，建立沟通协调机制，科学谋划布局，提升建设品质，大力实施城市品质提升集中攻坚工程，全面启动老旧小区改造工作，做好县城城市有机更新工作，抓好项目建设进度和质量，强化日常巡查和动态管理，督促实施单位加快推进城市有机更新。保持房地产市场健康平稳发展，</w:t>
            </w:r>
            <w:r>
              <w:rPr>
                <w:rFonts w:hint="eastAsia" w:ascii="宋体" w:hAnsi="宋体"/>
                <w:sz w:val="16"/>
                <w:lang w:eastAsia="zh-CN"/>
              </w:rPr>
              <w:t>做好</w:t>
            </w:r>
            <w:r>
              <w:rPr>
                <w:rFonts w:ascii="宋体" w:hAnsi="宋体" w:eastAsia="宋体"/>
                <w:sz w:val="16"/>
              </w:rPr>
              <w:t>物业管理整治工作，加强房地产市场监管。</w:t>
            </w:r>
          </w:p>
        </w:tc>
      </w:tr>
      <w:tr w14:paraId="78A62A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B6B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A7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B1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7920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E32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32E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62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D3E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50D1">
            <w:pPr>
              <w:jc w:val="center"/>
            </w:pPr>
            <w:r>
              <w:rPr>
                <w:rFonts w:ascii="宋体" w:hAnsi="宋体" w:eastAsia="宋体"/>
                <w:sz w:val="16"/>
              </w:rPr>
              <w:t>得分</w:t>
            </w:r>
          </w:p>
        </w:tc>
      </w:tr>
      <w:tr w14:paraId="3F0800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406E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886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D3CA4">
            <w:pPr>
              <w:jc w:val="center"/>
            </w:pPr>
            <w:r>
              <w:rPr>
                <w:rFonts w:ascii="宋体" w:hAnsi="宋体" w:eastAsia="宋体"/>
                <w:sz w:val="16"/>
              </w:rPr>
              <w:t>新建消防水池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BF07">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727B1">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410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13F4B">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226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0009">
            <w:pPr>
              <w:jc w:val="center"/>
            </w:pPr>
            <w:r>
              <w:rPr>
                <w:rFonts w:ascii="宋体" w:hAnsi="宋体" w:eastAsia="宋体"/>
                <w:sz w:val="16"/>
              </w:rPr>
              <w:t>15</w:t>
            </w:r>
          </w:p>
        </w:tc>
      </w:tr>
      <w:tr w14:paraId="59541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E10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706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B9D3">
            <w:pPr>
              <w:jc w:val="center"/>
            </w:pPr>
            <w:r>
              <w:rPr>
                <w:rFonts w:ascii="宋体" w:hAnsi="宋体" w:eastAsia="宋体"/>
                <w:sz w:val="16"/>
              </w:rPr>
              <w:t>新建景观雕塑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5442E">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3A46">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EB1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39F1E">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0A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330A2">
            <w:pPr>
              <w:jc w:val="center"/>
            </w:pPr>
            <w:r>
              <w:rPr>
                <w:rFonts w:ascii="宋体" w:hAnsi="宋体" w:eastAsia="宋体"/>
                <w:sz w:val="16"/>
              </w:rPr>
              <w:t>15</w:t>
            </w:r>
          </w:p>
        </w:tc>
      </w:tr>
      <w:tr w14:paraId="12B48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726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8DA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9BF02">
            <w:pPr>
              <w:jc w:val="center"/>
            </w:pPr>
            <w:r>
              <w:rPr>
                <w:rFonts w:ascii="宋体" w:hAnsi="宋体" w:eastAsia="宋体"/>
                <w:sz w:val="16"/>
              </w:rPr>
              <w:t>新建游客服务中心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26876">
            <w:pPr>
              <w:jc w:val="center"/>
            </w:pPr>
            <w:r>
              <w:rPr>
                <w:rFonts w:ascii="宋体" w:hAnsi="宋体" w:eastAsia="宋体"/>
                <w:sz w:val="16"/>
              </w:rPr>
              <w:t>&gt;=2座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CBF13">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8B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2856">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BFA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EB3B">
            <w:pPr>
              <w:jc w:val="center"/>
            </w:pPr>
            <w:r>
              <w:rPr>
                <w:rFonts w:ascii="宋体" w:hAnsi="宋体" w:eastAsia="宋体"/>
                <w:sz w:val="16"/>
              </w:rPr>
              <w:t>15</w:t>
            </w:r>
          </w:p>
        </w:tc>
      </w:tr>
      <w:tr w14:paraId="3FE35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A75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FAD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EA95">
            <w:pPr>
              <w:jc w:val="center"/>
            </w:pPr>
            <w:r>
              <w:rPr>
                <w:rFonts w:ascii="宋体" w:hAnsi="宋体" w:eastAsia="宋体"/>
                <w:sz w:val="16"/>
              </w:rPr>
              <w:t>栽植花卉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5CDA">
            <w:pPr>
              <w:jc w:val="center"/>
            </w:pPr>
            <w:r>
              <w:rPr>
                <w:rFonts w:ascii="宋体" w:hAnsi="宋体" w:eastAsia="宋体"/>
                <w:sz w:val="16"/>
              </w:rPr>
              <w:t>&gt;=28万株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6BCD9">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7EB6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80B93">
            <w:pPr>
              <w:jc w:val="center"/>
            </w:pPr>
            <w:r>
              <w:rPr>
                <w:rFonts w:ascii="宋体" w:hAnsi="宋体" w:eastAsia="宋体"/>
                <w:sz w:val="16"/>
              </w:rPr>
              <w:t>=28万株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9A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7E91">
            <w:pPr>
              <w:jc w:val="center"/>
            </w:pPr>
            <w:r>
              <w:rPr>
                <w:rFonts w:ascii="宋体" w:hAnsi="宋体" w:eastAsia="宋体"/>
                <w:sz w:val="16"/>
              </w:rPr>
              <w:t>15</w:t>
            </w:r>
          </w:p>
        </w:tc>
      </w:tr>
      <w:tr w14:paraId="64209E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58C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C34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7B781">
            <w:pPr>
              <w:jc w:val="center"/>
            </w:pPr>
            <w:r>
              <w:rPr>
                <w:rFonts w:ascii="宋体" w:hAnsi="宋体" w:eastAsia="宋体"/>
                <w:sz w:val="16"/>
              </w:rPr>
              <w:t>新建市政道路沥青路面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7D464">
            <w:pPr>
              <w:jc w:val="center"/>
            </w:pPr>
            <w:r>
              <w:rPr>
                <w:rFonts w:ascii="宋体" w:hAnsi="宋体" w:eastAsia="宋体"/>
                <w:sz w:val="16"/>
              </w:rPr>
              <w:t>&gt;=5342.72平方米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C47C">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F66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D2B31">
            <w:pPr>
              <w:jc w:val="center"/>
            </w:pPr>
            <w:r>
              <w:rPr>
                <w:rFonts w:ascii="宋体" w:hAnsi="宋体" w:eastAsia="宋体"/>
                <w:sz w:val="16"/>
              </w:rPr>
              <w:t>=5342.72平方米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CA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74D9">
            <w:pPr>
              <w:jc w:val="center"/>
            </w:pPr>
            <w:r>
              <w:rPr>
                <w:rFonts w:ascii="宋体" w:hAnsi="宋体" w:eastAsia="宋体"/>
                <w:sz w:val="16"/>
              </w:rPr>
              <w:t>15</w:t>
            </w:r>
          </w:p>
        </w:tc>
      </w:tr>
      <w:tr w14:paraId="19D5F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A36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3B8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0C00E">
            <w:pPr>
              <w:jc w:val="center"/>
            </w:pPr>
            <w:r>
              <w:rPr>
                <w:rFonts w:ascii="宋体" w:hAnsi="宋体" w:eastAsia="宋体"/>
                <w:sz w:val="16"/>
              </w:rPr>
              <w:t>新建公租房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DF334">
            <w:pPr>
              <w:jc w:val="center"/>
            </w:pPr>
            <w:r>
              <w:rPr>
                <w:rFonts w:ascii="宋体" w:hAnsi="宋体" w:eastAsia="宋体"/>
                <w:sz w:val="16"/>
              </w:rPr>
              <w:t>&gt;=492套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F646E">
            <w:pPr>
              <w:jc w:val="center"/>
            </w:pPr>
            <w:r>
              <w:rPr>
                <w:rFonts w:ascii="宋体" w:hAnsi="宋体" w:eastAsia="宋体"/>
                <w:sz w:val="16"/>
              </w:rPr>
              <w:t>2024年住建局工作计划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097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354E6">
            <w:pPr>
              <w:jc w:val="center"/>
            </w:pPr>
            <w:r>
              <w:rPr>
                <w:rFonts w:ascii="宋体" w:hAnsi="宋体" w:eastAsia="宋体"/>
                <w:sz w:val="16"/>
              </w:rPr>
              <w:t>=492套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4F1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EB0E">
            <w:pPr>
              <w:jc w:val="center"/>
            </w:pPr>
            <w:r>
              <w:rPr>
                <w:rFonts w:ascii="宋体" w:hAnsi="宋体" w:eastAsia="宋体"/>
                <w:sz w:val="16"/>
              </w:rPr>
              <w:t>15</w:t>
            </w:r>
          </w:p>
        </w:tc>
      </w:tr>
    </w:tbl>
    <w:p w14:paraId="11811C3B">
      <w:r>
        <w:br w:type="page"/>
      </w:r>
    </w:p>
    <w:tbl>
      <w:tblPr>
        <w:tblStyle w:val="9"/>
        <w:tblW w:w="0" w:type="auto"/>
        <w:tblInd w:w="0" w:type="dxa"/>
        <w:tblLayout w:type="autofit"/>
        <w:tblCellMar>
          <w:top w:w="0" w:type="dxa"/>
          <w:left w:w="108" w:type="dxa"/>
          <w:bottom w:w="0" w:type="dxa"/>
          <w:right w:w="108" w:type="dxa"/>
        </w:tblCellMar>
      </w:tblPr>
      <w:tblGrid>
        <w:gridCol w:w="600"/>
        <w:gridCol w:w="549"/>
        <w:gridCol w:w="550"/>
        <w:gridCol w:w="696"/>
        <w:gridCol w:w="1256"/>
        <w:gridCol w:w="571"/>
        <w:gridCol w:w="562"/>
        <w:gridCol w:w="571"/>
        <w:gridCol w:w="562"/>
        <w:gridCol w:w="550"/>
        <w:gridCol w:w="936"/>
        <w:gridCol w:w="627"/>
        <w:gridCol w:w="429"/>
        <w:gridCol w:w="601"/>
      </w:tblGrid>
      <w:tr w14:paraId="7C7193ED">
        <w:tc>
          <w:tcPr>
            <w:tcW w:w="8848" w:type="dxa"/>
            <w:gridSpan w:val="14"/>
            <w:vAlign w:val="center"/>
          </w:tcPr>
          <w:p w14:paraId="7CB746C1">
            <w:pPr>
              <w:jc w:val="center"/>
            </w:pPr>
            <w:r>
              <w:rPr>
                <w:rFonts w:ascii="宋体" w:hAnsi="宋体" w:eastAsia="宋体"/>
                <w:sz w:val="24"/>
              </w:rPr>
              <w:t>项目支出绩效自评表</w:t>
            </w:r>
          </w:p>
        </w:tc>
      </w:tr>
      <w:tr w14:paraId="75DC1F7B">
        <w:tblPrEx>
          <w:tblCellMar>
            <w:top w:w="0" w:type="dxa"/>
            <w:left w:w="108" w:type="dxa"/>
            <w:bottom w:w="0" w:type="dxa"/>
            <w:right w:w="108" w:type="dxa"/>
          </w:tblCellMar>
        </w:tblPrEx>
        <w:tc>
          <w:tcPr>
            <w:tcW w:w="8848" w:type="dxa"/>
            <w:gridSpan w:val="14"/>
            <w:vAlign w:val="center"/>
          </w:tcPr>
          <w:p w14:paraId="6E3F1458">
            <w:pPr>
              <w:jc w:val="center"/>
            </w:pPr>
            <w:r>
              <w:rPr>
                <w:rFonts w:ascii="宋体" w:hAnsi="宋体" w:eastAsia="宋体"/>
                <w:sz w:val="24"/>
              </w:rPr>
              <w:t>(2024年度)</w:t>
            </w:r>
          </w:p>
        </w:tc>
      </w:tr>
      <w:tr w14:paraId="07AA7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85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1C3344">
            <w:pPr>
              <w:jc w:val="center"/>
            </w:pPr>
            <w:r>
              <w:rPr>
                <w:rFonts w:ascii="宋体" w:hAnsi="宋体" w:eastAsia="宋体"/>
                <w:sz w:val="16"/>
              </w:rPr>
              <w:t>2024年自筹资金经费</w:t>
            </w:r>
          </w:p>
        </w:tc>
      </w:tr>
      <w:tr w14:paraId="063E6A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0D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983D2">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A7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3325CA">
            <w:pPr>
              <w:jc w:val="center"/>
            </w:pPr>
            <w:r>
              <w:rPr>
                <w:rFonts w:ascii="宋体" w:hAnsi="宋体" w:eastAsia="宋体"/>
                <w:sz w:val="16"/>
              </w:rPr>
              <w:t>塔什库尔干塔吉克自治县住房和城乡建设局</w:t>
            </w:r>
          </w:p>
        </w:tc>
      </w:tr>
      <w:tr w14:paraId="69C808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BA5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CA23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866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C9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4F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6B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D2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A393">
            <w:pPr>
              <w:jc w:val="center"/>
            </w:pPr>
            <w:r>
              <w:rPr>
                <w:rFonts w:ascii="宋体" w:hAnsi="宋体" w:eastAsia="宋体"/>
                <w:sz w:val="16"/>
              </w:rPr>
              <w:t>得分</w:t>
            </w:r>
          </w:p>
        </w:tc>
      </w:tr>
      <w:tr w14:paraId="57BCC8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E36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DE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7076">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4BA8">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6E81F">
            <w:pPr>
              <w:jc w:val="center"/>
            </w:pPr>
            <w:r>
              <w:rPr>
                <w:rFonts w:ascii="宋体" w:hAnsi="宋体" w:eastAsia="宋体"/>
                <w:sz w:val="16"/>
              </w:rPr>
              <w:t>3,906.42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F7F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C0E3">
            <w:pPr>
              <w:jc w:val="center"/>
            </w:pPr>
            <w:r>
              <w:rPr>
                <w:rFonts w:ascii="宋体" w:hAnsi="宋体" w:eastAsia="宋体"/>
                <w:sz w:val="16"/>
              </w:rPr>
              <w:t>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37CA">
            <w:pPr>
              <w:jc w:val="center"/>
            </w:pPr>
            <w:r>
              <w:rPr>
                <w:rFonts w:hint="eastAsia" w:ascii="宋体" w:hAnsi="宋体"/>
                <w:sz w:val="16"/>
                <w:lang w:val="en-US" w:eastAsia="zh-CN"/>
              </w:rPr>
              <w:t>8.79</w:t>
            </w:r>
            <w:r>
              <w:rPr>
                <w:rFonts w:ascii="宋体" w:hAnsi="宋体" w:eastAsia="宋体"/>
                <w:sz w:val="16"/>
              </w:rPr>
              <w:t>分</w:t>
            </w:r>
          </w:p>
        </w:tc>
      </w:tr>
      <w:tr w14:paraId="43A3B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84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7F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3078">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E511">
            <w:pPr>
              <w:jc w:val="center"/>
            </w:pPr>
            <w:r>
              <w:rPr>
                <w:rFonts w:ascii="宋体" w:hAnsi="宋体" w:eastAsia="宋体"/>
                <w:sz w:val="16"/>
              </w:rPr>
              <w:t>4,443.04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215AF">
            <w:pPr>
              <w:jc w:val="center"/>
            </w:pPr>
            <w:r>
              <w:rPr>
                <w:rFonts w:ascii="宋体" w:hAnsi="宋体" w:eastAsia="宋体"/>
                <w:sz w:val="16"/>
              </w:rPr>
              <w:t>3,906.42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5E7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A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A2DB">
            <w:pPr>
              <w:jc w:val="center"/>
            </w:pPr>
            <w:r>
              <w:rPr>
                <w:rFonts w:ascii="宋体" w:hAnsi="宋体" w:eastAsia="宋体"/>
                <w:sz w:val="16"/>
              </w:rPr>
              <w:t>—</w:t>
            </w:r>
          </w:p>
        </w:tc>
      </w:tr>
      <w:tr w14:paraId="0F90C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59E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6F0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CB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A5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127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C4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A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8EB9">
            <w:pPr>
              <w:jc w:val="center"/>
            </w:pPr>
            <w:r>
              <w:rPr>
                <w:rFonts w:ascii="宋体" w:hAnsi="宋体" w:eastAsia="宋体"/>
                <w:sz w:val="16"/>
              </w:rPr>
              <w:t>—</w:t>
            </w:r>
          </w:p>
        </w:tc>
      </w:tr>
      <w:tr w14:paraId="767DD3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A8D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99C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32696">
            <w:pPr>
              <w:jc w:val="center"/>
            </w:pPr>
            <w:r>
              <w:rPr>
                <w:rFonts w:ascii="宋体" w:hAnsi="宋体" w:eastAsia="宋体"/>
                <w:sz w:val="16"/>
              </w:rPr>
              <w:t>实际完成情况</w:t>
            </w:r>
          </w:p>
        </w:tc>
      </w:tr>
      <w:tr w14:paraId="07CA2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B5C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2787E">
            <w:pPr>
              <w:jc w:val="both"/>
            </w:pPr>
            <w:r>
              <w:rPr>
                <w:rFonts w:ascii="宋体" w:hAnsi="宋体" w:eastAsia="宋体"/>
                <w:sz w:val="16"/>
              </w:rPr>
              <w:t>项目计划投资44430433.07元，用于对</w:t>
            </w:r>
            <w:r>
              <w:rPr>
                <w:rFonts w:hint="eastAsia" w:ascii="宋体" w:hAnsi="宋体"/>
                <w:sz w:val="16"/>
                <w:lang w:eastAsia="zh-CN"/>
              </w:rPr>
              <w:t>塔什库尔干塔吉克自治县</w:t>
            </w:r>
            <w:r>
              <w:rPr>
                <w:rFonts w:ascii="宋体" w:hAnsi="宋体" w:eastAsia="宋体"/>
                <w:sz w:val="16"/>
              </w:rPr>
              <w:t>城乡寄宿制小学厕所消防管网维修、建设</w:t>
            </w:r>
            <w:r>
              <w:rPr>
                <w:rFonts w:hint="eastAsia" w:ascii="宋体" w:hAnsi="宋体"/>
                <w:sz w:val="16"/>
                <w:lang w:eastAsia="zh-CN"/>
              </w:rPr>
              <w:t>塔什库尔干塔吉克自治县</w:t>
            </w:r>
            <w:r>
              <w:rPr>
                <w:rFonts w:ascii="宋体" w:hAnsi="宋体" w:eastAsia="宋体"/>
                <w:sz w:val="16"/>
              </w:rPr>
              <w:t>居民小区充电桩，维修塔县保障性小区设施；房改办家属院7户自建房征收补偿及评估测绘、塔县塔吉克阿巴提镇易地扶贫搬迁安置小区亮化；塔县深圳新村公共生活及室外附属配套建设；塔县塔吉克阿巴提镇基础设施-供水工程；塔县卫星工厂 新建旱厕及维修改造；塔县排水管网改造项目；塔县塔吉克 阿巴提镇生活垃圾处理等历年自筹资金经费项目。能够有效带动</w:t>
            </w:r>
            <w:r>
              <w:rPr>
                <w:rFonts w:hint="eastAsia" w:ascii="宋体" w:hAnsi="宋体"/>
                <w:sz w:val="16"/>
                <w:lang w:eastAsia="zh-CN"/>
              </w:rPr>
              <w:t>塔什库尔干塔吉克自治县</w:t>
            </w:r>
            <w:r>
              <w:rPr>
                <w:rFonts w:ascii="宋体" w:hAnsi="宋体" w:eastAsia="宋体"/>
                <w:sz w:val="16"/>
              </w:rPr>
              <w:t>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141D0B">
            <w:pPr>
              <w:jc w:val="both"/>
            </w:pPr>
            <w:r>
              <w:rPr>
                <w:rFonts w:ascii="宋体" w:hAnsi="宋体" w:eastAsia="宋体"/>
                <w:sz w:val="16"/>
              </w:rPr>
              <w:t>项目实际完成投资3906.42万元，用于对</w:t>
            </w:r>
            <w:r>
              <w:rPr>
                <w:rFonts w:hint="eastAsia" w:ascii="宋体" w:hAnsi="宋体"/>
                <w:sz w:val="16"/>
                <w:lang w:eastAsia="zh-CN"/>
              </w:rPr>
              <w:t>塔什库尔干塔吉克自治县</w:t>
            </w:r>
            <w:r>
              <w:rPr>
                <w:rFonts w:ascii="宋体" w:hAnsi="宋体" w:eastAsia="宋体"/>
                <w:sz w:val="16"/>
              </w:rPr>
              <w:t>城乡寄宿制小学厕所消防管网维修、建设</w:t>
            </w:r>
            <w:r>
              <w:rPr>
                <w:rFonts w:hint="eastAsia" w:ascii="宋体" w:hAnsi="宋体"/>
                <w:sz w:val="16"/>
                <w:lang w:eastAsia="zh-CN"/>
              </w:rPr>
              <w:t>塔什库尔干塔吉克自治县</w:t>
            </w:r>
            <w:r>
              <w:rPr>
                <w:rFonts w:ascii="宋体" w:hAnsi="宋体" w:eastAsia="宋体"/>
                <w:sz w:val="16"/>
              </w:rPr>
              <w:t>居民小区充电桩，维修塔县保障性小区设施；房改办家属院7户自建房征收补偿及评估测绘、塔县塔吉克阿巴提镇易地扶贫搬迁安置小区亮化；塔县深圳新村公共生活及室外附属配套建设；塔县塔吉克阿巴提镇基础设施-供水工程；塔县卫星工厂 新建旱厕及维修改造；塔县排水管网改造项目；塔县塔吉克 阿巴提镇生活垃圾处理等历年自筹资金经费项目。能够有效带动</w:t>
            </w:r>
            <w:r>
              <w:rPr>
                <w:rFonts w:hint="eastAsia" w:ascii="宋体" w:hAnsi="宋体"/>
                <w:sz w:val="16"/>
                <w:lang w:eastAsia="zh-CN"/>
              </w:rPr>
              <w:t>塔什库尔干塔吉克自治县</w:t>
            </w:r>
            <w:r>
              <w:rPr>
                <w:rFonts w:ascii="宋体" w:hAnsi="宋体" w:eastAsia="宋体"/>
                <w:sz w:val="16"/>
              </w:rPr>
              <w:t>繁荣发展。</w:t>
            </w:r>
          </w:p>
        </w:tc>
      </w:tr>
      <w:tr w14:paraId="62063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4013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70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88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8C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68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83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D4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DB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60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C8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E2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C0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B1858">
            <w:pPr>
              <w:jc w:val="center"/>
            </w:pPr>
            <w:r>
              <w:rPr>
                <w:rFonts w:ascii="宋体" w:hAnsi="宋体" w:eastAsia="宋体"/>
                <w:sz w:val="16"/>
              </w:rPr>
              <w:t>偏差原因分析及改进措施</w:t>
            </w:r>
          </w:p>
        </w:tc>
      </w:tr>
      <w:tr w14:paraId="76EDA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7AD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367E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73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007">
            <w:pPr>
              <w:jc w:val="center"/>
            </w:pPr>
            <w:r>
              <w:rPr>
                <w:rFonts w:ascii="宋体" w:hAnsi="宋体" w:eastAsia="宋体"/>
                <w:sz w:val="16"/>
              </w:rPr>
              <w:t>自筹经费项目数（项）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6DAE">
            <w:pPr>
              <w:jc w:val="center"/>
            </w:pPr>
            <w:r>
              <w:rPr>
                <w:rFonts w:ascii="宋体" w:hAnsi="宋体" w:eastAsia="宋体"/>
                <w:sz w:val="16"/>
              </w:rPr>
              <w:t>&gt;=47项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6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C5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08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5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7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FCF8">
            <w:pPr>
              <w:jc w:val="center"/>
            </w:pPr>
            <w:r>
              <w:rPr>
                <w:rFonts w:ascii="宋体" w:hAnsi="宋体" w:eastAsia="宋体"/>
                <w:sz w:val="16"/>
              </w:rPr>
              <w:t>=47项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1E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4873">
            <w:pPr>
              <w:jc w:val="center"/>
            </w:pPr>
            <w:r>
              <w:rPr>
                <w:rFonts w:ascii="宋体" w:hAnsi="宋体" w:eastAsia="宋体"/>
                <w:sz w:val="16"/>
              </w:rPr>
              <w:t>部分项目被取消执行</w:t>
            </w:r>
          </w:p>
        </w:tc>
      </w:tr>
      <w:tr w14:paraId="182A7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A9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EA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5D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5A1E">
            <w:pPr>
              <w:jc w:val="center"/>
            </w:pPr>
            <w:r>
              <w:rPr>
                <w:rFonts w:ascii="宋体" w:hAnsi="宋体" w:eastAsia="宋体"/>
                <w:sz w:val="16"/>
              </w:rPr>
              <w:t>项目经费拨付合格率（%）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68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C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A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C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9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9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F8F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F3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6E47">
            <w:pPr>
              <w:jc w:val="center"/>
            </w:pPr>
            <w:r>
              <w:rPr>
                <w:rFonts w:ascii="宋体" w:hAnsi="宋体" w:eastAsia="宋体"/>
                <w:sz w:val="16"/>
              </w:rPr>
              <w:t>由于资金问题拨款无法到位</w:t>
            </w:r>
          </w:p>
        </w:tc>
      </w:tr>
      <w:tr w14:paraId="5E12A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A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20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DDB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DB89">
            <w:pPr>
              <w:jc w:val="center"/>
            </w:pPr>
            <w:r>
              <w:rPr>
                <w:rFonts w:ascii="宋体" w:hAnsi="宋体" w:eastAsia="宋体"/>
                <w:sz w:val="16"/>
              </w:rPr>
              <w:t>项目经费拨付及时率（%）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A4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3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6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0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C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6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15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57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5BA21">
            <w:pPr>
              <w:jc w:val="center"/>
            </w:pPr>
          </w:p>
        </w:tc>
      </w:tr>
      <w:tr w14:paraId="56D1C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A7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D9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3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35A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EA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9B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E6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D2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0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4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78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F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BB07">
            <w:pPr>
              <w:jc w:val="center"/>
            </w:pPr>
            <w:r>
              <w:rPr>
                <w:rFonts w:ascii="宋体" w:hAnsi="宋体" w:eastAsia="宋体"/>
                <w:sz w:val="16"/>
              </w:rPr>
              <w:t>部分项目没有通过拨款和</w:t>
            </w:r>
            <w:r>
              <w:rPr>
                <w:rFonts w:hint="eastAsia" w:ascii="宋体" w:hAnsi="宋体"/>
                <w:sz w:val="16"/>
                <w:lang w:eastAsia="zh-CN"/>
              </w:rPr>
              <w:t>减少</w:t>
            </w:r>
            <w:r>
              <w:rPr>
                <w:rFonts w:ascii="宋体" w:hAnsi="宋体" w:eastAsia="宋体"/>
                <w:sz w:val="16"/>
              </w:rPr>
              <w:t>经费</w:t>
            </w:r>
          </w:p>
        </w:tc>
      </w:tr>
      <w:tr w14:paraId="44F3B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B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88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6C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784C">
            <w:pPr>
              <w:jc w:val="center"/>
            </w:pPr>
            <w:r>
              <w:rPr>
                <w:rFonts w:ascii="宋体" w:hAnsi="宋体" w:eastAsia="宋体"/>
                <w:sz w:val="16"/>
              </w:rPr>
              <w:t>自筹经费项目总成本（元）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0C87">
            <w:pPr>
              <w:jc w:val="center"/>
            </w:pPr>
            <w:r>
              <w:rPr>
                <w:rFonts w:ascii="宋体" w:hAnsi="宋体" w:eastAsia="宋体"/>
                <w:sz w:val="16"/>
              </w:rPr>
              <w:t>&lt;=44430433.07元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D0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9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5D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6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40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7E80">
            <w:pPr>
              <w:jc w:val="center"/>
            </w:pPr>
            <w:r>
              <w:rPr>
                <w:rFonts w:ascii="宋体" w:hAnsi="宋体" w:eastAsia="宋体"/>
                <w:sz w:val="16"/>
              </w:rPr>
              <w:t>=39064200元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1939">
            <w:pPr>
              <w:jc w:val="center"/>
            </w:pPr>
            <w:r>
              <w:rPr>
                <w:rFonts w:ascii="宋体" w:hAnsi="宋体" w:eastAsia="宋体"/>
                <w:sz w:val="16"/>
              </w:rPr>
              <w:t>13.95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1358">
            <w:pPr>
              <w:jc w:val="center"/>
              <w:rPr>
                <w:rFonts w:hint="eastAsia" w:eastAsia="宋体"/>
                <w:lang w:eastAsia="zh-CN"/>
              </w:rPr>
            </w:pPr>
            <w:r>
              <w:rPr>
                <w:rFonts w:ascii="宋体" w:hAnsi="宋体" w:eastAsia="宋体"/>
                <w:sz w:val="16"/>
              </w:rPr>
              <w:t>部分项目会议拨款</w:t>
            </w:r>
            <w:r>
              <w:rPr>
                <w:rFonts w:hint="eastAsia" w:ascii="宋体" w:hAnsi="宋体"/>
                <w:sz w:val="16"/>
                <w:lang w:eastAsia="zh-CN"/>
              </w:rPr>
              <w:t>减少</w:t>
            </w:r>
          </w:p>
        </w:tc>
      </w:tr>
      <w:tr w14:paraId="1A642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2C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CD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2E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483D">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7782">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8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4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9E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DD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C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0761">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8C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BBAF">
            <w:pPr>
              <w:jc w:val="center"/>
            </w:pPr>
          </w:p>
        </w:tc>
      </w:tr>
      <w:tr w14:paraId="15365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37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3E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00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96F7">
            <w:pPr>
              <w:jc w:val="center"/>
            </w:pPr>
            <w:r>
              <w:rPr>
                <w:rFonts w:ascii="宋体" w:hAnsi="宋体" w:eastAsia="宋体"/>
                <w:sz w:val="16"/>
              </w:rPr>
              <w:t>项目资金拨付满意度（%）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5F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4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62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5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0C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1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E352">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4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4817">
            <w:pPr>
              <w:jc w:val="center"/>
            </w:pPr>
            <w:r>
              <w:rPr>
                <w:rFonts w:ascii="宋体" w:hAnsi="宋体" w:eastAsia="宋体"/>
                <w:sz w:val="16"/>
              </w:rPr>
              <w:t>项目受益人对项目十分满意</w:t>
            </w:r>
          </w:p>
        </w:tc>
      </w:tr>
      <w:tr w14:paraId="16FEF1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DE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5E0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69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8842C">
            <w:pPr>
              <w:jc w:val="center"/>
            </w:pPr>
            <w:r>
              <w:rPr>
                <w:rFonts w:ascii="宋体" w:hAnsi="宋体" w:eastAsia="宋体"/>
                <w:sz w:val="16"/>
              </w:rPr>
              <w:t>90.93分</w:t>
            </w:r>
          </w:p>
        </w:tc>
      </w:tr>
    </w:tbl>
    <w:p w14:paraId="544AE4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4CAAA0A">
        <w:tblPrEx>
          <w:tblCellMar>
            <w:top w:w="0" w:type="dxa"/>
            <w:left w:w="108" w:type="dxa"/>
            <w:bottom w:w="0" w:type="dxa"/>
            <w:right w:w="108" w:type="dxa"/>
          </w:tblCellMar>
        </w:tblPrEx>
        <w:tc>
          <w:tcPr>
            <w:tcW w:w="8848" w:type="dxa"/>
            <w:gridSpan w:val="14"/>
            <w:vAlign w:val="center"/>
          </w:tcPr>
          <w:p w14:paraId="353AD07E">
            <w:pPr>
              <w:jc w:val="center"/>
            </w:pPr>
            <w:r>
              <w:rPr>
                <w:rFonts w:ascii="宋体" w:hAnsi="宋体" w:eastAsia="宋体"/>
                <w:sz w:val="24"/>
              </w:rPr>
              <w:t>项目支出绩效自评表</w:t>
            </w:r>
          </w:p>
        </w:tc>
      </w:tr>
      <w:tr w14:paraId="207E2DD7">
        <w:tblPrEx>
          <w:tblCellMar>
            <w:top w:w="0" w:type="dxa"/>
            <w:left w:w="108" w:type="dxa"/>
            <w:bottom w:w="0" w:type="dxa"/>
            <w:right w:w="108" w:type="dxa"/>
          </w:tblCellMar>
        </w:tblPrEx>
        <w:tc>
          <w:tcPr>
            <w:tcW w:w="8848" w:type="dxa"/>
            <w:gridSpan w:val="14"/>
            <w:vAlign w:val="center"/>
          </w:tcPr>
          <w:p w14:paraId="28B566AC">
            <w:pPr>
              <w:jc w:val="center"/>
            </w:pPr>
            <w:r>
              <w:rPr>
                <w:rFonts w:ascii="宋体" w:hAnsi="宋体" w:eastAsia="宋体"/>
                <w:sz w:val="24"/>
              </w:rPr>
              <w:t>(2024年度)</w:t>
            </w:r>
          </w:p>
        </w:tc>
      </w:tr>
      <w:tr w14:paraId="35E6A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39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03390A">
            <w:pPr>
              <w:jc w:val="center"/>
            </w:pPr>
            <w:r>
              <w:rPr>
                <w:rFonts w:ascii="宋体" w:hAnsi="宋体" w:eastAsia="宋体"/>
                <w:sz w:val="16"/>
              </w:rPr>
              <w:t>为民办实事经费</w:t>
            </w:r>
          </w:p>
        </w:tc>
      </w:tr>
      <w:tr w14:paraId="071EA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BB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B7A59">
            <w:pPr>
              <w:jc w:val="center"/>
            </w:pPr>
            <w:r>
              <w:rPr>
                <w:rFonts w:hint="eastAsia" w:ascii="宋体" w:hAnsi="宋体"/>
                <w:sz w:val="16"/>
                <w:lang w:eastAsia="zh-CN"/>
              </w:rPr>
              <w:t>塔什库尔干塔吉克自治县</w:t>
            </w:r>
            <w:r>
              <w:rPr>
                <w:rFonts w:ascii="宋体" w:hAnsi="宋体" w:eastAsia="宋体"/>
                <w:sz w:val="16"/>
              </w:rPr>
              <w:t>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61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D50719">
            <w:pPr>
              <w:jc w:val="center"/>
            </w:pPr>
            <w:r>
              <w:rPr>
                <w:rFonts w:ascii="宋体" w:hAnsi="宋体" w:eastAsia="宋体"/>
                <w:sz w:val="16"/>
              </w:rPr>
              <w:t>塔什库尔干塔吉克自治县住房和城乡建设局</w:t>
            </w:r>
          </w:p>
        </w:tc>
      </w:tr>
      <w:tr w14:paraId="427B9A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F2CF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9F49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C6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7A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17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6C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657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8A58">
            <w:pPr>
              <w:jc w:val="center"/>
            </w:pPr>
            <w:r>
              <w:rPr>
                <w:rFonts w:ascii="宋体" w:hAnsi="宋体" w:eastAsia="宋体"/>
                <w:sz w:val="16"/>
              </w:rPr>
              <w:t>得分</w:t>
            </w:r>
          </w:p>
        </w:tc>
      </w:tr>
      <w:tr w14:paraId="196C8E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E34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AE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D27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4E85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B53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4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58D6F">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7034">
            <w:pPr>
              <w:jc w:val="center"/>
            </w:pPr>
            <w:r>
              <w:rPr>
                <w:rFonts w:ascii="宋体" w:hAnsi="宋体" w:eastAsia="宋体"/>
                <w:sz w:val="16"/>
              </w:rPr>
              <w:t>10.00分</w:t>
            </w:r>
          </w:p>
        </w:tc>
      </w:tr>
      <w:tr w14:paraId="44BAA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9D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C1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15B9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17B1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E0C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306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C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4440">
            <w:pPr>
              <w:jc w:val="center"/>
            </w:pPr>
            <w:r>
              <w:rPr>
                <w:rFonts w:ascii="宋体" w:hAnsi="宋体" w:eastAsia="宋体"/>
                <w:sz w:val="16"/>
              </w:rPr>
              <w:t>—</w:t>
            </w:r>
          </w:p>
        </w:tc>
      </w:tr>
      <w:tr w14:paraId="38306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5AE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80B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6E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FB1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FD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16B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A6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1DEF">
            <w:pPr>
              <w:jc w:val="center"/>
            </w:pPr>
            <w:r>
              <w:rPr>
                <w:rFonts w:ascii="宋体" w:hAnsi="宋体" w:eastAsia="宋体"/>
                <w:sz w:val="16"/>
              </w:rPr>
              <w:t>—</w:t>
            </w:r>
          </w:p>
        </w:tc>
      </w:tr>
      <w:tr w14:paraId="09594F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DD2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0A7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C189F7">
            <w:pPr>
              <w:jc w:val="center"/>
            </w:pPr>
            <w:r>
              <w:rPr>
                <w:rFonts w:ascii="宋体" w:hAnsi="宋体" w:eastAsia="宋体"/>
                <w:sz w:val="16"/>
              </w:rPr>
              <w:t>实际完成情况</w:t>
            </w:r>
          </w:p>
        </w:tc>
      </w:tr>
      <w:tr w14:paraId="63DDF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C93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371BC">
            <w:pPr>
              <w:jc w:val="both"/>
            </w:pPr>
            <w:r>
              <w:rPr>
                <w:rFonts w:ascii="宋体" w:hAnsi="宋体" w:eastAsia="宋体"/>
                <w:sz w:val="16"/>
              </w:rPr>
              <w:t>为扎实持久开展工作，充分发挥为民办实事工作经费在工作中的重要作用，确保为民办实事工作经费使用的安全性、规范性和实效性。经费的使用可以让群众的生活达到一定改善，营造良好的社会氛围。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AD264">
            <w:pPr>
              <w:jc w:val="both"/>
            </w:pPr>
            <w:r>
              <w:rPr>
                <w:rFonts w:hint="eastAsia" w:ascii="宋体" w:hAnsi="宋体"/>
                <w:sz w:val="16"/>
                <w:lang w:eastAsia="zh-CN"/>
              </w:rPr>
              <w:t>1.</w:t>
            </w:r>
            <w:r>
              <w:rPr>
                <w:rFonts w:ascii="宋体" w:hAnsi="宋体" w:eastAsia="宋体"/>
                <w:sz w:val="16"/>
              </w:rPr>
              <w:t>为达乌来特迭村“两委”解决办公设施；2、为群众送信息、送服务、送温暖慰问群众（5人/次）：3、慰问困难党员、老干部慰问、表彰一批优秀共产党员等系列活动；4、受益群众满意度98.8%。</w:t>
            </w:r>
          </w:p>
        </w:tc>
      </w:tr>
      <w:tr w14:paraId="4FEEBA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4C5F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F3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29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4A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C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EB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9E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3A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39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A9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C5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CF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72184">
            <w:pPr>
              <w:jc w:val="center"/>
            </w:pPr>
            <w:r>
              <w:rPr>
                <w:rFonts w:ascii="宋体" w:hAnsi="宋体" w:eastAsia="宋体"/>
                <w:sz w:val="16"/>
              </w:rPr>
              <w:t>偏差原因分析及改进措施</w:t>
            </w:r>
          </w:p>
        </w:tc>
      </w:tr>
      <w:tr w14:paraId="542F4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29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A6AF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3A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F443">
            <w:pPr>
              <w:jc w:val="center"/>
            </w:pPr>
            <w:r>
              <w:rPr>
                <w:rFonts w:ascii="宋体" w:hAnsi="宋体" w:eastAsia="宋体"/>
                <w:sz w:val="16"/>
              </w:rPr>
              <w:t>为群众送信息、送服务、送温暖慰问群众（人/次）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9C2F">
            <w:pPr>
              <w:jc w:val="center"/>
            </w:pPr>
            <w:r>
              <w:rPr>
                <w:rFonts w:ascii="宋体" w:hAnsi="宋体" w:eastAsia="宋体"/>
                <w:sz w:val="16"/>
              </w:rPr>
              <w:t>&gt;=5人/次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1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53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FA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C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4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C69A">
            <w:pPr>
              <w:jc w:val="center"/>
            </w:pPr>
            <w:r>
              <w:rPr>
                <w:rFonts w:ascii="宋体" w:hAnsi="宋体" w:eastAsia="宋体"/>
                <w:sz w:val="16"/>
              </w:rPr>
              <w: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807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7576E">
            <w:pPr>
              <w:jc w:val="center"/>
            </w:pPr>
          </w:p>
        </w:tc>
      </w:tr>
      <w:tr w14:paraId="4FF0C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D1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A3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91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5B91">
            <w:pPr>
              <w:jc w:val="center"/>
            </w:pPr>
            <w:r>
              <w:rPr>
                <w:rFonts w:ascii="宋体" w:hAnsi="宋体" w:eastAsia="宋体"/>
                <w:sz w:val="16"/>
              </w:rPr>
              <w:t>为群众送信息、送服务合格率（%）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C73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9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BD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290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8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1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3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239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63599">
            <w:pPr>
              <w:jc w:val="center"/>
            </w:pPr>
          </w:p>
        </w:tc>
      </w:tr>
      <w:tr w14:paraId="16187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57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CB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E3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AF8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F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5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7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6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3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7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7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A2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F900">
            <w:pPr>
              <w:jc w:val="center"/>
            </w:pPr>
          </w:p>
        </w:tc>
      </w:tr>
      <w:tr w14:paraId="7A9A3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E3F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ECD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33F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D976">
            <w:pPr>
              <w:jc w:val="center"/>
            </w:pPr>
            <w:r>
              <w:rPr>
                <w:rFonts w:ascii="宋体" w:hAnsi="宋体" w:eastAsia="宋体"/>
                <w:sz w:val="16"/>
              </w:rPr>
              <w:t>为群众送信息、送服务（万元）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026A">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AD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B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FA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1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9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6036">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97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132D">
            <w:pPr>
              <w:jc w:val="center"/>
            </w:pPr>
          </w:p>
        </w:tc>
      </w:tr>
      <w:tr w14:paraId="6F849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2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C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3A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66FB">
            <w:pPr>
              <w:jc w:val="center"/>
            </w:pPr>
            <w:r>
              <w:rPr>
                <w:rFonts w:ascii="宋体" w:hAnsi="宋体" w:eastAsia="宋体"/>
                <w:sz w:val="16"/>
              </w:rPr>
              <w:t>为解决达乌来特迭村“两委”办公设施（万元）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0F1">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80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FD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E5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89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C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07CF">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5D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2FCD">
            <w:pPr>
              <w:jc w:val="center"/>
            </w:pPr>
          </w:p>
        </w:tc>
      </w:tr>
      <w:tr w14:paraId="7CBC4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F9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1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4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901B">
            <w:pPr>
              <w:jc w:val="center"/>
            </w:pPr>
            <w:r>
              <w:rPr>
                <w:rFonts w:ascii="宋体" w:hAnsi="宋体" w:eastAsia="宋体"/>
                <w:sz w:val="16"/>
              </w:rPr>
              <w:t>慰问困难党员、老干部慰问、表彰一批优秀共产党员等系列活动购买奖品（万元）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5B60">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BA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C9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92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C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0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9D71">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B1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F8B85">
            <w:pPr>
              <w:jc w:val="center"/>
            </w:pPr>
          </w:p>
        </w:tc>
      </w:tr>
      <w:tr w14:paraId="4F0EC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3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2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48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186A">
            <w:pPr>
              <w:jc w:val="center"/>
            </w:pPr>
            <w:r>
              <w:rPr>
                <w:rFonts w:ascii="宋体" w:hAnsi="宋体" w:eastAsia="宋体"/>
                <w:sz w:val="16"/>
              </w:rPr>
              <w:t>做好群众工作、落实惠民政策（万元）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31A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8C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66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C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C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4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696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DC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619B">
            <w:pPr>
              <w:jc w:val="center"/>
            </w:pPr>
          </w:p>
        </w:tc>
      </w:tr>
      <w:tr w14:paraId="38555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CB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B0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E1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63A0">
            <w:pPr>
              <w:jc w:val="center"/>
            </w:pPr>
            <w:r>
              <w:rPr>
                <w:rFonts w:ascii="宋体" w:hAnsi="宋体" w:eastAsia="宋体"/>
                <w:sz w:val="16"/>
              </w:rPr>
              <w:t>维护塔吉克阿巴提镇达乌来特迭村社会和谐持续年限（年）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535C">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2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1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BC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3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A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50E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3B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5952A">
            <w:pPr>
              <w:jc w:val="center"/>
            </w:pPr>
          </w:p>
        </w:tc>
      </w:tr>
      <w:tr w14:paraId="66E13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B8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20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3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153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A6BD">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C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89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0B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01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4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0852">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B4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80BEA">
            <w:pPr>
              <w:jc w:val="center"/>
            </w:pPr>
            <w:r>
              <w:rPr>
                <w:rFonts w:ascii="宋体" w:hAnsi="宋体" w:eastAsia="宋体"/>
                <w:sz w:val="16"/>
              </w:rPr>
              <w:t>项目初期，对受益对象需求的理解存在偏差，导致预期值设置偏低。改进措施：深入分析，充分了解受益对象的需求变化，更好地把握和预测，减少偏差。</w:t>
            </w:r>
          </w:p>
        </w:tc>
      </w:tr>
      <w:tr w14:paraId="29A74E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ED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81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9DB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9368A">
            <w:pPr>
              <w:jc w:val="center"/>
            </w:pPr>
            <w:r>
              <w:rPr>
                <w:rFonts w:ascii="宋体" w:hAnsi="宋体" w:eastAsia="宋体"/>
                <w:sz w:val="16"/>
              </w:rPr>
              <w:t>100分</w:t>
            </w:r>
          </w:p>
        </w:tc>
      </w:tr>
    </w:tbl>
    <w:p w14:paraId="50788A92">
      <w:r>
        <w:br w:type="page"/>
      </w:r>
    </w:p>
    <w:tbl>
      <w:tblPr>
        <w:tblStyle w:val="9"/>
        <w:tblW w:w="0" w:type="auto"/>
        <w:tblInd w:w="0" w:type="dxa"/>
        <w:tblLayout w:type="autofit"/>
        <w:tblCellMar>
          <w:top w:w="0" w:type="dxa"/>
          <w:left w:w="108" w:type="dxa"/>
          <w:bottom w:w="0" w:type="dxa"/>
          <w:right w:w="108" w:type="dxa"/>
        </w:tblCellMar>
      </w:tblPr>
      <w:tblGrid>
        <w:gridCol w:w="600"/>
        <w:gridCol w:w="547"/>
        <w:gridCol w:w="547"/>
        <w:gridCol w:w="627"/>
        <w:gridCol w:w="1176"/>
        <w:gridCol w:w="547"/>
        <w:gridCol w:w="547"/>
        <w:gridCol w:w="547"/>
        <w:gridCol w:w="547"/>
        <w:gridCol w:w="547"/>
        <w:gridCol w:w="1096"/>
        <w:gridCol w:w="632"/>
        <w:gridCol w:w="472"/>
        <w:gridCol w:w="628"/>
      </w:tblGrid>
      <w:tr w14:paraId="70630822">
        <w:tblPrEx>
          <w:tblCellMar>
            <w:top w:w="0" w:type="dxa"/>
            <w:left w:w="108" w:type="dxa"/>
            <w:bottom w:w="0" w:type="dxa"/>
            <w:right w:w="108" w:type="dxa"/>
          </w:tblCellMar>
        </w:tblPrEx>
        <w:tc>
          <w:tcPr>
            <w:tcW w:w="8848" w:type="dxa"/>
            <w:gridSpan w:val="14"/>
            <w:vAlign w:val="center"/>
          </w:tcPr>
          <w:p w14:paraId="2A491885">
            <w:pPr>
              <w:jc w:val="center"/>
            </w:pPr>
            <w:r>
              <w:rPr>
                <w:rFonts w:ascii="宋体" w:hAnsi="宋体" w:eastAsia="宋体"/>
                <w:sz w:val="24"/>
              </w:rPr>
              <w:t>项目支出绩效自评表</w:t>
            </w:r>
          </w:p>
        </w:tc>
      </w:tr>
      <w:tr w14:paraId="2C3839B0">
        <w:tblPrEx>
          <w:tblCellMar>
            <w:top w:w="0" w:type="dxa"/>
            <w:left w:w="108" w:type="dxa"/>
            <w:bottom w:w="0" w:type="dxa"/>
            <w:right w:w="108" w:type="dxa"/>
          </w:tblCellMar>
        </w:tblPrEx>
        <w:tc>
          <w:tcPr>
            <w:tcW w:w="8848" w:type="dxa"/>
            <w:gridSpan w:val="14"/>
            <w:vAlign w:val="center"/>
          </w:tcPr>
          <w:p w14:paraId="2DEBB9A8">
            <w:pPr>
              <w:jc w:val="center"/>
            </w:pPr>
            <w:r>
              <w:rPr>
                <w:rFonts w:ascii="宋体" w:hAnsi="宋体" w:eastAsia="宋体"/>
                <w:sz w:val="24"/>
              </w:rPr>
              <w:t>(2024年度)</w:t>
            </w:r>
          </w:p>
        </w:tc>
      </w:tr>
      <w:tr w14:paraId="06AF9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A9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19A2BB">
            <w:pPr>
              <w:jc w:val="center"/>
            </w:pPr>
            <w:r>
              <w:rPr>
                <w:rFonts w:ascii="宋体" w:hAnsi="宋体" w:eastAsia="宋体"/>
                <w:sz w:val="16"/>
              </w:rPr>
              <w:t>住建局2024年历年项目各类经费支出</w:t>
            </w:r>
          </w:p>
        </w:tc>
      </w:tr>
      <w:tr w14:paraId="4A7E1E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EE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0F1A8">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20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A5747B">
            <w:pPr>
              <w:jc w:val="center"/>
            </w:pPr>
            <w:r>
              <w:rPr>
                <w:rFonts w:ascii="宋体" w:hAnsi="宋体" w:eastAsia="宋体"/>
                <w:sz w:val="16"/>
              </w:rPr>
              <w:t>塔什库尔干塔吉克自治县住房和城乡建设局</w:t>
            </w:r>
          </w:p>
        </w:tc>
      </w:tr>
      <w:tr w14:paraId="64D868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1F7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1D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1B3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0B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453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2E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7A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D641">
            <w:pPr>
              <w:jc w:val="center"/>
            </w:pPr>
            <w:r>
              <w:rPr>
                <w:rFonts w:ascii="宋体" w:hAnsi="宋体" w:eastAsia="宋体"/>
                <w:sz w:val="16"/>
              </w:rPr>
              <w:t>得分</w:t>
            </w:r>
          </w:p>
        </w:tc>
      </w:tr>
      <w:tr w14:paraId="5921B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C0B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35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9C3C">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7914">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012D">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DD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35C5">
            <w:pPr>
              <w:jc w:val="center"/>
            </w:pPr>
            <w:r>
              <w:rPr>
                <w:rFonts w:ascii="宋体" w:hAnsi="宋体" w:eastAsia="宋体"/>
                <w:sz w:val="16"/>
              </w:rPr>
              <w:t>100.</w:t>
            </w:r>
            <w:r>
              <w:rPr>
                <w:rFonts w:hint="eastAsia" w:ascii="宋体" w:hAnsi="宋体"/>
                <w:sz w:val="16"/>
                <w:lang w:val="en-US" w:eastAsia="zh-CN"/>
              </w:rPr>
              <w:t>0</w:t>
            </w: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2B24">
            <w:pPr>
              <w:jc w:val="center"/>
            </w:pPr>
            <w:r>
              <w:rPr>
                <w:rFonts w:ascii="宋体" w:hAnsi="宋体" w:eastAsia="宋体"/>
                <w:sz w:val="16"/>
              </w:rPr>
              <w:t>10.00分</w:t>
            </w:r>
          </w:p>
        </w:tc>
      </w:tr>
      <w:tr w14:paraId="06761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73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2CE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1957F">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2D79">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AE21">
            <w:pPr>
              <w:jc w:val="center"/>
            </w:pPr>
            <w:r>
              <w:rPr>
                <w:rFonts w:ascii="宋体" w:hAnsi="宋体" w:eastAsia="宋体"/>
                <w:sz w:val="16"/>
              </w:rPr>
              <w:t>552.09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F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3F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A405">
            <w:pPr>
              <w:jc w:val="center"/>
            </w:pPr>
            <w:r>
              <w:rPr>
                <w:rFonts w:ascii="宋体" w:hAnsi="宋体" w:eastAsia="宋体"/>
                <w:sz w:val="16"/>
              </w:rPr>
              <w:t>—</w:t>
            </w:r>
          </w:p>
        </w:tc>
      </w:tr>
      <w:tr w14:paraId="31E25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7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D9A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F8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80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3AC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9B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29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9047">
            <w:pPr>
              <w:jc w:val="center"/>
            </w:pPr>
            <w:r>
              <w:rPr>
                <w:rFonts w:ascii="宋体" w:hAnsi="宋体" w:eastAsia="宋体"/>
                <w:sz w:val="16"/>
              </w:rPr>
              <w:t>—</w:t>
            </w:r>
          </w:p>
        </w:tc>
      </w:tr>
      <w:tr w14:paraId="12CCB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724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D4F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9DEBF">
            <w:pPr>
              <w:jc w:val="center"/>
            </w:pPr>
            <w:r>
              <w:rPr>
                <w:rFonts w:ascii="宋体" w:hAnsi="宋体" w:eastAsia="宋体"/>
                <w:sz w:val="16"/>
              </w:rPr>
              <w:t>实际完成情况</w:t>
            </w:r>
          </w:p>
        </w:tc>
      </w:tr>
      <w:tr w14:paraId="5036A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AC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C07F0">
            <w:pPr>
              <w:jc w:val="both"/>
            </w:pPr>
            <w:r>
              <w:rPr>
                <w:rFonts w:ascii="宋体" w:hAnsi="宋体" w:eastAsia="宋体"/>
                <w:sz w:val="16"/>
              </w:rPr>
              <w:t>项目计划总投资552.09万元，用于城镇绿化用水水 资源费、解决县住建局环卫大型车辆燃油费用，环卫大队环 卫工人，绿化工人，驾驶员执勤服费用；融雪剂采购、环卫车司机服务外包经费、缴纳城市公共绿化用水及城市公共厕所用水水费等。塔县住建局建设工程质量检测中心人员工资</w:t>
            </w:r>
            <w:r>
              <w:rPr>
                <w:rFonts w:hint="eastAsia" w:ascii="宋体" w:hAnsi="宋体"/>
                <w:sz w:val="16"/>
                <w:lang w:eastAsia="zh-CN"/>
              </w:rPr>
              <w:t>等</w:t>
            </w:r>
            <w:r>
              <w:rPr>
                <w:rFonts w:ascii="宋体" w:hAnsi="宋体" w:eastAsia="宋体"/>
                <w:sz w:val="16"/>
              </w:rPr>
              <w:t>活动经费。有效带动</w:t>
            </w:r>
            <w:r>
              <w:rPr>
                <w:rFonts w:hint="eastAsia" w:ascii="宋体" w:hAnsi="宋体"/>
                <w:sz w:val="16"/>
                <w:lang w:eastAsia="zh-CN"/>
              </w:rPr>
              <w:t>塔什库尔干塔吉克自治县</w:t>
            </w:r>
            <w:r>
              <w:rPr>
                <w:rFonts w:ascii="宋体" w:hAnsi="宋体" w:eastAsia="宋体"/>
                <w:sz w:val="16"/>
              </w:rPr>
              <w:t>绿色繁荣发展。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0CE67">
            <w:pPr>
              <w:jc w:val="both"/>
            </w:pPr>
            <w:r>
              <w:rPr>
                <w:rFonts w:ascii="宋体" w:hAnsi="宋体" w:eastAsia="宋体"/>
                <w:sz w:val="16"/>
              </w:rPr>
              <w:t>项目实际支出552.09万元，用于城镇绿化用水水 资源费、解决县住建局环卫大型车辆燃油费用，环卫大队环 卫工人，绿化工人，驾驶员执勤服费用；融雪剂采购、环卫车司机服务外包经费、缴纳城市公共绿化用水及城市公共厕所用水水费等。塔县住建局建设工程质量检测中心人员工资</w:t>
            </w:r>
            <w:r>
              <w:rPr>
                <w:rFonts w:hint="eastAsia" w:ascii="宋体" w:hAnsi="宋体"/>
                <w:sz w:val="16"/>
                <w:lang w:eastAsia="zh-CN"/>
              </w:rPr>
              <w:t>等</w:t>
            </w:r>
            <w:r>
              <w:rPr>
                <w:rFonts w:ascii="宋体" w:hAnsi="宋体" w:eastAsia="宋体"/>
                <w:sz w:val="16"/>
              </w:rPr>
              <w:t>活动经费。有效带动</w:t>
            </w:r>
            <w:r>
              <w:rPr>
                <w:rFonts w:hint="eastAsia" w:ascii="宋体" w:hAnsi="宋体"/>
                <w:sz w:val="16"/>
                <w:lang w:eastAsia="zh-CN"/>
              </w:rPr>
              <w:t>塔什库尔干塔吉克自治县</w:t>
            </w:r>
            <w:r>
              <w:rPr>
                <w:rFonts w:ascii="宋体" w:hAnsi="宋体" w:eastAsia="宋体"/>
                <w:sz w:val="16"/>
              </w:rPr>
              <w:t>绿色繁荣发展。各类经费支付对象满意度达98%。</w:t>
            </w:r>
          </w:p>
        </w:tc>
      </w:tr>
      <w:tr w14:paraId="4421A1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8CB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02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4E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5D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54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6A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44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EC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99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50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7A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8D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CA705">
            <w:pPr>
              <w:jc w:val="center"/>
            </w:pPr>
            <w:r>
              <w:rPr>
                <w:rFonts w:ascii="宋体" w:hAnsi="宋体" w:eastAsia="宋体"/>
                <w:sz w:val="16"/>
              </w:rPr>
              <w:t>偏差原因分析及改进措施</w:t>
            </w:r>
          </w:p>
        </w:tc>
      </w:tr>
      <w:tr w14:paraId="701B0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EFD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D0D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30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C0B2">
            <w:pPr>
              <w:jc w:val="center"/>
            </w:pPr>
            <w:r>
              <w:rPr>
                <w:rFonts w:ascii="宋体" w:hAnsi="宋体" w:eastAsia="宋体"/>
                <w:sz w:val="16"/>
              </w:rPr>
              <w:t>各类经费支出数量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6C2F">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6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09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56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0F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B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0268">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8A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7C77D">
            <w:pPr>
              <w:jc w:val="center"/>
            </w:pPr>
          </w:p>
        </w:tc>
      </w:tr>
      <w:tr w14:paraId="15AD4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57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4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36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FD9F">
            <w:pPr>
              <w:jc w:val="center"/>
            </w:pPr>
            <w:r>
              <w:rPr>
                <w:rFonts w:ascii="宋体" w:hAnsi="宋体" w:eastAsia="宋体"/>
                <w:sz w:val="16"/>
              </w:rPr>
              <w:t>各类经费支出合格率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C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C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F4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9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1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B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5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0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7F7C">
            <w:pPr>
              <w:jc w:val="center"/>
            </w:pPr>
          </w:p>
        </w:tc>
      </w:tr>
      <w:tr w14:paraId="1ECF5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08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8E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10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F32F">
            <w:pPr>
              <w:jc w:val="center"/>
            </w:pPr>
            <w:r>
              <w:rPr>
                <w:rFonts w:ascii="宋体" w:hAnsi="宋体" w:eastAsia="宋体"/>
                <w:sz w:val="16"/>
              </w:rPr>
              <w:t>各类经费支付及时率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2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A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C7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1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0D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B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F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B6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85CB">
            <w:pPr>
              <w:jc w:val="center"/>
            </w:pPr>
          </w:p>
        </w:tc>
      </w:tr>
      <w:tr w14:paraId="26126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3A9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1B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BB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37B3">
            <w:pPr>
              <w:jc w:val="center"/>
            </w:pPr>
            <w:r>
              <w:rPr>
                <w:rFonts w:ascii="宋体" w:hAnsi="宋体" w:eastAsia="宋体"/>
                <w:sz w:val="16"/>
              </w:rPr>
              <w:t>城镇绿化用水水资源费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02A3">
            <w:pPr>
              <w:jc w:val="center"/>
            </w:pPr>
            <w:r>
              <w:rPr>
                <w:rFonts w:ascii="宋体" w:hAnsi="宋体" w:eastAsia="宋体"/>
                <w:sz w:val="16"/>
              </w:rPr>
              <w:t>&lt;=45698元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6D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7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D0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3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70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E0DA">
            <w:pPr>
              <w:jc w:val="center"/>
            </w:pPr>
            <w:r>
              <w:rPr>
                <w:rFonts w:ascii="宋体" w:hAnsi="宋体" w:eastAsia="宋体"/>
                <w:sz w:val="16"/>
              </w:rPr>
              <w:t>=45698元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0F7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57C0">
            <w:pPr>
              <w:jc w:val="center"/>
            </w:pPr>
          </w:p>
        </w:tc>
      </w:tr>
      <w:tr w14:paraId="4B656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F0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62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D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348D">
            <w:pPr>
              <w:jc w:val="center"/>
            </w:pPr>
            <w:r>
              <w:rPr>
                <w:rFonts w:ascii="宋体" w:hAnsi="宋体" w:eastAsia="宋体"/>
                <w:sz w:val="16"/>
              </w:rPr>
              <w:t>县住建局环卫大型车辆燃油费用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F1E4">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03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D1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7F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3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6B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D326">
            <w:pPr>
              <w:jc w:val="center"/>
            </w:pPr>
            <w:r>
              <w:rPr>
                <w:rFonts w:ascii="宋体" w:hAnsi="宋体" w:eastAsia="宋体"/>
                <w:sz w:val="16"/>
              </w:rPr>
              <w: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413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93A0D">
            <w:pPr>
              <w:jc w:val="center"/>
            </w:pPr>
          </w:p>
        </w:tc>
      </w:tr>
      <w:tr w14:paraId="5AF27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E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54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8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EA17">
            <w:pPr>
              <w:jc w:val="center"/>
            </w:pPr>
            <w:r>
              <w:rPr>
                <w:rFonts w:ascii="宋体" w:hAnsi="宋体" w:eastAsia="宋体"/>
                <w:sz w:val="16"/>
              </w:rPr>
              <w:t>住建局环卫大型车辆燃油费（1）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8716">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3C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02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383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F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56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19BA">
            <w:pPr>
              <w:jc w:val="center"/>
            </w:pPr>
            <w:r>
              <w:rPr>
                <w:rFonts w:ascii="宋体" w:hAnsi="宋体" w:eastAsia="宋体"/>
                <w:sz w:val="16"/>
              </w:rPr>
              <w: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F3B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1715">
            <w:pPr>
              <w:jc w:val="center"/>
            </w:pPr>
          </w:p>
        </w:tc>
      </w:tr>
      <w:tr w14:paraId="32DFC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C4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4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9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270B">
            <w:pPr>
              <w:jc w:val="center"/>
            </w:pPr>
            <w:r>
              <w:rPr>
                <w:rFonts w:ascii="宋体" w:hAnsi="宋体" w:eastAsia="宋体"/>
                <w:sz w:val="16"/>
              </w:rPr>
              <w:t>环卫大队环卫工人，绿化工人，驾驶员执勤服费用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B3B9">
            <w:pPr>
              <w:jc w:val="center"/>
            </w:pPr>
            <w:r>
              <w:rPr>
                <w:rFonts w:ascii="宋体" w:hAnsi="宋体" w:eastAsia="宋体"/>
                <w:sz w:val="16"/>
              </w:rPr>
              <w:t>&lt;=126920元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34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9A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EB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2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B5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4882">
            <w:pPr>
              <w:jc w:val="center"/>
            </w:pPr>
            <w:r>
              <w:rPr>
                <w:rFonts w:ascii="宋体" w:hAnsi="宋体" w:eastAsia="宋体"/>
                <w:sz w:val="16"/>
              </w:rPr>
              <w:t>=126920元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493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FAD3A">
            <w:pPr>
              <w:jc w:val="center"/>
            </w:pPr>
          </w:p>
        </w:tc>
      </w:tr>
      <w:tr w14:paraId="6BF55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52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2E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D6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B987">
            <w:pPr>
              <w:jc w:val="center"/>
            </w:pPr>
            <w:r>
              <w:rPr>
                <w:rFonts w:ascii="宋体" w:hAnsi="宋体" w:eastAsia="宋体"/>
                <w:sz w:val="16"/>
              </w:rPr>
              <w:t>住建局环卫车辆保险费用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E537">
            <w:pPr>
              <w:jc w:val="center"/>
            </w:pPr>
            <w:r>
              <w:rPr>
                <w:rFonts w:ascii="宋体" w:hAnsi="宋体" w:eastAsia="宋体"/>
                <w:sz w:val="16"/>
              </w:rPr>
              <w:t>&lt;=133384.80元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24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B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A3C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6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B5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F3EC">
            <w:pPr>
              <w:jc w:val="center"/>
            </w:pPr>
            <w:r>
              <w:rPr>
                <w:rFonts w:ascii="宋体" w:hAnsi="宋体" w:eastAsia="宋体"/>
                <w:sz w:val="16"/>
              </w:rPr>
              <w:t>=133384.8元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A1A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28B1E">
            <w:pPr>
              <w:jc w:val="center"/>
            </w:pPr>
          </w:p>
        </w:tc>
      </w:tr>
      <w:tr w14:paraId="47EBF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2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3E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8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8776">
            <w:pPr>
              <w:jc w:val="center"/>
            </w:pPr>
            <w:r>
              <w:rPr>
                <w:rFonts w:ascii="宋体" w:hAnsi="宋体" w:eastAsia="宋体"/>
                <w:sz w:val="16"/>
              </w:rPr>
              <w:t>县住建局环卫大型车辆燃油费等相关费用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44E9">
            <w:pPr>
              <w:jc w:val="center"/>
            </w:pPr>
            <w:r>
              <w:rPr>
                <w:rFonts w:ascii="宋体" w:hAnsi="宋体" w:eastAsia="宋体"/>
                <w:sz w:val="16"/>
              </w:rPr>
              <w:t>&lt;=200000元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73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4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FB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5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19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5215">
            <w:pPr>
              <w:jc w:val="center"/>
            </w:pPr>
            <w:r>
              <w:rPr>
                <w:rFonts w:ascii="宋体" w:hAnsi="宋体" w:eastAsia="宋体"/>
                <w:sz w:val="16"/>
              </w:rPr>
              <w: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D67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6351C">
            <w:pPr>
              <w:jc w:val="center"/>
            </w:pPr>
          </w:p>
        </w:tc>
      </w:tr>
      <w:tr w14:paraId="12B05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A2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0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3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6D99">
            <w:pPr>
              <w:jc w:val="center"/>
            </w:pPr>
            <w:r>
              <w:rPr>
                <w:rFonts w:ascii="宋体" w:hAnsi="宋体" w:eastAsia="宋体"/>
                <w:sz w:val="16"/>
              </w:rPr>
              <w:t>县住建局环卫车辆保险费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AA00">
            <w:pPr>
              <w:jc w:val="center"/>
            </w:pPr>
            <w:r>
              <w:rPr>
                <w:rFonts w:ascii="宋体" w:hAnsi="宋体" w:eastAsia="宋体"/>
                <w:sz w:val="16"/>
              </w:rPr>
              <w:t>&lt;=228616.92元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D6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F0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AD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F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8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FB14">
            <w:pPr>
              <w:jc w:val="center"/>
            </w:pPr>
            <w:r>
              <w:rPr>
                <w:rFonts w:ascii="宋体" w:hAnsi="宋体" w:eastAsia="宋体"/>
                <w:sz w:val="16"/>
              </w:rPr>
              <w:t>=228616.92元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4BD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57B3">
            <w:pPr>
              <w:jc w:val="center"/>
            </w:pPr>
          </w:p>
        </w:tc>
      </w:tr>
      <w:tr w14:paraId="6EEAB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0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7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DC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13C1">
            <w:pPr>
              <w:jc w:val="center"/>
            </w:pPr>
            <w:r>
              <w:rPr>
                <w:rFonts w:ascii="宋体" w:hAnsi="宋体" w:eastAsia="宋体"/>
                <w:sz w:val="16"/>
              </w:rPr>
              <w:t>纳城市公共绿化用水及城市公共厕所用水水费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2122">
            <w:pPr>
              <w:jc w:val="center"/>
            </w:pPr>
            <w:r>
              <w:rPr>
                <w:rFonts w:ascii="宋体" w:hAnsi="宋体" w:eastAsia="宋体"/>
                <w:sz w:val="16"/>
              </w:rPr>
              <w:t>&lt;=1065759.38元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D8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4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EC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B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0B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BB17">
            <w:pPr>
              <w:jc w:val="center"/>
            </w:pPr>
            <w:r>
              <w:rPr>
                <w:rFonts w:ascii="宋体" w:hAnsi="宋体" w:eastAsia="宋体"/>
                <w:sz w:val="16"/>
              </w:rPr>
              <w:t>=1065759.38元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46D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16AC5">
            <w:pPr>
              <w:jc w:val="center"/>
            </w:pPr>
          </w:p>
        </w:tc>
      </w:tr>
      <w:tr w14:paraId="78D96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FA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91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6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00E1">
            <w:pPr>
              <w:jc w:val="center"/>
            </w:pPr>
            <w:r>
              <w:rPr>
                <w:rFonts w:ascii="宋体" w:hAnsi="宋体" w:eastAsia="宋体"/>
                <w:sz w:val="16"/>
              </w:rPr>
              <w:t>塔县住建局建设工程质量检测中心人员工资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2268">
            <w:pPr>
              <w:jc w:val="center"/>
            </w:pPr>
            <w:r>
              <w:rPr>
                <w:rFonts w:ascii="宋体" w:hAnsi="宋体" w:eastAsia="宋体"/>
                <w:sz w:val="16"/>
              </w:rPr>
              <w:t>&lt;=1377720.40元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64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47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AE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A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D5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8A89">
            <w:pPr>
              <w:jc w:val="center"/>
            </w:pPr>
            <w:r>
              <w:rPr>
                <w:rFonts w:ascii="宋体" w:hAnsi="宋体" w:eastAsia="宋体"/>
                <w:sz w:val="16"/>
              </w:rPr>
              <w:t>=1377720.4元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7DD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07A9">
            <w:pPr>
              <w:jc w:val="center"/>
            </w:pPr>
          </w:p>
        </w:tc>
      </w:tr>
      <w:tr w14:paraId="2E909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D4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8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C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44B1">
            <w:pPr>
              <w:jc w:val="center"/>
            </w:pPr>
            <w:r>
              <w:rPr>
                <w:rFonts w:ascii="宋体" w:hAnsi="宋体" w:eastAsia="宋体"/>
                <w:sz w:val="16"/>
              </w:rPr>
              <w:t>2022年6月-2022年12月，2024年1月-2024年12月环卫车司机服务外包经费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8BD2">
            <w:pPr>
              <w:jc w:val="center"/>
            </w:pPr>
            <w:r>
              <w:rPr>
                <w:rFonts w:ascii="宋体" w:hAnsi="宋体" w:eastAsia="宋体"/>
                <w:sz w:val="16"/>
              </w:rPr>
              <w:t>&lt;=166881.87元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C8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16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8B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C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F5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141B">
            <w:pPr>
              <w:jc w:val="center"/>
            </w:pPr>
            <w:r>
              <w:rPr>
                <w:rFonts w:ascii="宋体" w:hAnsi="宋体" w:eastAsia="宋体"/>
                <w:sz w:val="16"/>
              </w:rPr>
              <w:t>=166881.87元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CB2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F40E">
            <w:pPr>
              <w:jc w:val="center"/>
            </w:pPr>
          </w:p>
        </w:tc>
      </w:tr>
      <w:tr w14:paraId="06230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F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EA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FA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AC94">
            <w:pPr>
              <w:jc w:val="center"/>
            </w:pPr>
            <w:r>
              <w:rPr>
                <w:rFonts w:hint="eastAsia" w:ascii="宋体" w:hAnsi="宋体"/>
                <w:sz w:val="16"/>
                <w:lang w:eastAsia="zh-CN"/>
              </w:rPr>
              <w:t>塔什库尔干塔吉克自治县</w:t>
            </w:r>
            <w:r>
              <w:rPr>
                <w:rFonts w:ascii="宋体" w:hAnsi="宋体" w:eastAsia="宋体"/>
                <w:sz w:val="16"/>
              </w:rPr>
              <w:t>高空作业车及</w:t>
            </w:r>
            <w:r>
              <w:rPr>
                <w:rFonts w:hint="eastAsia" w:ascii="宋体" w:hAnsi="宋体"/>
                <w:sz w:val="16"/>
                <w:lang w:eastAsia="zh-CN"/>
              </w:rPr>
              <w:t>YQ</w:t>
            </w:r>
            <w:r>
              <w:rPr>
                <w:rFonts w:ascii="宋体" w:hAnsi="宋体" w:eastAsia="宋体"/>
                <w:sz w:val="16"/>
              </w:rPr>
              <w:t>防控消杀作业车采购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6F57">
            <w:pPr>
              <w:jc w:val="center"/>
            </w:pPr>
            <w:r>
              <w:rPr>
                <w:rFonts w:ascii="宋体" w:hAnsi="宋体" w:eastAsia="宋体"/>
                <w:sz w:val="16"/>
              </w:rPr>
              <w:t>&lt;=1797500元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5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0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54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4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40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686B">
            <w:pPr>
              <w:jc w:val="center"/>
            </w:pPr>
            <w:r>
              <w:rPr>
                <w:rFonts w:ascii="宋体" w:hAnsi="宋体" w:eastAsia="宋体"/>
                <w:sz w:val="16"/>
              </w:rPr>
              <w:t>=1797500元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CCD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2B19">
            <w:pPr>
              <w:jc w:val="center"/>
            </w:pPr>
          </w:p>
        </w:tc>
      </w:tr>
      <w:tr w14:paraId="4B70C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2A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60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4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0CA8">
            <w:pPr>
              <w:jc w:val="center"/>
            </w:pPr>
            <w:r>
              <w:rPr>
                <w:rFonts w:hint="eastAsia" w:ascii="宋体" w:hAnsi="宋体"/>
                <w:sz w:val="16"/>
                <w:lang w:eastAsia="zh-CN"/>
              </w:rPr>
              <w:t>塔什库尔干塔吉克自治县</w:t>
            </w:r>
            <w:r>
              <w:rPr>
                <w:rFonts w:ascii="宋体" w:hAnsi="宋体" w:eastAsia="宋体"/>
                <w:sz w:val="16"/>
              </w:rPr>
              <w:t>融雪剂采购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FA8D">
            <w:pPr>
              <w:jc w:val="center"/>
            </w:pPr>
            <w:r>
              <w:rPr>
                <w:rFonts w:ascii="宋体" w:hAnsi="宋体" w:eastAsia="宋体"/>
                <w:sz w:val="16"/>
              </w:rPr>
              <w:t>&lt;=78400元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96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4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92F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5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1F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D48A">
            <w:pPr>
              <w:jc w:val="center"/>
            </w:pPr>
            <w:r>
              <w:rPr>
                <w:rFonts w:ascii="宋体" w:hAnsi="宋体" w:eastAsia="宋体"/>
                <w:sz w:val="16"/>
              </w:rPr>
              <w:t>=78400元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1C5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7CFE0">
            <w:pPr>
              <w:jc w:val="center"/>
            </w:pPr>
          </w:p>
        </w:tc>
      </w:tr>
      <w:tr w14:paraId="1926F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F2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A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E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CC81">
            <w:pPr>
              <w:jc w:val="center"/>
            </w:pPr>
            <w:r>
              <w:rPr>
                <w:rFonts w:ascii="宋体" w:hAnsi="宋体" w:eastAsia="宋体"/>
                <w:sz w:val="16"/>
              </w:rPr>
              <w:t>环卫车辆加油费（2）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739F">
            <w:pPr>
              <w:jc w:val="center"/>
            </w:pPr>
            <w:r>
              <w:rPr>
                <w:rFonts w:ascii="宋体" w:hAnsi="宋体" w:eastAsia="宋体"/>
                <w:sz w:val="16"/>
              </w:rPr>
              <w:t>&lt;=200000元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F1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2E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B9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E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D2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ED75">
            <w:pPr>
              <w:jc w:val="center"/>
            </w:pPr>
            <w:r>
              <w:rPr>
                <w:rFonts w:ascii="宋体" w:hAnsi="宋体" w:eastAsia="宋体"/>
                <w:sz w:val="16"/>
              </w:rPr>
              <w:t>=200000元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1AE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1C7D">
            <w:pPr>
              <w:jc w:val="center"/>
            </w:pPr>
          </w:p>
        </w:tc>
      </w:tr>
      <w:tr w14:paraId="1E66B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CA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DA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1D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EE7A">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绿色繁荣发展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6ABD">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4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44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1A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27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C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EB19">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59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0350">
            <w:pPr>
              <w:jc w:val="center"/>
            </w:pPr>
          </w:p>
        </w:tc>
      </w:tr>
      <w:tr w14:paraId="58403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60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12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D6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F57B">
            <w:pPr>
              <w:jc w:val="center"/>
            </w:pPr>
            <w:r>
              <w:rPr>
                <w:rFonts w:ascii="宋体" w:hAnsi="宋体" w:eastAsia="宋体"/>
                <w:sz w:val="16"/>
              </w:rPr>
              <w:t>各类经费支付对象满意度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CB6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3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CB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13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FC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4B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0D8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9E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B5A4">
            <w:pPr>
              <w:jc w:val="center"/>
            </w:pPr>
          </w:p>
        </w:tc>
      </w:tr>
      <w:tr w14:paraId="0EFD98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DF9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6B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8AA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F62C5">
            <w:pPr>
              <w:jc w:val="center"/>
            </w:pPr>
            <w:r>
              <w:rPr>
                <w:rFonts w:ascii="宋体" w:hAnsi="宋体" w:eastAsia="宋体"/>
                <w:sz w:val="16"/>
              </w:rPr>
              <w:t>90分</w:t>
            </w:r>
          </w:p>
        </w:tc>
      </w:tr>
    </w:tbl>
    <w:p w14:paraId="42D28FBE">
      <w:r>
        <w:br w:type="page"/>
      </w:r>
    </w:p>
    <w:tbl>
      <w:tblPr>
        <w:tblStyle w:val="9"/>
        <w:tblW w:w="0" w:type="auto"/>
        <w:tblInd w:w="0" w:type="dxa"/>
        <w:tblLayout w:type="autofit"/>
        <w:tblCellMar>
          <w:top w:w="0" w:type="dxa"/>
          <w:left w:w="108" w:type="dxa"/>
          <w:bottom w:w="0" w:type="dxa"/>
          <w:right w:w="108" w:type="dxa"/>
        </w:tblCellMar>
      </w:tblPr>
      <w:tblGrid>
        <w:gridCol w:w="598"/>
        <w:gridCol w:w="543"/>
        <w:gridCol w:w="543"/>
        <w:gridCol w:w="598"/>
        <w:gridCol w:w="1176"/>
        <w:gridCol w:w="565"/>
        <w:gridCol w:w="556"/>
        <w:gridCol w:w="565"/>
        <w:gridCol w:w="556"/>
        <w:gridCol w:w="543"/>
        <w:gridCol w:w="1096"/>
        <w:gridCol w:w="632"/>
        <w:gridCol w:w="462"/>
        <w:gridCol w:w="627"/>
      </w:tblGrid>
      <w:tr w14:paraId="58643401">
        <w:tblPrEx>
          <w:tblCellMar>
            <w:top w:w="0" w:type="dxa"/>
            <w:left w:w="108" w:type="dxa"/>
            <w:bottom w:w="0" w:type="dxa"/>
            <w:right w:w="108" w:type="dxa"/>
          </w:tblCellMar>
        </w:tblPrEx>
        <w:tc>
          <w:tcPr>
            <w:tcW w:w="8848" w:type="dxa"/>
            <w:gridSpan w:val="14"/>
            <w:vAlign w:val="center"/>
          </w:tcPr>
          <w:p w14:paraId="0944D13F">
            <w:pPr>
              <w:jc w:val="center"/>
            </w:pPr>
            <w:r>
              <w:rPr>
                <w:rFonts w:ascii="宋体" w:hAnsi="宋体" w:eastAsia="宋体"/>
                <w:sz w:val="24"/>
              </w:rPr>
              <w:t>项目支出绩效自评表</w:t>
            </w:r>
          </w:p>
        </w:tc>
      </w:tr>
      <w:tr w14:paraId="3C97A4B7">
        <w:tblPrEx>
          <w:tblCellMar>
            <w:top w:w="0" w:type="dxa"/>
            <w:left w:w="108" w:type="dxa"/>
            <w:bottom w:w="0" w:type="dxa"/>
            <w:right w:w="108" w:type="dxa"/>
          </w:tblCellMar>
        </w:tblPrEx>
        <w:tc>
          <w:tcPr>
            <w:tcW w:w="8848" w:type="dxa"/>
            <w:gridSpan w:val="14"/>
            <w:vAlign w:val="center"/>
          </w:tcPr>
          <w:p w14:paraId="25411C62">
            <w:pPr>
              <w:jc w:val="center"/>
            </w:pPr>
            <w:r>
              <w:rPr>
                <w:rFonts w:ascii="宋体" w:hAnsi="宋体" w:eastAsia="宋体"/>
                <w:sz w:val="24"/>
              </w:rPr>
              <w:t>(2024年度)</w:t>
            </w:r>
          </w:p>
        </w:tc>
      </w:tr>
      <w:tr w14:paraId="7121F6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97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9389F3">
            <w:pPr>
              <w:jc w:val="center"/>
            </w:pPr>
            <w:r>
              <w:rPr>
                <w:rFonts w:ascii="宋体" w:hAnsi="宋体" w:eastAsia="宋体"/>
                <w:sz w:val="16"/>
              </w:rPr>
              <w:t>住建局2024年各类道路改造项目经费</w:t>
            </w:r>
          </w:p>
        </w:tc>
      </w:tr>
      <w:tr w14:paraId="072B31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28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192F8">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E9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E96D68">
            <w:pPr>
              <w:jc w:val="center"/>
            </w:pPr>
            <w:r>
              <w:rPr>
                <w:rFonts w:ascii="宋体" w:hAnsi="宋体" w:eastAsia="宋体"/>
                <w:sz w:val="16"/>
              </w:rPr>
              <w:t>塔什库尔干塔吉克自治县住房和城乡建设局</w:t>
            </w:r>
          </w:p>
        </w:tc>
      </w:tr>
      <w:tr w14:paraId="58EFEF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2628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BF9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4A4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4B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CF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36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E33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0E71">
            <w:pPr>
              <w:jc w:val="center"/>
            </w:pPr>
            <w:r>
              <w:rPr>
                <w:rFonts w:ascii="宋体" w:hAnsi="宋体" w:eastAsia="宋体"/>
                <w:sz w:val="16"/>
              </w:rPr>
              <w:t>得分</w:t>
            </w:r>
          </w:p>
        </w:tc>
      </w:tr>
      <w:tr w14:paraId="29C17A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F59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CC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44059">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647B0">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5C2C7">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1E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F515">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7037">
            <w:pPr>
              <w:jc w:val="center"/>
            </w:pPr>
            <w:r>
              <w:rPr>
                <w:rFonts w:ascii="宋体" w:hAnsi="宋体" w:eastAsia="宋体"/>
                <w:sz w:val="16"/>
              </w:rPr>
              <w:t>10.00分</w:t>
            </w:r>
          </w:p>
        </w:tc>
      </w:tr>
      <w:tr w14:paraId="66F13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2E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32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BCF3">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C9CB">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721C">
            <w:pPr>
              <w:jc w:val="center"/>
            </w:pPr>
            <w:r>
              <w:rPr>
                <w:rFonts w:ascii="宋体" w:hAnsi="宋体" w:eastAsia="宋体"/>
                <w:sz w:val="16"/>
              </w:rPr>
              <w:t>1,380.41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3D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EA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87FA">
            <w:pPr>
              <w:jc w:val="center"/>
            </w:pPr>
            <w:r>
              <w:rPr>
                <w:rFonts w:ascii="宋体" w:hAnsi="宋体" w:eastAsia="宋体"/>
                <w:sz w:val="16"/>
              </w:rPr>
              <w:t>—</w:t>
            </w:r>
          </w:p>
        </w:tc>
      </w:tr>
      <w:tr w14:paraId="48643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BE6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F5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7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C7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BB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D6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F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34BA">
            <w:pPr>
              <w:jc w:val="center"/>
            </w:pPr>
            <w:r>
              <w:rPr>
                <w:rFonts w:ascii="宋体" w:hAnsi="宋体" w:eastAsia="宋体"/>
                <w:sz w:val="16"/>
              </w:rPr>
              <w:t>—</w:t>
            </w:r>
          </w:p>
        </w:tc>
      </w:tr>
      <w:tr w14:paraId="459E9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A33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53B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6CC919">
            <w:pPr>
              <w:jc w:val="center"/>
            </w:pPr>
            <w:r>
              <w:rPr>
                <w:rFonts w:ascii="宋体" w:hAnsi="宋体" w:eastAsia="宋体"/>
                <w:sz w:val="16"/>
              </w:rPr>
              <w:t>实际完成情况</w:t>
            </w:r>
          </w:p>
        </w:tc>
      </w:tr>
      <w:tr w14:paraId="376E9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B8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76B6C">
            <w:pPr>
              <w:jc w:val="both"/>
            </w:pPr>
            <w:r>
              <w:rPr>
                <w:rFonts w:ascii="宋体" w:hAnsi="宋体" w:eastAsia="宋体"/>
                <w:sz w:val="16"/>
              </w:rPr>
              <w:t>项目计划投资13804129.89元，用于改善城市基础建设，其中喀什地区</w:t>
            </w:r>
            <w:r>
              <w:rPr>
                <w:rFonts w:hint="eastAsia" w:ascii="宋体" w:hAnsi="宋体"/>
                <w:sz w:val="16"/>
                <w:lang w:eastAsia="zh-CN"/>
              </w:rPr>
              <w:t>塔什库尔干塔吉克自治县</w:t>
            </w:r>
            <w:r>
              <w:rPr>
                <w:rFonts w:ascii="宋体" w:hAnsi="宋体" w:eastAsia="宋体"/>
                <w:sz w:val="16"/>
              </w:rPr>
              <w:t>喀拉苏路、思瞳路提升改造工程2455851.79元，喀什地区</w:t>
            </w:r>
            <w:r>
              <w:rPr>
                <w:rFonts w:hint="eastAsia" w:ascii="宋体" w:hAnsi="宋体"/>
                <w:sz w:val="16"/>
                <w:lang w:eastAsia="zh-CN"/>
              </w:rPr>
              <w:t>塔什库尔干塔吉克自治县</w:t>
            </w:r>
            <w:r>
              <w:rPr>
                <w:rFonts w:ascii="宋体" w:hAnsi="宋体" w:eastAsia="宋体"/>
                <w:sz w:val="16"/>
              </w:rPr>
              <w:t>赛日库依路提升改造工程2480453.23元，喀什地区</w:t>
            </w:r>
            <w:r>
              <w:rPr>
                <w:rFonts w:hint="eastAsia" w:ascii="宋体" w:hAnsi="宋体"/>
                <w:sz w:val="16"/>
                <w:lang w:eastAsia="zh-CN"/>
              </w:rPr>
              <w:t>塔什库尔干塔吉克自治县</w:t>
            </w:r>
            <w:r>
              <w:rPr>
                <w:rFonts w:ascii="宋体" w:hAnsi="宋体" w:eastAsia="宋体"/>
                <w:sz w:val="16"/>
              </w:rPr>
              <w:t>草滩大道提升改造工程3000000元，</w:t>
            </w:r>
            <w:r>
              <w:rPr>
                <w:rFonts w:hint="eastAsia" w:ascii="宋体" w:hAnsi="宋体"/>
                <w:sz w:val="16"/>
                <w:lang w:eastAsia="zh-CN"/>
              </w:rPr>
              <w:t>塔什库尔干塔吉克自治县</w:t>
            </w:r>
            <w:r>
              <w:rPr>
                <w:rFonts w:ascii="宋体" w:hAnsi="宋体" w:eastAsia="宋体"/>
                <w:sz w:val="16"/>
              </w:rPr>
              <w:t>如意路建设项目942731.38元，喀什地区</w:t>
            </w:r>
            <w:r>
              <w:rPr>
                <w:rFonts w:hint="eastAsia" w:ascii="宋体" w:hAnsi="宋体"/>
                <w:sz w:val="16"/>
                <w:lang w:eastAsia="zh-CN"/>
              </w:rPr>
              <w:t>塔什库尔干塔吉克自治县</w:t>
            </w:r>
            <w:r>
              <w:rPr>
                <w:rFonts w:ascii="宋体" w:hAnsi="宋体" w:eastAsia="宋体"/>
                <w:sz w:val="16"/>
              </w:rPr>
              <w:t>雄鹰大道提升改造工程1381805.23元，喀什地区</w:t>
            </w:r>
            <w:r>
              <w:rPr>
                <w:rFonts w:hint="eastAsia" w:ascii="宋体" w:hAnsi="宋体"/>
                <w:sz w:val="16"/>
                <w:lang w:eastAsia="zh-CN"/>
              </w:rPr>
              <w:t>塔什库尔干塔吉克自治县</w:t>
            </w:r>
            <w:r>
              <w:rPr>
                <w:rFonts w:ascii="宋体" w:hAnsi="宋体" w:eastAsia="宋体"/>
                <w:sz w:val="16"/>
              </w:rPr>
              <w:t>中巴友谊路提升改造工程3431350.26元，</w:t>
            </w:r>
            <w:r>
              <w:rPr>
                <w:rFonts w:hint="eastAsia" w:ascii="宋体" w:hAnsi="宋体"/>
                <w:sz w:val="16"/>
                <w:lang w:eastAsia="zh-CN"/>
              </w:rPr>
              <w:t>塔什库尔干塔吉克自治县</w:t>
            </w:r>
            <w:r>
              <w:rPr>
                <w:rFonts w:ascii="宋体" w:hAnsi="宋体" w:eastAsia="宋体"/>
                <w:sz w:val="16"/>
              </w:rPr>
              <w:t>乔戈里路提升改造工程111938.00元，有效提高居民满意度。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52BC3">
            <w:pPr>
              <w:jc w:val="both"/>
            </w:pPr>
            <w:r>
              <w:rPr>
                <w:rFonts w:ascii="宋体" w:hAnsi="宋体" w:eastAsia="宋体"/>
                <w:sz w:val="16"/>
              </w:rPr>
              <w:t>项目实际投资13804129.89元，用于改善城市基础建设，其中喀什地区</w:t>
            </w:r>
            <w:r>
              <w:rPr>
                <w:rFonts w:hint="eastAsia" w:ascii="宋体" w:hAnsi="宋体"/>
                <w:sz w:val="16"/>
                <w:lang w:eastAsia="zh-CN"/>
              </w:rPr>
              <w:t>塔什库尔干塔吉克自治县</w:t>
            </w:r>
            <w:r>
              <w:rPr>
                <w:rFonts w:ascii="宋体" w:hAnsi="宋体" w:eastAsia="宋体"/>
                <w:sz w:val="16"/>
              </w:rPr>
              <w:t>喀拉苏路、思瞳路提升改造工程2455851.79元，喀什地区</w:t>
            </w:r>
            <w:r>
              <w:rPr>
                <w:rFonts w:hint="eastAsia" w:ascii="宋体" w:hAnsi="宋体"/>
                <w:sz w:val="16"/>
                <w:lang w:eastAsia="zh-CN"/>
              </w:rPr>
              <w:t>塔什库尔干塔吉克自治县</w:t>
            </w:r>
            <w:r>
              <w:rPr>
                <w:rFonts w:ascii="宋体" w:hAnsi="宋体" w:eastAsia="宋体"/>
                <w:sz w:val="16"/>
              </w:rPr>
              <w:t>赛日库依路提升改造工程2480453.23元，喀什地区</w:t>
            </w:r>
            <w:r>
              <w:rPr>
                <w:rFonts w:hint="eastAsia" w:ascii="宋体" w:hAnsi="宋体"/>
                <w:sz w:val="16"/>
                <w:lang w:eastAsia="zh-CN"/>
              </w:rPr>
              <w:t>塔什库尔干塔吉克自治县</w:t>
            </w:r>
            <w:r>
              <w:rPr>
                <w:rFonts w:ascii="宋体" w:hAnsi="宋体" w:eastAsia="宋体"/>
                <w:sz w:val="16"/>
              </w:rPr>
              <w:t>草滩大道提升改造工程3000000元，</w:t>
            </w:r>
            <w:r>
              <w:rPr>
                <w:rFonts w:hint="eastAsia" w:ascii="宋体" w:hAnsi="宋体"/>
                <w:sz w:val="16"/>
                <w:lang w:eastAsia="zh-CN"/>
              </w:rPr>
              <w:t>塔什库尔干塔吉克自治县</w:t>
            </w:r>
            <w:r>
              <w:rPr>
                <w:rFonts w:ascii="宋体" w:hAnsi="宋体" w:eastAsia="宋体"/>
                <w:sz w:val="16"/>
              </w:rPr>
              <w:t>如意路建设项目942731.38元，喀什地区</w:t>
            </w:r>
            <w:r>
              <w:rPr>
                <w:rFonts w:hint="eastAsia" w:ascii="宋体" w:hAnsi="宋体"/>
                <w:sz w:val="16"/>
                <w:lang w:eastAsia="zh-CN"/>
              </w:rPr>
              <w:t>塔什库尔干塔吉克自治县</w:t>
            </w:r>
            <w:r>
              <w:rPr>
                <w:rFonts w:ascii="宋体" w:hAnsi="宋体" w:eastAsia="宋体"/>
                <w:sz w:val="16"/>
              </w:rPr>
              <w:t>雄鹰大道提升改造工程1381805.23元，喀什地区</w:t>
            </w:r>
            <w:r>
              <w:rPr>
                <w:rFonts w:hint="eastAsia" w:ascii="宋体" w:hAnsi="宋体"/>
                <w:sz w:val="16"/>
                <w:lang w:eastAsia="zh-CN"/>
              </w:rPr>
              <w:t>塔什库尔干塔吉克自治县</w:t>
            </w:r>
            <w:r>
              <w:rPr>
                <w:rFonts w:ascii="宋体" w:hAnsi="宋体" w:eastAsia="宋体"/>
                <w:sz w:val="16"/>
              </w:rPr>
              <w:t>中巴友谊路提升改造工程3431350.26元，</w:t>
            </w:r>
            <w:r>
              <w:rPr>
                <w:rFonts w:hint="eastAsia" w:ascii="宋体" w:hAnsi="宋体"/>
                <w:sz w:val="16"/>
                <w:lang w:eastAsia="zh-CN"/>
              </w:rPr>
              <w:t>塔什库尔干塔吉克自治县</w:t>
            </w:r>
            <w:r>
              <w:rPr>
                <w:rFonts w:ascii="宋体" w:hAnsi="宋体" w:eastAsia="宋体"/>
                <w:sz w:val="16"/>
              </w:rPr>
              <w:t>乔戈里路提升改造工程111938.00元，有效提高居民满意度。</w:t>
            </w:r>
            <w:r>
              <w:rPr>
                <w:rFonts w:ascii="宋体" w:hAnsi="宋体" w:eastAsia="宋体"/>
                <w:sz w:val="16"/>
              </w:rPr>
              <w:br w:type="textWrapping"/>
            </w:r>
            <w:r>
              <w:rPr>
                <w:rFonts w:ascii="宋体" w:hAnsi="宋体" w:eastAsia="宋体"/>
                <w:sz w:val="16"/>
              </w:rPr>
              <w:t>项目计划投资13804129.89元，用于改善城市基础建设，其中喀什地区</w:t>
            </w:r>
            <w:r>
              <w:rPr>
                <w:rFonts w:hint="eastAsia" w:ascii="宋体" w:hAnsi="宋体"/>
                <w:sz w:val="16"/>
                <w:lang w:eastAsia="zh-CN"/>
              </w:rPr>
              <w:t>塔什库尔干塔吉克自治县</w:t>
            </w:r>
            <w:r>
              <w:rPr>
                <w:rFonts w:ascii="宋体" w:hAnsi="宋体" w:eastAsia="宋体"/>
                <w:sz w:val="16"/>
              </w:rPr>
              <w:t>喀拉苏路、思瞳路提升改造工程2455851.79元，喀什地区</w:t>
            </w:r>
            <w:r>
              <w:rPr>
                <w:rFonts w:hint="eastAsia" w:ascii="宋体" w:hAnsi="宋体"/>
                <w:sz w:val="16"/>
                <w:lang w:eastAsia="zh-CN"/>
              </w:rPr>
              <w:t>塔什库尔干塔吉克自治县</w:t>
            </w:r>
            <w:r>
              <w:rPr>
                <w:rFonts w:ascii="宋体" w:hAnsi="宋体" w:eastAsia="宋体"/>
                <w:sz w:val="16"/>
              </w:rPr>
              <w:t>赛日库依路提升改造工程2480453.23元，喀什地区</w:t>
            </w:r>
            <w:r>
              <w:rPr>
                <w:rFonts w:hint="eastAsia" w:ascii="宋体" w:hAnsi="宋体"/>
                <w:sz w:val="16"/>
                <w:lang w:eastAsia="zh-CN"/>
              </w:rPr>
              <w:t>塔什库尔干塔吉克自治县</w:t>
            </w:r>
            <w:r>
              <w:rPr>
                <w:rFonts w:ascii="宋体" w:hAnsi="宋体" w:eastAsia="宋体"/>
                <w:sz w:val="16"/>
              </w:rPr>
              <w:t>草滩大道提升改造工程3000000元，</w:t>
            </w:r>
            <w:r>
              <w:rPr>
                <w:rFonts w:hint="eastAsia" w:ascii="宋体" w:hAnsi="宋体"/>
                <w:sz w:val="16"/>
                <w:lang w:eastAsia="zh-CN"/>
              </w:rPr>
              <w:t>塔什库尔干塔吉克自治县</w:t>
            </w:r>
            <w:r>
              <w:rPr>
                <w:rFonts w:ascii="宋体" w:hAnsi="宋体" w:eastAsia="宋体"/>
                <w:sz w:val="16"/>
              </w:rPr>
              <w:t>如意路建设项目942731.38元，喀什地区</w:t>
            </w:r>
            <w:r>
              <w:rPr>
                <w:rFonts w:hint="eastAsia" w:ascii="宋体" w:hAnsi="宋体"/>
                <w:sz w:val="16"/>
                <w:lang w:eastAsia="zh-CN"/>
              </w:rPr>
              <w:t>塔什库尔干塔吉克自治县</w:t>
            </w:r>
            <w:r>
              <w:rPr>
                <w:rFonts w:ascii="宋体" w:hAnsi="宋体" w:eastAsia="宋体"/>
                <w:sz w:val="16"/>
              </w:rPr>
              <w:t>雄鹰大道提升改造工程1381805.23元，喀什地区</w:t>
            </w:r>
            <w:r>
              <w:rPr>
                <w:rFonts w:hint="eastAsia" w:ascii="宋体" w:hAnsi="宋体"/>
                <w:sz w:val="16"/>
                <w:lang w:eastAsia="zh-CN"/>
              </w:rPr>
              <w:t>塔什库尔干塔吉克自治县</w:t>
            </w:r>
            <w:r>
              <w:rPr>
                <w:rFonts w:ascii="宋体" w:hAnsi="宋体" w:eastAsia="宋体"/>
                <w:sz w:val="16"/>
              </w:rPr>
              <w:t>中巴友谊路提升改造工程3431350.26元，</w:t>
            </w:r>
            <w:r>
              <w:rPr>
                <w:rFonts w:hint="eastAsia" w:ascii="宋体" w:hAnsi="宋体"/>
                <w:sz w:val="16"/>
                <w:lang w:eastAsia="zh-CN"/>
              </w:rPr>
              <w:t>塔什库尔干塔吉克自治县</w:t>
            </w:r>
            <w:r>
              <w:rPr>
                <w:rFonts w:ascii="宋体" w:hAnsi="宋体" w:eastAsia="宋体"/>
                <w:sz w:val="16"/>
              </w:rPr>
              <w:t>乔戈里路提升改造工程111938.00元，有效提高居民满意度。</w:t>
            </w:r>
          </w:p>
        </w:tc>
      </w:tr>
      <w:tr w14:paraId="39E50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D8D5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1D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3A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0E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93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7B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66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BA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7C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35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787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3B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93335">
            <w:pPr>
              <w:jc w:val="center"/>
            </w:pPr>
            <w:r>
              <w:rPr>
                <w:rFonts w:ascii="宋体" w:hAnsi="宋体" w:eastAsia="宋体"/>
                <w:sz w:val="16"/>
              </w:rPr>
              <w:t>偏差原因分析及改进措施</w:t>
            </w:r>
          </w:p>
        </w:tc>
      </w:tr>
      <w:tr w14:paraId="6766C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8C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690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0C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B9A1">
            <w:pPr>
              <w:jc w:val="center"/>
            </w:pPr>
            <w:r>
              <w:rPr>
                <w:rFonts w:ascii="宋体" w:hAnsi="宋体" w:eastAsia="宋体"/>
                <w:sz w:val="16"/>
              </w:rPr>
              <w:t>道路提升改造工程数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7A5A">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9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2F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0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8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0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4DD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06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300B5">
            <w:pPr>
              <w:jc w:val="center"/>
            </w:pPr>
          </w:p>
        </w:tc>
      </w:tr>
      <w:tr w14:paraId="0D355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9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88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CB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BBF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7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0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86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6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63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4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5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30EB">
            <w:pPr>
              <w:jc w:val="center"/>
            </w:pPr>
          </w:p>
        </w:tc>
      </w:tr>
      <w:tr w14:paraId="7AD80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A6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031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2C1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03AE">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E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D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E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CD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70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E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8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2E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5369B">
            <w:pPr>
              <w:jc w:val="center"/>
            </w:pPr>
          </w:p>
        </w:tc>
      </w:tr>
      <w:tr w14:paraId="2DEF3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9F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D9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4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F217">
            <w:pPr>
              <w:jc w:val="center"/>
            </w:pPr>
            <w:r>
              <w:rPr>
                <w:rFonts w:ascii="宋体" w:hAnsi="宋体" w:eastAsia="宋体"/>
                <w:sz w:val="16"/>
              </w:rPr>
              <w:t>工程资金拨付及时率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C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6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3B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7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04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4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5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19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984EA">
            <w:pPr>
              <w:jc w:val="center"/>
            </w:pPr>
          </w:p>
        </w:tc>
      </w:tr>
      <w:tr w14:paraId="7CAE5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647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0C6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7E1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78A5">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喀拉苏路、思瞳路提升改造工程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A543">
            <w:pPr>
              <w:jc w:val="center"/>
            </w:pPr>
            <w:r>
              <w:rPr>
                <w:rFonts w:ascii="宋体" w:hAnsi="宋体" w:eastAsia="宋体"/>
                <w:sz w:val="16"/>
              </w:rPr>
              <w:t>&lt;=2455851.79元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F5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A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D9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3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1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128F">
            <w:pPr>
              <w:jc w:val="center"/>
            </w:pPr>
            <w:r>
              <w:rPr>
                <w:rFonts w:ascii="宋体" w:hAnsi="宋体" w:eastAsia="宋体"/>
                <w:sz w:val="16"/>
              </w:rPr>
              <w:t>=2455851.7元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A8B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8BF4">
            <w:pPr>
              <w:jc w:val="center"/>
            </w:pPr>
          </w:p>
        </w:tc>
      </w:tr>
      <w:tr w14:paraId="07BB9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62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69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7C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9020">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赛日库依路提升改造工程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4FE6">
            <w:pPr>
              <w:jc w:val="center"/>
            </w:pPr>
            <w:r>
              <w:rPr>
                <w:rFonts w:ascii="宋体" w:hAnsi="宋体" w:eastAsia="宋体"/>
                <w:sz w:val="16"/>
              </w:rPr>
              <w:t>&lt;=2480453.23元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B3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19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C6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F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31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A3B9">
            <w:pPr>
              <w:jc w:val="center"/>
            </w:pPr>
            <w:r>
              <w:rPr>
                <w:rFonts w:ascii="宋体" w:hAnsi="宋体" w:eastAsia="宋体"/>
                <w:sz w:val="16"/>
              </w:rPr>
              <w:t>=2480453.23元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390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4341">
            <w:pPr>
              <w:jc w:val="center"/>
            </w:pPr>
          </w:p>
        </w:tc>
      </w:tr>
      <w:tr w14:paraId="40BBB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86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4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C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3951">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草滩大道提升改造工程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CDF8">
            <w:pPr>
              <w:jc w:val="center"/>
            </w:pPr>
            <w:r>
              <w:rPr>
                <w:rFonts w:ascii="宋体" w:hAnsi="宋体" w:eastAsia="宋体"/>
                <w:sz w:val="16"/>
              </w:rPr>
              <w:t>&lt;=3000000元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1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1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40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F4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2A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72D9">
            <w:pPr>
              <w:jc w:val="center"/>
            </w:pPr>
            <w:r>
              <w:rPr>
                <w:rFonts w:ascii="宋体" w:hAnsi="宋体" w:eastAsia="宋体"/>
                <w:sz w:val="16"/>
              </w:rPr>
              <w:t>=3000000元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F96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60470">
            <w:pPr>
              <w:jc w:val="center"/>
            </w:pPr>
          </w:p>
        </w:tc>
      </w:tr>
      <w:tr w14:paraId="3655D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68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B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33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1B72">
            <w:pPr>
              <w:jc w:val="center"/>
            </w:pPr>
            <w:r>
              <w:rPr>
                <w:rFonts w:hint="eastAsia" w:ascii="宋体" w:hAnsi="宋体"/>
                <w:sz w:val="16"/>
                <w:lang w:eastAsia="zh-CN"/>
              </w:rPr>
              <w:t>塔什库尔干塔吉克自治县</w:t>
            </w:r>
            <w:r>
              <w:rPr>
                <w:rFonts w:ascii="宋体" w:hAnsi="宋体" w:eastAsia="宋体"/>
                <w:sz w:val="16"/>
              </w:rPr>
              <w:t>如意路建设项目工程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C5B6">
            <w:pPr>
              <w:jc w:val="center"/>
            </w:pPr>
            <w:r>
              <w:rPr>
                <w:rFonts w:ascii="宋体" w:hAnsi="宋体" w:eastAsia="宋体"/>
                <w:sz w:val="16"/>
              </w:rPr>
              <w:t>&lt;=942731.38元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9F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C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CE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C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29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BB02">
            <w:pPr>
              <w:jc w:val="center"/>
            </w:pPr>
            <w:r>
              <w:rPr>
                <w:rFonts w:ascii="宋体" w:hAnsi="宋体" w:eastAsia="宋体"/>
                <w:sz w:val="16"/>
              </w:rPr>
              <w:t>=942731.38元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07B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C8D6">
            <w:pPr>
              <w:jc w:val="center"/>
            </w:pPr>
          </w:p>
        </w:tc>
      </w:tr>
      <w:tr w14:paraId="51A72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D1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85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A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1591">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雄鹰大道提升改造工程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21AF">
            <w:pPr>
              <w:jc w:val="center"/>
            </w:pPr>
            <w:r>
              <w:rPr>
                <w:rFonts w:ascii="宋体" w:hAnsi="宋体" w:eastAsia="宋体"/>
                <w:sz w:val="16"/>
              </w:rPr>
              <w:t>&lt;=1381805.23元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78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0E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79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D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F1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0984">
            <w:pPr>
              <w:jc w:val="center"/>
            </w:pPr>
            <w:r>
              <w:rPr>
                <w:rFonts w:ascii="宋体" w:hAnsi="宋体" w:eastAsia="宋体"/>
                <w:sz w:val="16"/>
              </w:rPr>
              <w:t>=1381805.2元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1AA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D025">
            <w:pPr>
              <w:jc w:val="center"/>
            </w:pPr>
          </w:p>
        </w:tc>
      </w:tr>
      <w:tr w14:paraId="61B53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34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6B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DE5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9B46">
            <w:pPr>
              <w:jc w:val="center"/>
            </w:pPr>
            <w:r>
              <w:rPr>
                <w:rFonts w:ascii="宋体" w:hAnsi="宋体" w:eastAsia="宋体"/>
                <w:sz w:val="16"/>
              </w:rPr>
              <w:t>喀什地区</w:t>
            </w:r>
            <w:r>
              <w:rPr>
                <w:rFonts w:hint="eastAsia" w:ascii="宋体" w:hAnsi="宋体"/>
                <w:sz w:val="16"/>
                <w:lang w:eastAsia="zh-CN"/>
              </w:rPr>
              <w:t>塔什库尔干塔吉克自治县</w:t>
            </w:r>
            <w:r>
              <w:rPr>
                <w:rFonts w:ascii="宋体" w:hAnsi="宋体" w:eastAsia="宋体"/>
                <w:sz w:val="16"/>
              </w:rPr>
              <w:t>中巴友谊路提升改造工程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156E">
            <w:pPr>
              <w:jc w:val="center"/>
            </w:pPr>
            <w:r>
              <w:rPr>
                <w:rFonts w:ascii="宋体" w:hAnsi="宋体" w:eastAsia="宋体"/>
                <w:sz w:val="16"/>
              </w:rPr>
              <w:t>&lt;=3431350.26元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65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3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EB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5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DE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F468">
            <w:pPr>
              <w:jc w:val="center"/>
            </w:pPr>
            <w:r>
              <w:rPr>
                <w:rFonts w:ascii="宋体" w:hAnsi="宋体" w:eastAsia="宋体"/>
                <w:sz w:val="16"/>
              </w:rPr>
              <w:t>=3431350.26元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336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D5A3">
            <w:pPr>
              <w:jc w:val="center"/>
            </w:pPr>
          </w:p>
        </w:tc>
      </w:tr>
      <w:tr w14:paraId="67C7B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74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EB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951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3F21">
            <w:pPr>
              <w:jc w:val="center"/>
            </w:pPr>
            <w:r>
              <w:rPr>
                <w:rFonts w:ascii="宋体" w:hAnsi="宋体" w:eastAsia="宋体"/>
                <w:sz w:val="16"/>
              </w:rPr>
              <w:t>乔戈里路提升改造项目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52A7">
            <w:pPr>
              <w:jc w:val="center"/>
            </w:pPr>
            <w:r>
              <w:rPr>
                <w:rFonts w:ascii="宋体" w:hAnsi="宋体" w:eastAsia="宋体"/>
                <w:sz w:val="16"/>
              </w:rPr>
              <w:t>&lt;=111938.00元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3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8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21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B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B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BF75">
            <w:pPr>
              <w:jc w:val="center"/>
            </w:pPr>
            <w:r>
              <w:rPr>
                <w:rFonts w:ascii="宋体" w:hAnsi="宋体" w:eastAsia="宋体"/>
                <w:sz w:val="16"/>
              </w:rPr>
              <w:t>=111938元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3A5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0DD8">
            <w:pPr>
              <w:jc w:val="center"/>
            </w:pPr>
          </w:p>
        </w:tc>
      </w:tr>
      <w:tr w14:paraId="4FAF3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D8F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6385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E7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AC6D">
            <w:pPr>
              <w:jc w:val="center"/>
            </w:pPr>
            <w:r>
              <w:rPr>
                <w:rFonts w:ascii="宋体" w:hAnsi="宋体" w:eastAsia="宋体"/>
                <w:sz w:val="16"/>
              </w:rPr>
              <w:t>提高居民满意度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81E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C0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6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5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8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2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81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E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2A0A">
            <w:pPr>
              <w:jc w:val="center"/>
            </w:pPr>
          </w:p>
        </w:tc>
      </w:tr>
      <w:tr w14:paraId="3EE7D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7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6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1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617B">
            <w:pPr>
              <w:jc w:val="center"/>
            </w:pPr>
            <w:r>
              <w:rPr>
                <w:rFonts w:ascii="宋体" w:hAnsi="宋体" w:eastAsia="宋体"/>
                <w:sz w:val="16"/>
              </w:rPr>
              <w:t>改善城市基础建设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CEB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EE0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F5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99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61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0A7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77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AFDC">
            <w:pPr>
              <w:jc w:val="center"/>
            </w:pPr>
          </w:p>
        </w:tc>
      </w:tr>
      <w:tr w14:paraId="39DF9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8E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55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D5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BE15">
            <w:pPr>
              <w:jc w:val="center"/>
            </w:pPr>
            <w:r>
              <w:rPr>
                <w:rFonts w:hint="eastAsia" w:ascii="宋体" w:hAnsi="宋体"/>
                <w:sz w:val="16"/>
                <w:lang w:eastAsia="zh-CN"/>
              </w:rPr>
              <w:t>塔什库尔干塔吉克自治县</w:t>
            </w: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40B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8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2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93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A0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DF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C9D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8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4EF6">
            <w:pPr>
              <w:jc w:val="center"/>
            </w:pPr>
          </w:p>
        </w:tc>
      </w:tr>
      <w:tr w14:paraId="34C00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B4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EB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C0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F58D4">
            <w:pPr>
              <w:jc w:val="center"/>
            </w:pPr>
            <w:r>
              <w:rPr>
                <w:rFonts w:ascii="宋体" w:hAnsi="宋体" w:eastAsia="宋体"/>
                <w:sz w:val="16"/>
              </w:rPr>
              <w:t>100分</w:t>
            </w:r>
          </w:p>
        </w:tc>
      </w:tr>
    </w:tbl>
    <w:p w14:paraId="5632A0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271C93D">
        <w:tblPrEx>
          <w:tblCellMar>
            <w:top w:w="0" w:type="dxa"/>
            <w:left w:w="108" w:type="dxa"/>
            <w:bottom w:w="0" w:type="dxa"/>
            <w:right w:w="108" w:type="dxa"/>
          </w:tblCellMar>
        </w:tblPrEx>
        <w:tc>
          <w:tcPr>
            <w:tcW w:w="8848" w:type="dxa"/>
            <w:gridSpan w:val="14"/>
            <w:vAlign w:val="center"/>
          </w:tcPr>
          <w:p w14:paraId="22D51F1F">
            <w:pPr>
              <w:jc w:val="center"/>
            </w:pPr>
            <w:r>
              <w:rPr>
                <w:rFonts w:ascii="宋体" w:hAnsi="宋体" w:eastAsia="宋体"/>
                <w:sz w:val="24"/>
              </w:rPr>
              <w:t>项目支出绩效自评表</w:t>
            </w:r>
          </w:p>
        </w:tc>
      </w:tr>
      <w:tr w14:paraId="308724EF">
        <w:tblPrEx>
          <w:tblCellMar>
            <w:top w:w="0" w:type="dxa"/>
            <w:left w:w="108" w:type="dxa"/>
            <w:bottom w:w="0" w:type="dxa"/>
            <w:right w:w="108" w:type="dxa"/>
          </w:tblCellMar>
        </w:tblPrEx>
        <w:tc>
          <w:tcPr>
            <w:tcW w:w="8848" w:type="dxa"/>
            <w:gridSpan w:val="14"/>
            <w:vAlign w:val="center"/>
          </w:tcPr>
          <w:p w14:paraId="6CB1C965">
            <w:pPr>
              <w:jc w:val="center"/>
            </w:pPr>
            <w:r>
              <w:rPr>
                <w:rFonts w:ascii="宋体" w:hAnsi="宋体" w:eastAsia="宋体"/>
                <w:sz w:val="24"/>
              </w:rPr>
              <w:t>(2024年度)</w:t>
            </w:r>
          </w:p>
        </w:tc>
      </w:tr>
      <w:tr w14:paraId="60D68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5A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25D916">
            <w:pPr>
              <w:jc w:val="center"/>
            </w:pPr>
            <w:r>
              <w:rPr>
                <w:rFonts w:hint="eastAsia" w:ascii="宋体" w:hAnsi="宋体"/>
                <w:sz w:val="16"/>
                <w:lang w:eastAsia="zh-CN"/>
              </w:rPr>
              <w:t>塔什库尔干塔吉克自治县</w:t>
            </w:r>
            <w:r>
              <w:rPr>
                <w:rFonts w:ascii="宋体" w:hAnsi="宋体" w:eastAsia="宋体"/>
                <w:sz w:val="16"/>
              </w:rPr>
              <w:t>2024年旅游基础设施提升改造工程</w:t>
            </w:r>
          </w:p>
        </w:tc>
      </w:tr>
      <w:tr w14:paraId="0791F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E6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97829">
            <w:pPr>
              <w:jc w:val="center"/>
            </w:pPr>
            <w:r>
              <w:rPr>
                <w:rFonts w:ascii="宋体" w:hAnsi="宋体" w:eastAsia="宋体"/>
                <w:sz w:val="16"/>
              </w:rPr>
              <w:t>塔什库尔干塔吉克自治县住房和城乡建设局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90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47194">
            <w:pPr>
              <w:jc w:val="center"/>
            </w:pPr>
            <w:r>
              <w:rPr>
                <w:rFonts w:ascii="宋体" w:hAnsi="宋体" w:eastAsia="宋体"/>
                <w:sz w:val="16"/>
              </w:rPr>
              <w:t>塔什库尔干塔吉克自治县住房和城乡建设局</w:t>
            </w:r>
          </w:p>
        </w:tc>
      </w:tr>
      <w:tr w14:paraId="65ABBF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5D8B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2406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1F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006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8E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129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AE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2BBB">
            <w:pPr>
              <w:jc w:val="center"/>
            </w:pPr>
            <w:r>
              <w:rPr>
                <w:rFonts w:ascii="宋体" w:hAnsi="宋体" w:eastAsia="宋体"/>
                <w:sz w:val="16"/>
              </w:rPr>
              <w:t>得分</w:t>
            </w:r>
          </w:p>
        </w:tc>
      </w:tr>
      <w:tr w14:paraId="360C77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3A4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0E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6B833">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BBF9E">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A066">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04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9F36">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99DA">
            <w:pPr>
              <w:jc w:val="center"/>
            </w:pPr>
            <w:r>
              <w:rPr>
                <w:rFonts w:ascii="宋体" w:hAnsi="宋体" w:eastAsia="宋体"/>
                <w:sz w:val="16"/>
              </w:rPr>
              <w:t>10.00分</w:t>
            </w:r>
          </w:p>
        </w:tc>
      </w:tr>
      <w:tr w14:paraId="5685E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13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A55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83A9">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C3712">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C47F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A8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7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317D">
            <w:pPr>
              <w:jc w:val="center"/>
            </w:pPr>
            <w:r>
              <w:rPr>
                <w:rFonts w:ascii="宋体" w:hAnsi="宋体" w:eastAsia="宋体"/>
                <w:sz w:val="16"/>
              </w:rPr>
              <w:t>—</w:t>
            </w:r>
          </w:p>
        </w:tc>
      </w:tr>
      <w:tr w14:paraId="35891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31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D0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E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7D6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7E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DBA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F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B5B5">
            <w:pPr>
              <w:jc w:val="center"/>
            </w:pPr>
            <w:r>
              <w:rPr>
                <w:rFonts w:ascii="宋体" w:hAnsi="宋体" w:eastAsia="宋体"/>
                <w:sz w:val="16"/>
              </w:rPr>
              <w:t>—</w:t>
            </w:r>
          </w:p>
        </w:tc>
      </w:tr>
      <w:tr w14:paraId="0EDFC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5BB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B7C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2C84C">
            <w:pPr>
              <w:jc w:val="center"/>
            </w:pPr>
            <w:r>
              <w:rPr>
                <w:rFonts w:ascii="宋体" w:hAnsi="宋体" w:eastAsia="宋体"/>
                <w:sz w:val="16"/>
              </w:rPr>
              <w:t>实际完成情况</w:t>
            </w:r>
          </w:p>
        </w:tc>
      </w:tr>
      <w:tr w14:paraId="2AF7F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0E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B407C">
            <w:pPr>
              <w:jc w:val="both"/>
            </w:pPr>
            <w:r>
              <w:rPr>
                <w:rFonts w:ascii="宋体" w:hAnsi="宋体" w:eastAsia="宋体"/>
                <w:sz w:val="16"/>
              </w:rPr>
              <w:t>项目计划投资1000万元，对盘龙古道、曲曼检查 站至思瞳路段进行提升改造</w:t>
            </w:r>
            <w:r>
              <w:rPr>
                <w:rFonts w:hint="eastAsia" w:ascii="宋体" w:hAnsi="宋体"/>
                <w:sz w:val="16"/>
                <w:lang w:eastAsia="zh-CN"/>
              </w:rPr>
              <w:t>并</w:t>
            </w:r>
            <w:r>
              <w:rPr>
                <w:rFonts w:ascii="宋体" w:hAnsi="宋体" w:eastAsia="宋体"/>
                <w:sz w:val="16"/>
              </w:rPr>
              <w:t>配套相关附属设施，包括； 标线、栏杆、安全警示标语等。景区内部道路、各类安全警 示牌及剧院电缆、灯光等基础设施提升改造工程。有效带动</w:t>
            </w:r>
            <w:r>
              <w:rPr>
                <w:rFonts w:hint="eastAsia" w:ascii="宋体" w:hAnsi="宋体"/>
                <w:sz w:val="16"/>
                <w:lang w:eastAsia="zh-CN"/>
              </w:rPr>
              <w:t>塔什库尔干塔吉克自治县</w:t>
            </w:r>
            <w:r>
              <w:rPr>
                <w:rFonts w:ascii="宋体" w:hAnsi="宋体" w:eastAsia="宋体"/>
                <w:sz w:val="16"/>
              </w:rPr>
              <w:t>旅游产业繁荣发展。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817CD5">
            <w:pPr>
              <w:jc w:val="both"/>
            </w:pPr>
            <w:r>
              <w:rPr>
                <w:rFonts w:ascii="宋体" w:hAnsi="宋体" w:eastAsia="宋体"/>
                <w:sz w:val="16"/>
              </w:rPr>
              <w:t>项目投资1000万元，对盘龙古道、曲曼检查 站至思瞳路段进行提升改造并且配套相关附属设施，包括； 标线、栏杆、安全警示标语等。景区内部道路、各类安全警 示牌及剧院电缆、灯光等基础设施提升改造工程。有效带动</w:t>
            </w:r>
            <w:r>
              <w:rPr>
                <w:rFonts w:hint="eastAsia" w:ascii="宋体" w:hAnsi="宋体"/>
                <w:sz w:val="16"/>
                <w:lang w:eastAsia="zh-CN"/>
              </w:rPr>
              <w:t>塔什库尔干塔吉克自治县</w:t>
            </w:r>
            <w:r>
              <w:rPr>
                <w:rFonts w:ascii="宋体" w:hAnsi="宋体" w:eastAsia="宋体"/>
                <w:sz w:val="16"/>
              </w:rPr>
              <w:t>旅游产业繁荣发展。</w:t>
            </w:r>
          </w:p>
        </w:tc>
      </w:tr>
      <w:tr w14:paraId="696369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B232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D4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AB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0C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93F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B7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9F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95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5D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A4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B4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C2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5BBD">
            <w:pPr>
              <w:jc w:val="center"/>
            </w:pPr>
            <w:r>
              <w:rPr>
                <w:rFonts w:ascii="宋体" w:hAnsi="宋体" w:eastAsia="宋体"/>
                <w:sz w:val="16"/>
              </w:rPr>
              <w:t>偏差原因分析及改进措施</w:t>
            </w:r>
          </w:p>
        </w:tc>
      </w:tr>
      <w:tr w14:paraId="23E7D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16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A70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04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62F5">
            <w:pPr>
              <w:jc w:val="center"/>
            </w:pPr>
            <w:r>
              <w:rPr>
                <w:rFonts w:ascii="宋体" w:hAnsi="宋体" w:eastAsia="宋体"/>
                <w:sz w:val="16"/>
              </w:rPr>
              <w:t>基础设施提升改造工程数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ED4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7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E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72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41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8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82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F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DA3E">
            <w:pPr>
              <w:jc w:val="center"/>
            </w:pPr>
          </w:p>
        </w:tc>
      </w:tr>
      <w:tr w14:paraId="44AF4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8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66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13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A30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3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2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64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E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48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1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6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E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FF94">
            <w:pPr>
              <w:jc w:val="center"/>
            </w:pPr>
          </w:p>
        </w:tc>
      </w:tr>
      <w:tr w14:paraId="33157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A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4A9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01C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ED53">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F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9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BC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0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2C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1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A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59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F349">
            <w:pPr>
              <w:jc w:val="center"/>
            </w:pPr>
          </w:p>
        </w:tc>
      </w:tr>
      <w:tr w14:paraId="48CEA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16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FD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AC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001B">
            <w:pPr>
              <w:jc w:val="center"/>
            </w:pPr>
            <w:r>
              <w:rPr>
                <w:rFonts w:ascii="宋体" w:hAnsi="宋体" w:eastAsia="宋体"/>
                <w:sz w:val="16"/>
              </w:rPr>
              <w:t>工程资金及时拨付率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1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9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5A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B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6B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0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F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11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60D9">
            <w:pPr>
              <w:jc w:val="center"/>
            </w:pPr>
          </w:p>
        </w:tc>
      </w:tr>
      <w:tr w14:paraId="3E9B1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F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E2A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06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1071">
            <w:pPr>
              <w:jc w:val="center"/>
            </w:pPr>
            <w:r>
              <w:rPr>
                <w:rFonts w:ascii="宋体" w:hAnsi="宋体" w:eastAsia="宋体"/>
                <w:sz w:val="16"/>
              </w:rPr>
              <w:t>项目工程总成本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166A">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C4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8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AE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5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A8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69FE">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2B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A9F5D">
            <w:pPr>
              <w:jc w:val="center"/>
            </w:pPr>
          </w:p>
        </w:tc>
      </w:tr>
      <w:tr w14:paraId="53E43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2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17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48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3900">
            <w:pPr>
              <w:jc w:val="center"/>
            </w:pPr>
            <w:r>
              <w:rPr>
                <w:rFonts w:ascii="宋体" w:hAnsi="宋体" w:eastAsia="宋体"/>
                <w:sz w:val="16"/>
              </w:rPr>
              <w:t>带动</w:t>
            </w:r>
            <w:r>
              <w:rPr>
                <w:rFonts w:hint="eastAsia" w:ascii="宋体" w:hAnsi="宋体"/>
                <w:sz w:val="16"/>
                <w:lang w:eastAsia="zh-CN"/>
              </w:rPr>
              <w:t>塔什库尔干塔吉克自治县</w:t>
            </w:r>
            <w:r>
              <w:rPr>
                <w:rFonts w:ascii="宋体" w:hAnsi="宋体" w:eastAsia="宋体"/>
                <w:sz w:val="16"/>
              </w:rPr>
              <w:t>旅游产业繁荣发展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FC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25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D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E9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47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C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AB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33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4C5E">
            <w:pPr>
              <w:jc w:val="center"/>
            </w:pPr>
          </w:p>
        </w:tc>
      </w:tr>
      <w:tr w14:paraId="29674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E2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C2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82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F411">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4BF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46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9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3A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2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0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43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5A1EB">
            <w:pPr>
              <w:jc w:val="center"/>
            </w:pPr>
            <w:r>
              <w:rPr>
                <w:rFonts w:ascii="宋体" w:hAnsi="宋体" w:eastAsia="宋体"/>
                <w:sz w:val="16"/>
              </w:rPr>
              <w:t>项目完成情况较好，实际游客满意度较高，所以指标出现正偏差</w:t>
            </w:r>
          </w:p>
        </w:tc>
      </w:tr>
      <w:tr w14:paraId="7AE3E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9C5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B7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F0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8D8A39">
            <w:pPr>
              <w:jc w:val="center"/>
            </w:pPr>
            <w:r>
              <w:rPr>
                <w:rFonts w:ascii="宋体" w:hAnsi="宋体" w:eastAsia="宋体"/>
                <w:sz w:val="16"/>
              </w:rPr>
              <w:t>100分</w:t>
            </w:r>
          </w:p>
        </w:tc>
      </w:tr>
    </w:tbl>
    <w:p w14:paraId="1A8F9938">
      <w:r>
        <w:br w:type="page"/>
      </w:r>
    </w:p>
    <w:p w14:paraId="32853A93">
      <w:pPr>
        <w:spacing w:line="640" w:lineRule="exact"/>
        <w:ind w:firstLine="640"/>
        <w:jc w:val="both"/>
        <w:outlineLvl w:val="2"/>
      </w:pPr>
      <w:r>
        <w:rPr>
          <w:rFonts w:ascii="黑体" w:hAnsi="黑体" w:eastAsia="黑体"/>
          <w:sz w:val="32"/>
        </w:rPr>
        <w:t>十二、其他需说明的事项</w:t>
      </w:r>
    </w:p>
    <w:p w14:paraId="4942F200">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67BDAC0E">
      <w:r>
        <w:br w:type="page"/>
      </w:r>
    </w:p>
    <w:p w14:paraId="1710FCEE">
      <w:pPr>
        <w:spacing w:line="240" w:lineRule="auto"/>
        <w:jc w:val="center"/>
        <w:outlineLvl w:val="1"/>
      </w:pPr>
      <w:r>
        <w:rPr>
          <w:rFonts w:ascii="黑体" w:hAnsi="黑体" w:eastAsia="黑体"/>
          <w:sz w:val="32"/>
        </w:rPr>
        <w:t>第三部分 专业名词解释</w:t>
      </w:r>
    </w:p>
    <w:p w14:paraId="49B4A4B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182FC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20FE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B5EC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F2C33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8B1F8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016FF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8B42B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868C9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9551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894D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E155C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A22E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9EA3A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D65EE2">
      <w:r>
        <w:br w:type="page"/>
      </w:r>
    </w:p>
    <w:p w14:paraId="1BCB12B4">
      <w:pPr>
        <w:spacing w:line="240" w:lineRule="auto"/>
        <w:jc w:val="center"/>
        <w:outlineLvl w:val="1"/>
      </w:pPr>
      <w:r>
        <w:rPr>
          <w:rFonts w:ascii="黑体" w:hAnsi="黑体" w:eastAsia="黑体"/>
          <w:sz w:val="32"/>
        </w:rPr>
        <w:t>第四部分 部门决算报表（见附表）</w:t>
      </w:r>
    </w:p>
    <w:p w14:paraId="3A5015D8">
      <w:pPr>
        <w:spacing w:line="240" w:lineRule="auto"/>
        <w:ind w:firstLine="640"/>
        <w:jc w:val="both"/>
      </w:pPr>
      <w:r>
        <w:rPr>
          <w:rFonts w:ascii="仿宋_GB2312" w:hAnsi="仿宋_GB2312" w:eastAsia="仿宋_GB2312"/>
          <w:b w:val="0"/>
          <w:sz w:val="32"/>
        </w:rPr>
        <w:t>一、《收入支出决算总表》</w:t>
      </w:r>
    </w:p>
    <w:p w14:paraId="10AD73B9">
      <w:pPr>
        <w:spacing w:line="240" w:lineRule="auto"/>
        <w:ind w:firstLine="640"/>
        <w:jc w:val="both"/>
      </w:pPr>
      <w:r>
        <w:rPr>
          <w:rFonts w:ascii="仿宋_GB2312" w:hAnsi="仿宋_GB2312" w:eastAsia="仿宋_GB2312"/>
          <w:b w:val="0"/>
          <w:sz w:val="32"/>
        </w:rPr>
        <w:t>二、《收入决算表》</w:t>
      </w:r>
    </w:p>
    <w:p w14:paraId="7306CD1D">
      <w:pPr>
        <w:spacing w:line="240" w:lineRule="auto"/>
        <w:ind w:firstLine="640"/>
        <w:jc w:val="both"/>
      </w:pPr>
      <w:r>
        <w:rPr>
          <w:rFonts w:ascii="仿宋_GB2312" w:hAnsi="仿宋_GB2312" w:eastAsia="仿宋_GB2312"/>
          <w:b w:val="0"/>
          <w:sz w:val="32"/>
        </w:rPr>
        <w:t>三、《支出决算表》</w:t>
      </w:r>
    </w:p>
    <w:p w14:paraId="3F49C931">
      <w:pPr>
        <w:spacing w:line="240" w:lineRule="auto"/>
        <w:ind w:firstLine="640"/>
        <w:jc w:val="both"/>
      </w:pPr>
      <w:r>
        <w:rPr>
          <w:rFonts w:ascii="仿宋_GB2312" w:hAnsi="仿宋_GB2312" w:eastAsia="仿宋_GB2312"/>
          <w:b w:val="0"/>
          <w:sz w:val="32"/>
        </w:rPr>
        <w:t>四、《财政拨款收入支出决算总表》</w:t>
      </w:r>
    </w:p>
    <w:p w14:paraId="7D06E993">
      <w:pPr>
        <w:spacing w:line="240" w:lineRule="auto"/>
        <w:ind w:firstLine="640"/>
        <w:jc w:val="both"/>
      </w:pPr>
      <w:r>
        <w:rPr>
          <w:rFonts w:ascii="仿宋_GB2312" w:hAnsi="仿宋_GB2312" w:eastAsia="仿宋_GB2312"/>
          <w:b w:val="0"/>
          <w:sz w:val="32"/>
        </w:rPr>
        <w:t>五、《一般公共预算财政拨款支出决算表》</w:t>
      </w:r>
    </w:p>
    <w:p w14:paraId="384E7F22">
      <w:pPr>
        <w:spacing w:line="240" w:lineRule="auto"/>
        <w:ind w:firstLine="640"/>
        <w:jc w:val="both"/>
      </w:pPr>
      <w:r>
        <w:rPr>
          <w:rFonts w:ascii="仿宋_GB2312" w:hAnsi="仿宋_GB2312" w:eastAsia="仿宋_GB2312"/>
          <w:b w:val="0"/>
          <w:sz w:val="32"/>
        </w:rPr>
        <w:t>六、《一般公共预算财政拨款基本支出决算表》</w:t>
      </w:r>
    </w:p>
    <w:p w14:paraId="72FD16F1">
      <w:pPr>
        <w:spacing w:line="240" w:lineRule="auto"/>
        <w:ind w:firstLine="640"/>
        <w:jc w:val="both"/>
      </w:pPr>
      <w:r>
        <w:rPr>
          <w:rFonts w:ascii="仿宋_GB2312" w:hAnsi="仿宋_GB2312" w:eastAsia="仿宋_GB2312"/>
          <w:b w:val="0"/>
          <w:sz w:val="32"/>
        </w:rPr>
        <w:t>七、《政府性基金预算财政拨款收入支出决算表》</w:t>
      </w:r>
    </w:p>
    <w:p w14:paraId="7EAB2702">
      <w:pPr>
        <w:spacing w:line="240" w:lineRule="auto"/>
        <w:ind w:firstLine="640"/>
        <w:jc w:val="both"/>
      </w:pPr>
      <w:r>
        <w:rPr>
          <w:rFonts w:ascii="仿宋_GB2312" w:hAnsi="仿宋_GB2312" w:eastAsia="仿宋_GB2312"/>
          <w:b w:val="0"/>
          <w:sz w:val="32"/>
        </w:rPr>
        <w:t>八、《国有资本经营预算财政拨款收入支出决算表》</w:t>
      </w:r>
    </w:p>
    <w:p w14:paraId="3D09EF68">
      <w:pPr>
        <w:spacing w:line="240" w:lineRule="auto"/>
        <w:ind w:firstLine="640"/>
        <w:jc w:val="both"/>
      </w:pPr>
      <w:r>
        <w:rPr>
          <w:rFonts w:ascii="仿宋_GB2312" w:hAnsi="仿宋_GB2312" w:eastAsia="仿宋_GB2312"/>
          <w:b w:val="0"/>
          <w:sz w:val="32"/>
        </w:rPr>
        <w:t>九、《财政拨款“三公”经费支出决算表》</w:t>
      </w:r>
    </w:p>
    <w:p w14:paraId="135CDB0F">
      <w:pPr>
        <w:spacing w:line="240" w:lineRule="auto"/>
        <w:ind w:firstLine="640"/>
        <w:jc w:val="both"/>
      </w:pPr>
    </w:p>
    <w:p w14:paraId="6C38DEED">
      <w:pPr>
        <w:spacing w:line="240" w:lineRule="auto"/>
        <w:ind w:firstLine="640"/>
        <w:jc w:val="both"/>
      </w:pPr>
    </w:p>
    <w:p w14:paraId="76888D3D">
      <w:pPr>
        <w:spacing w:line="240" w:lineRule="auto"/>
        <w:ind w:firstLine="640"/>
        <w:jc w:val="both"/>
      </w:pPr>
    </w:p>
    <w:p w14:paraId="6AAA5B0A">
      <w:pPr>
        <w:spacing w:line="240" w:lineRule="auto"/>
        <w:ind w:firstLine="640"/>
        <w:jc w:val="both"/>
      </w:pPr>
    </w:p>
    <w:p w14:paraId="1E510DD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DC4CFD"/>
    <w:rsid w:val="4F3F074E"/>
    <w:rsid w:val="50DB5F45"/>
    <w:rsid w:val="52F92565"/>
    <w:rsid w:val="543D17CB"/>
    <w:rsid w:val="559745A9"/>
    <w:rsid w:val="55DA564E"/>
    <w:rsid w:val="56E07045"/>
    <w:rsid w:val="583059FA"/>
    <w:rsid w:val="587E6212"/>
    <w:rsid w:val="5AFC6609"/>
    <w:rsid w:val="5FA17648"/>
    <w:rsid w:val="5FD320BD"/>
    <w:rsid w:val="60DE4D57"/>
    <w:rsid w:val="613409CB"/>
    <w:rsid w:val="61A46A97"/>
    <w:rsid w:val="629A74F1"/>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8301</Words>
  <Characters>9453</Characters>
  <Lines>0</Lines>
  <Paragraphs>0</Paragraphs>
  <TotalTime>3</TotalTime>
  <ScaleCrop>false</ScaleCrop>
  <LinksUpToDate>false</LinksUpToDate>
  <CharactersWithSpaces>9461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