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58" w:rsidRDefault="00777E58">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77E58" w:rsidRDefault="00777E58">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年塔什库尔干县工商行政管理局部门决算公开说明</w:t>
      </w:r>
    </w:p>
    <w:p w:rsidR="00777E58" w:rsidRDefault="00777E58">
      <w:pPr>
        <w:spacing w:line="560" w:lineRule="exact"/>
        <w:jc w:val="center"/>
        <w:rPr>
          <w:rFonts w:ascii="仿宋_GB2312" w:eastAsia="仿宋_GB2312" w:hAnsi="宋体"/>
          <w:b/>
          <w:bCs/>
          <w:sz w:val="32"/>
          <w:szCs w:val="32"/>
        </w:rPr>
      </w:pPr>
    </w:p>
    <w:p w:rsidR="00777E58" w:rsidRDefault="00777E58" w:rsidP="00B478F7">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塔什库尔干县工商行政管理局为行政全额拨款单位，执行会计制度为（行政）会计制度。独立编制机构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、贯彻执行国家和自治区有关工商行政管理的政策及法律、法规，拟定本地区有关工商行政管理规范性文件、具体措施并组织实施。</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、组织管理工商企业和从事经营活动的单位、个人的注册、核定注册单位名称，审定、批准、颁发有关证照并实行监督管理。</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、组织监督市场交易行为，查处垄断、不正当竞争、走私贩私、传销和变相传销等经济违法行为。</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、组织监督市场交易行为，按规定组织监督检查流通领域商品质量，组织查处假冒伪劣等违法行为，保护经营者、消费者的合法权益。</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、组织实施各类市场经营秩序的规范管理和监督，并对开办各类交易市场及商品展销会进行登记管理。</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、组织监管经纪人、经纪机构。</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、组织管理经济合同，组织查处合同欺诈行为，组织管理动产抵押物登记，组织监管拍卖行为。</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、负责组织著名商标的推荐，保护商标专用权，组织查处商标侵权行为。</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、组织管理广告发布和广告经营活动，查处违法行为。</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、组织管理个体工商户、个人合伙、个人独资和私营企业的经营行为。</w:t>
      </w:r>
    </w:p>
    <w:p w:rsidR="00777E58" w:rsidRDefault="00777E58" w:rsidP="00B478F7">
      <w:pPr>
        <w:spacing w:line="560" w:lineRule="exact"/>
        <w:ind w:leftChars="-1" w:left="-2"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11</w:t>
      </w:r>
      <w:r>
        <w:rPr>
          <w:rFonts w:ascii="仿宋_GB2312" w:eastAsia="仿宋_GB2312" w:hAnsi="仿宋_GB2312" w:cs="仿宋_GB2312" w:hint="eastAsia"/>
          <w:sz w:val="32"/>
          <w:szCs w:val="32"/>
        </w:rPr>
        <w:t>、承办喀什地区工商行政管理局、塔什库尔干塔吉克自治县人民政府交办的其他事项。</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人，遗属补助</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人、遗属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纳入塔什库尔干县工商行政管理局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0"/>
        <w:gridCol w:w="4710"/>
        <w:gridCol w:w="2232"/>
      </w:tblGrid>
      <w:tr w:rsidR="00777E58">
        <w:tc>
          <w:tcPr>
            <w:tcW w:w="1580" w:type="dxa"/>
          </w:tcPr>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4710" w:type="dxa"/>
          </w:tcPr>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232" w:type="dxa"/>
          </w:tcPr>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777E58">
        <w:tc>
          <w:tcPr>
            <w:tcW w:w="1580" w:type="dxa"/>
          </w:tcPr>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4710" w:type="dxa"/>
          </w:tcPr>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塔什库尔干县工商行政管理局</w:t>
            </w:r>
          </w:p>
        </w:tc>
        <w:tc>
          <w:tcPr>
            <w:tcW w:w="2232" w:type="dxa"/>
          </w:tcPr>
          <w:p w:rsidR="00777E58" w:rsidRDefault="00777E58">
            <w:pPr>
              <w:spacing w:line="560" w:lineRule="exact"/>
              <w:rPr>
                <w:rFonts w:ascii="仿宋_GB2312" w:eastAsia="仿宋_GB2312" w:hAnsi="仿宋_GB2312" w:cs="仿宋_GB2312"/>
                <w:sz w:val="32"/>
                <w:szCs w:val="32"/>
              </w:rPr>
            </w:pPr>
          </w:p>
        </w:tc>
      </w:tr>
    </w:tbl>
    <w:p w:rsidR="00777E58" w:rsidRDefault="00777E58">
      <w:pPr>
        <w:spacing w:line="560" w:lineRule="exact"/>
        <w:rPr>
          <w:rFonts w:ascii="仿宋_GB2312" w:eastAsia="仿宋_GB2312" w:hAnsi="仿宋_GB2312" w:cs="仿宋_GB2312"/>
          <w:sz w:val="32"/>
          <w:szCs w:val="32"/>
        </w:rPr>
      </w:pPr>
    </w:p>
    <w:p w:rsidR="00777E58" w:rsidRDefault="00777E58" w:rsidP="0002254B">
      <w:pPr>
        <w:snapToGrid w:val="0"/>
        <w:spacing w:line="560" w:lineRule="exact"/>
        <w:ind w:firstLineChars="200" w:firstLine="643"/>
        <w:rPr>
          <w:rFonts w:ascii="仿宋_GB2312" w:eastAsia="仿宋_GB2312" w:hAnsi="仿宋_GB2312" w:cs="仿宋_GB2312"/>
          <w:b/>
          <w:bCs/>
          <w:sz w:val="32"/>
          <w:szCs w:val="32"/>
        </w:rPr>
      </w:pPr>
      <w:bookmarkStart w:id="0" w:name="YS060102"/>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sz w:val="32"/>
          <w:szCs w:val="32"/>
        </w:rPr>
        <w:t>塔什库尔干县工商行政管理局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777E58" w:rsidRDefault="00777E58">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77E58" w:rsidRDefault="00777E5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77E58" w:rsidRDefault="00777E5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77E58" w:rsidRDefault="00777E58" w:rsidP="00B478F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77E58" w:rsidRDefault="00777E58" w:rsidP="00B478F7">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77E58" w:rsidRDefault="00777E58" w:rsidP="00B478F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77E58" w:rsidRDefault="00777E58" w:rsidP="00B478F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77E58" w:rsidRDefault="00777E58" w:rsidP="00B478F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77E58" w:rsidRDefault="00777E58" w:rsidP="00B478F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77E58" w:rsidRDefault="00777E58" w:rsidP="00B478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77E58" w:rsidRDefault="00777E58" w:rsidP="00B478F7">
      <w:pPr>
        <w:snapToGrid w:val="0"/>
        <w:spacing w:line="560" w:lineRule="exact"/>
        <w:ind w:firstLineChars="200" w:firstLine="643"/>
        <w:rPr>
          <w:rFonts w:ascii="仿宋_GB2312" w:eastAsia="仿宋_GB2312" w:hAnsi="仿宋_GB2312" w:cs="仿宋_GB2312"/>
          <w:b/>
          <w:bCs/>
          <w:sz w:val="32"/>
          <w:szCs w:val="32"/>
        </w:rPr>
      </w:pPr>
    </w:p>
    <w:p w:rsidR="00777E58" w:rsidRDefault="00777E58" w:rsidP="00B478F7">
      <w:pPr>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sz w:val="32"/>
          <w:szCs w:val="32"/>
        </w:rPr>
        <w:t>塔什库尔干县工商行政管理局</w:t>
      </w:r>
      <w:r>
        <w:rPr>
          <w:rFonts w:ascii="仿宋_GB2312" w:eastAsia="仿宋_GB2312" w:hAnsi="仿宋_GB2312" w:cs="仿宋_GB2312"/>
          <w:b/>
          <w:sz w:val="32"/>
          <w:szCs w:val="32"/>
        </w:rPr>
        <w:t>2016</w:t>
      </w:r>
      <w:r>
        <w:rPr>
          <w:rFonts w:ascii="仿宋_GB2312" w:eastAsia="仿宋_GB2312" w:hAnsi="仿宋_GB2312" w:cs="仿宋_GB2312" w:hint="eastAsia"/>
          <w:b/>
          <w:sz w:val="32"/>
          <w:szCs w:val="32"/>
        </w:rPr>
        <w:t>年度部门决算情况说明</w:t>
      </w:r>
    </w:p>
    <w:p w:rsidR="00777E58" w:rsidRDefault="00777E58" w:rsidP="00B478F7">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777E58" w:rsidRDefault="00777E58" w:rsidP="0002254B">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777E58" w:rsidRDefault="00777E58">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777E58" w:rsidRDefault="00777E58" w:rsidP="00B478F7">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77E58" w:rsidRDefault="00777E58" w:rsidP="00B478F7">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777E58" w:rsidRDefault="00777E58" w:rsidP="00B478F7">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77E58" w:rsidRDefault="00777E58" w:rsidP="00B478F7">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777E58" w:rsidRDefault="00777E58" w:rsidP="00B478F7">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12800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12800</w:t>
      </w:r>
      <w:r>
        <w:rPr>
          <w:rFonts w:ascii="仿宋_GB2312" w:eastAsia="仿宋_GB2312" w:hAnsi="仿宋_GB2312" w:cs="仿宋_GB2312" w:hint="eastAsia"/>
          <w:sz w:val="32"/>
          <w:szCs w:val="32"/>
        </w:rPr>
        <w:t>元。</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“三公”经费较上年相比少支出</w:t>
      </w:r>
      <w:r>
        <w:rPr>
          <w:rFonts w:ascii="仿宋_GB2312" w:eastAsia="仿宋_GB2312" w:hAnsi="仿宋_GB2312" w:cs="仿宋_GB2312"/>
          <w:sz w:val="32"/>
          <w:szCs w:val="32"/>
        </w:rPr>
        <w:t>9290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元；公务用车维护费少支出</w:t>
      </w:r>
      <w:r>
        <w:rPr>
          <w:rFonts w:ascii="仿宋_GB2312" w:eastAsia="仿宋_GB2312" w:hAnsi="仿宋_GB2312" w:cs="仿宋_GB2312"/>
          <w:sz w:val="32"/>
          <w:szCs w:val="32"/>
        </w:rPr>
        <w:t>9290</w:t>
      </w:r>
      <w:r>
        <w:rPr>
          <w:rFonts w:ascii="仿宋_GB2312" w:eastAsia="仿宋_GB2312" w:hAnsi="仿宋_GB2312" w:cs="仿宋_GB2312" w:hint="eastAsia"/>
          <w:sz w:val="32"/>
          <w:szCs w:val="32"/>
        </w:rPr>
        <w:t>元。主要原因为：减少公务用车次数与维修。</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1949994.10</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457397.75</w:t>
      </w:r>
      <w:r>
        <w:rPr>
          <w:rFonts w:ascii="仿宋_GB2312" w:eastAsia="仿宋_GB2312" w:hAnsi="仿宋_GB2312" w:cs="仿宋_GB2312" w:hint="eastAsia"/>
          <w:sz w:val="32"/>
          <w:szCs w:val="32"/>
        </w:rPr>
        <w:t>元，减少原因：机构改革以后地方政府未拨付工商行政管管理专项业务费、执法办案经费、消费维权经费、其他商品检测费、食品检测费。</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1949994.1</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457397.75</w:t>
      </w:r>
      <w:r>
        <w:rPr>
          <w:rFonts w:ascii="仿宋_GB2312" w:eastAsia="仿宋_GB2312" w:hAnsi="仿宋_GB2312" w:cs="仿宋_GB2312" w:hint="eastAsia"/>
          <w:sz w:val="32"/>
          <w:szCs w:val="32"/>
        </w:rPr>
        <w:t>元，减少原因：机构改革以后减少工商行政管管理专项业务费。</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194</w:t>
      </w:r>
      <w:bookmarkStart w:id="1" w:name="_GoBack"/>
      <w:bookmarkEnd w:id="1"/>
      <w:r>
        <w:rPr>
          <w:rFonts w:ascii="仿宋_GB2312" w:eastAsia="仿宋_GB2312" w:hAnsi="仿宋_GB2312" w:cs="仿宋_GB2312"/>
          <w:sz w:val="32"/>
          <w:szCs w:val="32"/>
        </w:rPr>
        <w:t>9994.1</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3701377.55</w:t>
      </w:r>
      <w:r>
        <w:rPr>
          <w:rFonts w:ascii="仿宋_GB2312" w:eastAsia="仿宋_GB2312" w:hAnsi="仿宋_GB2312" w:cs="仿宋_GB2312" w:hint="eastAsia"/>
          <w:sz w:val="32"/>
          <w:szCs w:val="32"/>
        </w:rPr>
        <w:t>元，差异原因：机构改革以后地方政府未拨付工商行政管管理专项业务费、执法办案经费、消费维权经费、其他商品检测费、食品检测费。</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777E58" w:rsidRDefault="00777E58" w:rsidP="00B478F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777E58" w:rsidRDefault="00777E58" w:rsidP="00B478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年塔什库尔干县工商行政管理局机关运行经费支出</w:t>
      </w:r>
      <w:r>
        <w:rPr>
          <w:rFonts w:ascii="仿宋_GB2312" w:eastAsia="仿宋_GB2312" w:hAnsi="仿宋_GB2312" w:cs="仿宋_GB2312"/>
          <w:sz w:val="32"/>
          <w:szCs w:val="32"/>
        </w:rPr>
        <w:t>49366</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179353.85</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78.42%</w:t>
      </w:r>
      <w:r>
        <w:rPr>
          <w:rFonts w:ascii="仿宋_GB2312" w:eastAsia="仿宋_GB2312" w:hAnsi="仿宋_GB2312" w:cs="仿宋_GB2312" w:hint="eastAsia"/>
          <w:sz w:val="32"/>
          <w:szCs w:val="32"/>
        </w:rPr>
        <w:t>，主要原因是：机构改革以后减少工商行政管管理专项业务费。</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年，塔什库尔干县工商行政管理局政府采购支出总额</w:t>
      </w:r>
      <w:r>
        <w:rPr>
          <w:rFonts w:ascii="仿宋_GB2312" w:eastAsia="仿宋_GB2312" w:hAnsi="仿宋_GB2312" w:cs="仿宋_GB2312"/>
          <w:sz w:val="32"/>
          <w:szCs w:val="32"/>
        </w:rPr>
        <w:t>3306.41</w:t>
      </w:r>
      <w:r>
        <w:rPr>
          <w:rFonts w:ascii="仿宋_GB2312" w:eastAsia="仿宋_GB2312" w:hAnsi="仿宋_GB2312" w:cs="仿宋_GB2312" w:hint="eastAsia"/>
          <w:sz w:val="32"/>
          <w:szCs w:val="32"/>
        </w:rPr>
        <w:t>元，其中其中政府采购货物支出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3306.41</w:t>
      </w:r>
      <w:r>
        <w:rPr>
          <w:rFonts w:ascii="仿宋_GB2312" w:eastAsia="仿宋_GB2312" w:hAnsi="仿宋_GB2312" w:cs="仿宋_GB2312" w:hint="eastAsia"/>
          <w:sz w:val="32"/>
          <w:szCs w:val="32"/>
        </w:rPr>
        <w:t>元。喀什地区为偏远地区，参与招投标的供应商基本为中小微企业。</w:t>
      </w:r>
    </w:p>
    <w:p w:rsidR="00777E58" w:rsidRDefault="00777E58" w:rsidP="00B478F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77E58" w:rsidRDefault="00777E58" w:rsidP="00B478F7">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年塔什库尔干县工商行政管理局共组织对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w:t>
      </w:r>
    </w:p>
    <w:p w:rsidR="00777E58" w:rsidRDefault="00777E58" w:rsidP="00B478F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无事业收入、经营收入。</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777E58" w:rsidRDefault="00777E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77E58" w:rsidRDefault="00777E58" w:rsidP="00B478F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77E58" w:rsidRDefault="00777E58" w:rsidP="0002254B">
      <w:pPr>
        <w:spacing w:line="560" w:lineRule="exact"/>
        <w:ind w:firstLineChars="200" w:firstLine="640"/>
        <w:rPr>
          <w:rFonts w:ascii="仿宋_GB2312" w:eastAsia="仿宋_GB2312" w:hAnsi="仿宋_GB2312" w:cs="仿宋_GB2312"/>
          <w:sz w:val="32"/>
          <w:szCs w:val="32"/>
        </w:rPr>
      </w:pPr>
    </w:p>
    <w:sectPr w:rsidR="00777E58" w:rsidSect="00022F9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E58" w:rsidRDefault="00777E58" w:rsidP="00022F99">
      <w:r>
        <w:separator/>
      </w:r>
    </w:p>
  </w:endnote>
  <w:endnote w:type="continuationSeparator" w:id="0">
    <w:p w:rsidR="00777E58" w:rsidRDefault="00777E58" w:rsidP="0002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77E58" w:rsidRDefault="00777E5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E58" w:rsidRDefault="00777E58" w:rsidP="00022F99">
      <w:r>
        <w:separator/>
      </w:r>
    </w:p>
  </w:footnote>
  <w:footnote w:type="continuationSeparator" w:id="0">
    <w:p w:rsidR="00777E58" w:rsidRDefault="00777E58" w:rsidP="0002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rsidP="00B478F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58" w:rsidRDefault="00777E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07F71"/>
    <w:rsid w:val="0002254B"/>
    <w:rsid w:val="00022F99"/>
    <w:rsid w:val="00024B7F"/>
    <w:rsid w:val="00034248"/>
    <w:rsid w:val="00052FE0"/>
    <w:rsid w:val="00054384"/>
    <w:rsid w:val="000703F5"/>
    <w:rsid w:val="000775E8"/>
    <w:rsid w:val="00086A97"/>
    <w:rsid w:val="00091F7F"/>
    <w:rsid w:val="00094D69"/>
    <w:rsid w:val="000A57F2"/>
    <w:rsid w:val="000A5DE3"/>
    <w:rsid w:val="000A65DB"/>
    <w:rsid w:val="000B1596"/>
    <w:rsid w:val="000B5213"/>
    <w:rsid w:val="000C3B20"/>
    <w:rsid w:val="000D3A9D"/>
    <w:rsid w:val="000E0CE6"/>
    <w:rsid w:val="000E7FFD"/>
    <w:rsid w:val="0010183B"/>
    <w:rsid w:val="00140E78"/>
    <w:rsid w:val="00142BCE"/>
    <w:rsid w:val="00147040"/>
    <w:rsid w:val="00151463"/>
    <w:rsid w:val="0016009C"/>
    <w:rsid w:val="00170582"/>
    <w:rsid w:val="001870FE"/>
    <w:rsid w:val="001943AB"/>
    <w:rsid w:val="001C4CB2"/>
    <w:rsid w:val="001C699D"/>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24376"/>
    <w:rsid w:val="00332C4F"/>
    <w:rsid w:val="00333969"/>
    <w:rsid w:val="003472C5"/>
    <w:rsid w:val="00347996"/>
    <w:rsid w:val="003632BC"/>
    <w:rsid w:val="00390E4F"/>
    <w:rsid w:val="003B0831"/>
    <w:rsid w:val="003B594E"/>
    <w:rsid w:val="003C2E54"/>
    <w:rsid w:val="003C3C9A"/>
    <w:rsid w:val="003D0C72"/>
    <w:rsid w:val="004011AD"/>
    <w:rsid w:val="0040177E"/>
    <w:rsid w:val="00406AB0"/>
    <w:rsid w:val="00417715"/>
    <w:rsid w:val="00420614"/>
    <w:rsid w:val="0043072D"/>
    <w:rsid w:val="00434EEE"/>
    <w:rsid w:val="0045212A"/>
    <w:rsid w:val="00457BD9"/>
    <w:rsid w:val="004743B3"/>
    <w:rsid w:val="004764F2"/>
    <w:rsid w:val="004773BA"/>
    <w:rsid w:val="00486188"/>
    <w:rsid w:val="00487059"/>
    <w:rsid w:val="00490DF4"/>
    <w:rsid w:val="004A08C1"/>
    <w:rsid w:val="004A28B1"/>
    <w:rsid w:val="004B6AAB"/>
    <w:rsid w:val="004D2787"/>
    <w:rsid w:val="004D48D7"/>
    <w:rsid w:val="004D6F93"/>
    <w:rsid w:val="0050291C"/>
    <w:rsid w:val="005272D8"/>
    <w:rsid w:val="00532879"/>
    <w:rsid w:val="00552B99"/>
    <w:rsid w:val="00552CD1"/>
    <w:rsid w:val="00565025"/>
    <w:rsid w:val="005766BD"/>
    <w:rsid w:val="00592401"/>
    <w:rsid w:val="00595CD5"/>
    <w:rsid w:val="005A0EA5"/>
    <w:rsid w:val="005D008D"/>
    <w:rsid w:val="005D5345"/>
    <w:rsid w:val="005D6922"/>
    <w:rsid w:val="005F1394"/>
    <w:rsid w:val="00616271"/>
    <w:rsid w:val="00642F1B"/>
    <w:rsid w:val="006537AC"/>
    <w:rsid w:val="00672B4C"/>
    <w:rsid w:val="0067524A"/>
    <w:rsid w:val="006773BD"/>
    <w:rsid w:val="00687879"/>
    <w:rsid w:val="0069052A"/>
    <w:rsid w:val="00696752"/>
    <w:rsid w:val="006A1621"/>
    <w:rsid w:val="006A2219"/>
    <w:rsid w:val="006A56FC"/>
    <w:rsid w:val="006A7356"/>
    <w:rsid w:val="006C12D8"/>
    <w:rsid w:val="006D3234"/>
    <w:rsid w:val="006D4B96"/>
    <w:rsid w:val="006F1159"/>
    <w:rsid w:val="006F13E9"/>
    <w:rsid w:val="006F3090"/>
    <w:rsid w:val="006F7FA8"/>
    <w:rsid w:val="007226FB"/>
    <w:rsid w:val="007643CF"/>
    <w:rsid w:val="00766087"/>
    <w:rsid w:val="00774810"/>
    <w:rsid w:val="00777E58"/>
    <w:rsid w:val="00782159"/>
    <w:rsid w:val="00786A3A"/>
    <w:rsid w:val="00793D15"/>
    <w:rsid w:val="007978CD"/>
    <w:rsid w:val="007A2BDC"/>
    <w:rsid w:val="007D75E2"/>
    <w:rsid w:val="007F238C"/>
    <w:rsid w:val="007F5018"/>
    <w:rsid w:val="008012F4"/>
    <w:rsid w:val="008104D1"/>
    <w:rsid w:val="00815033"/>
    <w:rsid w:val="0082423B"/>
    <w:rsid w:val="00842279"/>
    <w:rsid w:val="00847706"/>
    <w:rsid w:val="00854186"/>
    <w:rsid w:val="008664F8"/>
    <w:rsid w:val="00877032"/>
    <w:rsid w:val="00880D0D"/>
    <w:rsid w:val="008872A2"/>
    <w:rsid w:val="008927B9"/>
    <w:rsid w:val="00895A64"/>
    <w:rsid w:val="008A0DC9"/>
    <w:rsid w:val="008A6FDC"/>
    <w:rsid w:val="008B02AA"/>
    <w:rsid w:val="008C5ABD"/>
    <w:rsid w:val="008D28A9"/>
    <w:rsid w:val="008E26A2"/>
    <w:rsid w:val="009078E5"/>
    <w:rsid w:val="00910498"/>
    <w:rsid w:val="00911FB8"/>
    <w:rsid w:val="00912ADD"/>
    <w:rsid w:val="00921F8C"/>
    <w:rsid w:val="00954B4B"/>
    <w:rsid w:val="00960FFE"/>
    <w:rsid w:val="009629E8"/>
    <w:rsid w:val="00986E5F"/>
    <w:rsid w:val="009A7D21"/>
    <w:rsid w:val="009C453B"/>
    <w:rsid w:val="009C7F6B"/>
    <w:rsid w:val="009F1B75"/>
    <w:rsid w:val="009F39C7"/>
    <w:rsid w:val="009F518B"/>
    <w:rsid w:val="009F6D25"/>
    <w:rsid w:val="00A32422"/>
    <w:rsid w:val="00A3418E"/>
    <w:rsid w:val="00A407D1"/>
    <w:rsid w:val="00A61435"/>
    <w:rsid w:val="00A657A2"/>
    <w:rsid w:val="00A65801"/>
    <w:rsid w:val="00A97E66"/>
    <w:rsid w:val="00AA1759"/>
    <w:rsid w:val="00AA3003"/>
    <w:rsid w:val="00AC139B"/>
    <w:rsid w:val="00AC4897"/>
    <w:rsid w:val="00AD73D4"/>
    <w:rsid w:val="00AD7784"/>
    <w:rsid w:val="00AE6CFF"/>
    <w:rsid w:val="00B0409B"/>
    <w:rsid w:val="00B120BD"/>
    <w:rsid w:val="00B21656"/>
    <w:rsid w:val="00B24563"/>
    <w:rsid w:val="00B40D18"/>
    <w:rsid w:val="00B478F7"/>
    <w:rsid w:val="00B635BA"/>
    <w:rsid w:val="00B919A9"/>
    <w:rsid w:val="00B94E8B"/>
    <w:rsid w:val="00BA5ACB"/>
    <w:rsid w:val="00BA6618"/>
    <w:rsid w:val="00BB2497"/>
    <w:rsid w:val="00BB372B"/>
    <w:rsid w:val="00BE3E32"/>
    <w:rsid w:val="00C065B9"/>
    <w:rsid w:val="00C15174"/>
    <w:rsid w:val="00C17D9A"/>
    <w:rsid w:val="00C4155A"/>
    <w:rsid w:val="00C45F21"/>
    <w:rsid w:val="00C47500"/>
    <w:rsid w:val="00C519BC"/>
    <w:rsid w:val="00C605BD"/>
    <w:rsid w:val="00C61DC5"/>
    <w:rsid w:val="00C62423"/>
    <w:rsid w:val="00C943D6"/>
    <w:rsid w:val="00C955CC"/>
    <w:rsid w:val="00CA6F46"/>
    <w:rsid w:val="00CB3117"/>
    <w:rsid w:val="00CC4D7F"/>
    <w:rsid w:val="00CC57F0"/>
    <w:rsid w:val="00CE1862"/>
    <w:rsid w:val="00CE37ED"/>
    <w:rsid w:val="00D102EA"/>
    <w:rsid w:val="00D16906"/>
    <w:rsid w:val="00D4613F"/>
    <w:rsid w:val="00D5318C"/>
    <w:rsid w:val="00D554FC"/>
    <w:rsid w:val="00D7359A"/>
    <w:rsid w:val="00D81E3D"/>
    <w:rsid w:val="00D949F7"/>
    <w:rsid w:val="00DA057C"/>
    <w:rsid w:val="00DA16BE"/>
    <w:rsid w:val="00DB13AB"/>
    <w:rsid w:val="00DB2FC5"/>
    <w:rsid w:val="00DE344D"/>
    <w:rsid w:val="00DE619D"/>
    <w:rsid w:val="00E058B5"/>
    <w:rsid w:val="00E339F2"/>
    <w:rsid w:val="00E51D9B"/>
    <w:rsid w:val="00E774D0"/>
    <w:rsid w:val="00E77968"/>
    <w:rsid w:val="00E8388E"/>
    <w:rsid w:val="00EA35D4"/>
    <w:rsid w:val="00EA5F52"/>
    <w:rsid w:val="00EA7516"/>
    <w:rsid w:val="00EB563F"/>
    <w:rsid w:val="00EB7DD0"/>
    <w:rsid w:val="00EC16F0"/>
    <w:rsid w:val="00EC1979"/>
    <w:rsid w:val="00EC282F"/>
    <w:rsid w:val="00ED6DFB"/>
    <w:rsid w:val="00ED7C8E"/>
    <w:rsid w:val="00EE2E07"/>
    <w:rsid w:val="00EE66B1"/>
    <w:rsid w:val="00EF3B2C"/>
    <w:rsid w:val="00EF7B17"/>
    <w:rsid w:val="00F0364D"/>
    <w:rsid w:val="00F06CB4"/>
    <w:rsid w:val="00F16C5D"/>
    <w:rsid w:val="00F24E41"/>
    <w:rsid w:val="00F361F5"/>
    <w:rsid w:val="00F453E0"/>
    <w:rsid w:val="00F627E2"/>
    <w:rsid w:val="00F81C9E"/>
    <w:rsid w:val="00F820FC"/>
    <w:rsid w:val="00FA08FE"/>
    <w:rsid w:val="00FA1247"/>
    <w:rsid w:val="00FB61FC"/>
    <w:rsid w:val="00FC1406"/>
    <w:rsid w:val="00FC182B"/>
    <w:rsid w:val="00FE18B5"/>
    <w:rsid w:val="00FF5D03"/>
    <w:rsid w:val="00FF6DBA"/>
    <w:rsid w:val="01226F68"/>
    <w:rsid w:val="04CF7F78"/>
    <w:rsid w:val="057767C8"/>
    <w:rsid w:val="0B7528F1"/>
    <w:rsid w:val="0C9E77C7"/>
    <w:rsid w:val="150E5F52"/>
    <w:rsid w:val="20D41D9A"/>
    <w:rsid w:val="24CF340E"/>
    <w:rsid w:val="2B2D536F"/>
    <w:rsid w:val="2DDF4DF5"/>
    <w:rsid w:val="31F10443"/>
    <w:rsid w:val="32A02944"/>
    <w:rsid w:val="37B50971"/>
    <w:rsid w:val="3AB328D6"/>
    <w:rsid w:val="3D1E57CD"/>
    <w:rsid w:val="42441705"/>
    <w:rsid w:val="56C15F00"/>
    <w:rsid w:val="577464E1"/>
    <w:rsid w:val="5AD602D4"/>
    <w:rsid w:val="5BD04EA3"/>
    <w:rsid w:val="5FA646AD"/>
    <w:rsid w:val="5FF13C89"/>
    <w:rsid w:val="6317149A"/>
    <w:rsid w:val="689822B9"/>
    <w:rsid w:val="6A8903D8"/>
    <w:rsid w:val="6B9E14C5"/>
    <w:rsid w:val="6BBE6514"/>
    <w:rsid w:val="70C768E2"/>
    <w:rsid w:val="725E728E"/>
    <w:rsid w:val="76E37ACD"/>
    <w:rsid w:val="79224292"/>
    <w:rsid w:val="7B8416AF"/>
    <w:rsid w:val="7F6811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F9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22F99"/>
    <w:pPr>
      <w:ind w:leftChars="2500" w:left="100"/>
    </w:pPr>
    <w:rPr>
      <w:kern w:val="0"/>
    </w:rPr>
  </w:style>
  <w:style w:type="character" w:customStyle="1" w:styleId="DateChar">
    <w:name w:val="Date Char"/>
    <w:basedOn w:val="DefaultParagraphFont"/>
    <w:link w:val="Date"/>
    <w:uiPriority w:val="99"/>
    <w:semiHidden/>
    <w:locked/>
    <w:rsid w:val="00022F99"/>
    <w:rPr>
      <w:rFonts w:cs="Times New Roman"/>
      <w:sz w:val="21"/>
      <w:szCs w:val="21"/>
    </w:rPr>
  </w:style>
  <w:style w:type="paragraph" w:styleId="BalloonText">
    <w:name w:val="Balloon Text"/>
    <w:basedOn w:val="Normal"/>
    <w:link w:val="BalloonTextChar"/>
    <w:uiPriority w:val="99"/>
    <w:semiHidden/>
    <w:rsid w:val="00022F99"/>
    <w:rPr>
      <w:sz w:val="18"/>
      <w:szCs w:val="18"/>
    </w:rPr>
  </w:style>
  <w:style w:type="character" w:customStyle="1" w:styleId="BalloonTextChar">
    <w:name w:val="Balloon Text Char"/>
    <w:basedOn w:val="DefaultParagraphFont"/>
    <w:link w:val="BalloonText"/>
    <w:uiPriority w:val="99"/>
    <w:locked/>
    <w:rsid w:val="00022F99"/>
    <w:rPr>
      <w:rFonts w:cs="Times New Roman"/>
      <w:kern w:val="2"/>
      <w:sz w:val="18"/>
      <w:szCs w:val="18"/>
    </w:rPr>
  </w:style>
  <w:style w:type="paragraph" w:styleId="Footer">
    <w:name w:val="footer"/>
    <w:basedOn w:val="Normal"/>
    <w:link w:val="FooterChar"/>
    <w:uiPriority w:val="99"/>
    <w:rsid w:val="00022F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22F99"/>
    <w:rPr>
      <w:rFonts w:cs="Times New Roman"/>
      <w:kern w:val="2"/>
      <w:sz w:val="18"/>
      <w:szCs w:val="18"/>
    </w:rPr>
  </w:style>
  <w:style w:type="paragraph" w:styleId="Header">
    <w:name w:val="header"/>
    <w:basedOn w:val="Normal"/>
    <w:link w:val="HeaderChar"/>
    <w:uiPriority w:val="99"/>
    <w:rsid w:val="00022F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22F99"/>
    <w:rPr>
      <w:rFonts w:cs="Times New Roman"/>
      <w:kern w:val="2"/>
      <w:sz w:val="18"/>
      <w:szCs w:val="18"/>
    </w:rPr>
  </w:style>
  <w:style w:type="character" w:styleId="PageNumber">
    <w:name w:val="page number"/>
    <w:basedOn w:val="DefaultParagraphFont"/>
    <w:uiPriority w:val="99"/>
    <w:rsid w:val="00022F99"/>
    <w:rPr>
      <w:rFonts w:cs="Times New Roman"/>
    </w:rPr>
  </w:style>
  <w:style w:type="table" w:styleId="TableGrid">
    <w:name w:val="Table Grid"/>
    <w:basedOn w:val="TableNormal"/>
    <w:uiPriority w:val="99"/>
    <w:rsid w:val="00022F9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526</Words>
  <Characters>2999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36</cp:revision>
  <cp:lastPrinted>2016-08-03T02:49:00Z</cp:lastPrinted>
  <dcterms:created xsi:type="dcterms:W3CDTF">2016-08-02T09:43:00Z</dcterms:created>
  <dcterms:modified xsi:type="dcterms:W3CDTF">2019-01-06T15:01:00Z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