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塔什库尔干塔吉克自治县达布达尔乡小学2024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D586B0">
      <w:r>
        <w:br w:type="page"/>
      </w:r>
    </w:p>
    <w:p w14:paraId="3ADC9331">
      <w:pPr>
        <w:spacing w:line="640" w:lineRule="exact"/>
        <w:jc w:val="center"/>
        <w:outlineLvl w:val="1"/>
      </w:pPr>
      <w:r>
        <w:rPr>
          <w:rFonts w:ascii="黑体" w:hAnsi="黑体" w:eastAsia="黑体"/>
          <w:sz w:val="32"/>
        </w:rPr>
        <w:t>第一部分 单位概况</w:t>
      </w:r>
    </w:p>
    <w:p w14:paraId="3AEB65DA">
      <w:pPr>
        <w:spacing w:line="640" w:lineRule="exact"/>
        <w:ind w:firstLine="640"/>
        <w:jc w:val="both"/>
        <w:outlineLvl w:val="2"/>
      </w:pPr>
      <w:r>
        <w:rPr>
          <w:rFonts w:ascii="黑体" w:hAnsi="黑体" w:eastAsia="黑体"/>
          <w:sz w:val="32"/>
        </w:rPr>
        <w:t>一、主要职能</w:t>
      </w:r>
    </w:p>
    <w:p w14:paraId="060E2A12">
      <w:pPr>
        <w:spacing w:line="580" w:lineRule="exact"/>
        <w:ind w:firstLine="640"/>
        <w:jc w:val="both"/>
      </w:pPr>
      <w:r>
        <w:rPr>
          <w:rFonts w:ascii="仿宋_GB2312" w:hAnsi="仿宋_GB2312" w:eastAsia="仿宋_GB2312"/>
          <w:sz w:val="32"/>
        </w:rPr>
        <w:t>1.教育教学：小学学校的核心职能是提供基础教育，教学育人，包括语文、数学、科学、体育、艺术等各个学科的教学。通过教学活动，帮助学生掌握基本的知识和技能，培养学习能力和思维能力。</w:t>
      </w:r>
    </w:p>
    <w:p w14:paraId="3A0D887E">
      <w:pPr>
        <w:spacing w:line="580" w:lineRule="exact"/>
        <w:ind w:firstLine="640"/>
        <w:jc w:val="both"/>
      </w:pPr>
      <w:r>
        <w:rPr>
          <w:rFonts w:ascii="仿宋_GB2312" w:hAnsi="仿宋_GB2312" w:eastAsia="仿宋_GB2312"/>
          <w:sz w:val="32"/>
        </w:rPr>
        <w:t>2.品德教育：注重学生品德的培养，通过德育课程、班级活动、榜样示范等方式，引导学生树立正确的价值观、道德观和行为规范，培养良好的品德和社会责任感。</w:t>
      </w:r>
    </w:p>
    <w:p w14:paraId="61F8E3F4">
      <w:pPr>
        <w:spacing w:line="580" w:lineRule="exact"/>
        <w:ind w:firstLine="640"/>
        <w:jc w:val="both"/>
      </w:pPr>
      <w:r>
        <w:rPr>
          <w:rFonts w:ascii="仿宋_GB2312" w:hAnsi="仿宋_GB2312" w:eastAsia="仿宋_GB2312"/>
          <w:sz w:val="32"/>
        </w:rPr>
        <w:t>3.综合发展：除了学术教育，小学学校还关注学生的全面发展。组织各种课外活动、社团、兴趣班等，培养学生的兴趣爱好和特长，促进学生的身心健康和个性化发展。</w:t>
      </w:r>
    </w:p>
    <w:p w14:paraId="47A40ABC">
      <w:pPr>
        <w:spacing w:line="580" w:lineRule="exact"/>
        <w:ind w:firstLine="640"/>
        <w:jc w:val="both"/>
      </w:pPr>
      <w:r>
        <w:rPr>
          <w:rFonts w:ascii="仿宋_GB2312" w:hAnsi="仿宋_GB2312" w:eastAsia="仿宋_GB2312"/>
          <w:sz w:val="32"/>
        </w:rPr>
        <w:t>4.班级管理：学校会设立班级，班主任负责管理班级的日常事务，关心学生的学习和生活情况，培养学生的集体荣誉感和团队合作精神。</w:t>
      </w:r>
    </w:p>
    <w:p w14:paraId="152C9069">
      <w:pPr>
        <w:spacing w:line="580" w:lineRule="exact"/>
        <w:ind w:firstLine="640"/>
        <w:jc w:val="both"/>
      </w:pPr>
      <w:r>
        <w:rPr>
          <w:rFonts w:ascii="仿宋_GB2312" w:hAnsi="仿宋_GB2312" w:eastAsia="仿宋_GB2312"/>
          <w:sz w:val="32"/>
        </w:rPr>
        <w:t>5.师资培养：重视教师队伍的建设和培养，通过培训、教研等活动，提高教师的教学水平和专业素养，确保教学质量的提升。</w:t>
      </w:r>
    </w:p>
    <w:p w14:paraId="7D485FDB">
      <w:pPr>
        <w:spacing w:line="580" w:lineRule="exact"/>
        <w:ind w:firstLine="640"/>
        <w:jc w:val="both"/>
      </w:pPr>
      <w:r>
        <w:rPr>
          <w:rFonts w:ascii="仿宋_GB2312" w:hAnsi="仿宋_GB2312" w:eastAsia="仿宋_GB2312"/>
          <w:sz w:val="32"/>
        </w:rPr>
        <w:t>6.家校合作：与家长保持密切联系，定期组织家长会、家访等活动，与家长共同关注学生的成长，形成教育合力。</w:t>
      </w:r>
    </w:p>
    <w:p w14:paraId="381E0DD5">
      <w:pPr>
        <w:spacing w:line="580" w:lineRule="exact"/>
        <w:ind w:firstLine="640"/>
        <w:jc w:val="both"/>
      </w:pPr>
      <w:r>
        <w:rPr>
          <w:rFonts w:ascii="仿宋_GB2312" w:hAnsi="仿宋_GB2312" w:eastAsia="仿宋_GB2312"/>
          <w:sz w:val="32"/>
        </w:rPr>
        <w:t>7.校园文化建设：营造积极向上、和谐有序的校园文化氛围，通过校园活动、校园环境布置等方式，培养学生的集体意识和文化素养。</w:t>
      </w:r>
    </w:p>
    <w:p w14:paraId="6C3C93BB">
      <w:pPr>
        <w:spacing w:line="580" w:lineRule="exact"/>
        <w:ind w:firstLine="640"/>
        <w:jc w:val="both"/>
      </w:pPr>
      <w:r>
        <w:rPr>
          <w:rFonts w:ascii="仿宋_GB2312" w:hAnsi="仿宋_GB2312" w:eastAsia="仿宋_GB2312"/>
          <w:sz w:val="32"/>
        </w:rPr>
        <w:t>8.安全保障：保障学生的人身安全和校园环境的安全，制定安全制度和应急预案，加强安全教育，确保学生在安全的环境中学习和生活。</w:t>
      </w:r>
    </w:p>
    <w:p w14:paraId="68A1947B">
      <w:pPr>
        <w:spacing w:line="640" w:lineRule="exact"/>
        <w:ind w:firstLine="640"/>
        <w:jc w:val="both"/>
        <w:outlineLvl w:val="2"/>
      </w:pPr>
      <w:r>
        <w:rPr>
          <w:rFonts w:ascii="黑体" w:hAnsi="黑体" w:eastAsia="黑体"/>
          <w:sz w:val="32"/>
        </w:rPr>
        <w:t>二、机构设置及人员情况</w:t>
      </w:r>
    </w:p>
    <w:p w14:paraId="657CAFB6">
      <w:pPr>
        <w:spacing w:line="580" w:lineRule="exact"/>
        <w:ind w:firstLine="640"/>
        <w:jc w:val="both"/>
      </w:pPr>
      <w:r>
        <w:rPr>
          <w:rFonts w:ascii="仿宋_GB2312" w:hAnsi="仿宋_GB2312" w:eastAsia="仿宋_GB2312"/>
          <w:sz w:val="32"/>
        </w:rPr>
        <w:t>塔什库尔干塔吉克自治县达布达尔乡小学2024年度，实有人数48人，其中：在职人员34人，减少16人；离休人员0人，增加0人；退休人员14人,减少1人。</w:t>
      </w:r>
    </w:p>
    <w:p w14:paraId="57DD2A02">
      <w:pPr>
        <w:spacing w:line="580" w:lineRule="exact"/>
        <w:ind w:firstLine="640"/>
        <w:jc w:val="both"/>
      </w:pPr>
      <w:r>
        <w:rPr>
          <w:rFonts w:ascii="仿宋_GB2312" w:hAnsi="仿宋_GB2312" w:eastAsia="仿宋_GB2312"/>
          <w:sz w:val="32"/>
        </w:rPr>
        <w:t>单位无下属预算单位，下设4个科室，分别是：校长办、教务处、德育办、后勤办。</w:t>
      </w:r>
    </w:p>
    <w:p w14:paraId="206149D6">
      <w:r>
        <w:br w:type="page"/>
      </w:r>
    </w:p>
    <w:p w14:paraId="3E2E11CA">
      <w:pPr>
        <w:spacing w:line="240" w:lineRule="auto"/>
        <w:jc w:val="center"/>
        <w:outlineLvl w:val="1"/>
      </w:pPr>
      <w:r>
        <w:rPr>
          <w:rFonts w:ascii="黑体" w:hAnsi="黑体" w:eastAsia="黑体"/>
          <w:sz w:val="32"/>
        </w:rPr>
        <w:t>第二部分 部门决算情况说明</w:t>
      </w:r>
    </w:p>
    <w:p w14:paraId="0E3F7631">
      <w:pPr>
        <w:spacing w:line="640" w:lineRule="exact"/>
        <w:ind w:firstLine="640"/>
        <w:jc w:val="both"/>
        <w:outlineLvl w:val="2"/>
      </w:pPr>
      <w:r>
        <w:rPr>
          <w:rFonts w:ascii="黑体" w:hAnsi="黑体" w:eastAsia="黑体"/>
          <w:sz w:val="32"/>
        </w:rPr>
        <w:t>一、收入支出决算总体情况说明</w:t>
      </w:r>
    </w:p>
    <w:p w14:paraId="76DD50F4">
      <w:pPr>
        <w:spacing w:line="580" w:lineRule="exact"/>
        <w:ind w:firstLine="640"/>
        <w:jc w:val="both"/>
      </w:pPr>
      <w:r>
        <w:rPr>
          <w:rFonts w:ascii="仿宋_GB2312" w:hAnsi="仿宋_GB2312" w:eastAsia="仿宋_GB2312"/>
          <w:b/>
          <w:sz w:val="32"/>
        </w:rPr>
        <w:t>2024年度收入总计1,265.55万元，</w:t>
      </w:r>
      <w:r>
        <w:rPr>
          <w:rFonts w:ascii="仿宋_GB2312" w:hAnsi="仿宋_GB2312" w:eastAsia="仿宋_GB2312"/>
          <w:b w:val="0"/>
          <w:sz w:val="32"/>
        </w:rPr>
        <w:t>其中：本年收入合计1,265.55万元，使用非财政拨款结余（含专用结余）0.00万元，年初结转和结余0.00万元。</w:t>
      </w:r>
    </w:p>
    <w:p w14:paraId="7AEF7AC1">
      <w:pPr>
        <w:spacing w:line="580" w:lineRule="exact"/>
        <w:ind w:firstLine="640"/>
        <w:jc w:val="both"/>
      </w:pPr>
      <w:r>
        <w:rPr>
          <w:rFonts w:ascii="仿宋_GB2312" w:hAnsi="仿宋_GB2312" w:eastAsia="仿宋_GB2312"/>
          <w:b/>
          <w:sz w:val="32"/>
        </w:rPr>
        <w:t>2024年度支出总计1,265.55万元，</w:t>
      </w:r>
      <w:r>
        <w:rPr>
          <w:rFonts w:ascii="仿宋_GB2312" w:hAnsi="仿宋_GB2312" w:eastAsia="仿宋_GB2312"/>
          <w:b w:val="0"/>
          <w:sz w:val="32"/>
        </w:rPr>
        <w:t>其中：本年支出合计1,265.55万元，结余分配0.00万元，年末结转和结余0.00万元。</w:t>
      </w:r>
    </w:p>
    <w:p w14:paraId="4B87B025">
      <w:pPr>
        <w:spacing w:line="580" w:lineRule="exact"/>
        <w:ind w:firstLine="640"/>
        <w:jc w:val="both"/>
      </w:pPr>
      <w:r>
        <w:rPr>
          <w:rFonts w:ascii="仿宋_GB2312" w:hAnsi="仿宋_GB2312" w:eastAsia="仿宋_GB2312"/>
          <w:b w:val="0"/>
          <w:sz w:val="32"/>
        </w:rPr>
        <w:t>收入支出总体与上年相比，减少52.15万元，下降3.96%，主要原因是：本年在职人员减少，相关人员经费较上年减少。</w:t>
      </w:r>
    </w:p>
    <w:p w14:paraId="26C427B8">
      <w:pPr>
        <w:spacing w:line="640" w:lineRule="exact"/>
        <w:ind w:firstLine="640"/>
        <w:jc w:val="both"/>
        <w:outlineLvl w:val="2"/>
      </w:pPr>
      <w:r>
        <w:rPr>
          <w:rFonts w:ascii="黑体" w:hAnsi="黑体" w:eastAsia="黑体"/>
          <w:sz w:val="32"/>
        </w:rPr>
        <w:t>二、收入决算情况说明</w:t>
      </w:r>
    </w:p>
    <w:p w14:paraId="5E5BCFC5">
      <w:pPr>
        <w:spacing w:line="580" w:lineRule="exact"/>
        <w:ind w:firstLine="640"/>
        <w:jc w:val="both"/>
      </w:pPr>
      <w:r>
        <w:rPr>
          <w:rFonts w:ascii="仿宋_GB2312" w:hAnsi="仿宋_GB2312" w:eastAsia="仿宋_GB2312"/>
          <w:b/>
          <w:sz w:val="32"/>
        </w:rPr>
        <w:t>本年收入1,265.55万元，</w:t>
      </w:r>
      <w:r>
        <w:rPr>
          <w:rFonts w:ascii="仿宋_GB2312" w:hAnsi="仿宋_GB2312" w:eastAsia="仿宋_GB2312"/>
          <w:b w:val="0"/>
          <w:sz w:val="32"/>
        </w:rPr>
        <w:t>其中：财政拨款收入1,244.55万元，占98.34%；上级补助收入0.00万元，占0.00%；事业收入0.00万元，占0.00%；经营收入0.00万元，占0.00%；附属单位上缴收入0.00万元，占0.00%；其他收入21.00万元，占1.66%。</w:t>
      </w:r>
    </w:p>
    <w:p w14:paraId="6551356A">
      <w:pPr>
        <w:spacing w:line="640" w:lineRule="exact"/>
        <w:ind w:firstLine="640"/>
        <w:jc w:val="both"/>
        <w:outlineLvl w:val="2"/>
      </w:pPr>
      <w:r>
        <w:rPr>
          <w:rFonts w:ascii="黑体" w:hAnsi="黑体" w:eastAsia="黑体"/>
          <w:sz w:val="32"/>
        </w:rPr>
        <w:t>三、支出决算情况说明</w:t>
      </w:r>
    </w:p>
    <w:p w14:paraId="3A286FED">
      <w:pPr>
        <w:spacing w:line="580" w:lineRule="exact"/>
        <w:ind w:firstLine="640"/>
        <w:jc w:val="both"/>
      </w:pPr>
      <w:r>
        <w:rPr>
          <w:rFonts w:ascii="仿宋_GB2312" w:hAnsi="仿宋_GB2312" w:eastAsia="仿宋_GB2312"/>
          <w:b/>
          <w:sz w:val="32"/>
        </w:rPr>
        <w:t>本年支出1,265.55万元，</w:t>
      </w:r>
      <w:r>
        <w:rPr>
          <w:rFonts w:ascii="仿宋_GB2312" w:hAnsi="仿宋_GB2312" w:eastAsia="仿宋_GB2312"/>
          <w:b w:val="0"/>
          <w:sz w:val="32"/>
        </w:rPr>
        <w:t>其中：基本支出1,165.99万元，占92.13%；项目支出99.56万元，占7.87%；上缴上级支出0.00万元，占0.00%；经营支出0.00万元，占0.00%；对附属单位补助支出0.00万元，占0.00%。</w:t>
      </w:r>
    </w:p>
    <w:p w14:paraId="62CB4F1F">
      <w:pPr>
        <w:spacing w:line="640" w:lineRule="exact"/>
        <w:ind w:firstLine="640"/>
        <w:jc w:val="both"/>
        <w:outlineLvl w:val="2"/>
      </w:pPr>
      <w:r>
        <w:rPr>
          <w:rFonts w:ascii="黑体" w:hAnsi="黑体" w:eastAsia="黑体"/>
          <w:sz w:val="32"/>
        </w:rPr>
        <w:t>四、财政拨款收入支出决算总体情况说明</w:t>
      </w:r>
    </w:p>
    <w:p w14:paraId="56D125F3">
      <w:pPr>
        <w:spacing w:line="580" w:lineRule="exact"/>
        <w:ind w:firstLine="640"/>
        <w:jc w:val="both"/>
      </w:pPr>
      <w:r>
        <w:rPr>
          <w:rFonts w:ascii="仿宋_GB2312" w:hAnsi="仿宋_GB2312" w:eastAsia="仿宋_GB2312"/>
          <w:b/>
          <w:sz w:val="32"/>
        </w:rPr>
        <w:t>2024年度财政拨款收入总计1,244.55万元，</w:t>
      </w:r>
      <w:r>
        <w:rPr>
          <w:rFonts w:ascii="仿宋_GB2312" w:hAnsi="仿宋_GB2312" w:eastAsia="仿宋_GB2312"/>
          <w:b w:val="0"/>
          <w:sz w:val="32"/>
        </w:rPr>
        <w:t>其中：年初财政拨款结转和结余0.00万元，本年财政拨款收入1,244.55万元。</w:t>
      </w:r>
      <w:r>
        <w:rPr>
          <w:rFonts w:ascii="仿宋_GB2312" w:hAnsi="仿宋_GB2312" w:eastAsia="仿宋_GB2312"/>
          <w:b/>
          <w:sz w:val="32"/>
        </w:rPr>
        <w:t>财政拨款支出总计1,244.55万元，</w:t>
      </w:r>
      <w:r>
        <w:rPr>
          <w:rFonts w:ascii="仿宋_GB2312" w:hAnsi="仿宋_GB2312" w:eastAsia="仿宋_GB2312"/>
          <w:b w:val="0"/>
          <w:sz w:val="32"/>
        </w:rPr>
        <w:t>其中：年末财政拨款结转和结余0.00万元，本年财政拨款支出1,244.55万元。</w:t>
      </w:r>
    </w:p>
    <w:p w14:paraId="1C9D9C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减少73.15万元，下降5.55%，主要原因是：本年在职人员减少，相关人员经费较上年减少。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年初预算数1,160.60万元，决算数1,244.55万元，预决算差异率7.23%，主要原因是：年中追加人员工资、社保、公积金基数调增部分资金，导致预决算存在差异。</w:t>
      </w:r>
    </w:p>
    <w:p w14:paraId="3A53A3AD">
      <w:pPr>
        <w:spacing w:line="640" w:lineRule="exact"/>
        <w:ind w:firstLine="640"/>
        <w:jc w:val="both"/>
        <w:outlineLvl w:val="2"/>
      </w:pPr>
      <w:r>
        <w:rPr>
          <w:rFonts w:ascii="黑体" w:hAnsi="黑体" w:eastAsia="黑体"/>
          <w:sz w:val="32"/>
        </w:rPr>
        <w:t>五、一般公共预算财政拨款支出决算情况说明</w:t>
      </w:r>
    </w:p>
    <w:p w14:paraId="749CDF47">
      <w:pPr>
        <w:spacing w:line="640" w:lineRule="exact"/>
        <w:ind w:firstLine="640"/>
        <w:jc w:val="both"/>
        <w:outlineLvl w:val="3"/>
      </w:pPr>
      <w:r>
        <w:rPr>
          <w:rFonts w:ascii="楷体_GB2312" w:hAnsi="楷体_GB2312" w:eastAsia="楷体_GB2312"/>
          <w:b/>
          <w:sz w:val="32"/>
        </w:rPr>
        <w:t>（一）一般公共预算财政拨款支出决算总体情况</w:t>
      </w:r>
    </w:p>
    <w:p w14:paraId="0E85466F">
      <w:pPr>
        <w:spacing w:line="580" w:lineRule="exact"/>
        <w:ind w:firstLine="640"/>
        <w:jc w:val="both"/>
      </w:pPr>
      <w:r>
        <w:rPr>
          <w:rFonts w:ascii="仿宋_GB2312" w:hAnsi="仿宋_GB2312" w:eastAsia="仿宋_GB2312"/>
          <w:b/>
          <w:sz w:val="32"/>
        </w:rPr>
        <w:t>2024年度一般公共预算财政拨款支出1,243.05万元，</w:t>
      </w:r>
      <w:r>
        <w:rPr>
          <w:rFonts w:ascii="仿宋_GB2312" w:hAnsi="仿宋_GB2312" w:eastAsia="仿宋_GB2312"/>
          <w:b w:val="0"/>
          <w:sz w:val="32"/>
        </w:rPr>
        <w:t>占本年支出合计的98.22%。</w:t>
      </w:r>
      <w:r>
        <w:rPr>
          <w:rFonts w:ascii="仿宋_GB2312" w:hAnsi="仿宋_GB2312" w:eastAsia="仿宋_GB2312"/>
          <w:b/>
          <w:sz w:val="32"/>
        </w:rPr>
        <w:t>与上年相比，</w:t>
      </w:r>
      <w:r>
        <w:rPr>
          <w:rFonts w:ascii="仿宋_GB2312" w:hAnsi="仿宋_GB2312" w:eastAsia="仿宋_GB2312"/>
          <w:b w:val="0"/>
          <w:sz w:val="32"/>
        </w:rPr>
        <w:t>减少74.65万元，下降5.67%，主要原因是：本年在职人员减少，相关人员经费较上年减少。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年初预算数1,160.60万元，决算数1,243.05万元，预决算差异率7.10%，主要原因是：年中追加人员工资、社保、公积金基数调增部分资金，导致预决算存在差异。</w:t>
      </w:r>
    </w:p>
    <w:p w14:paraId="347DA131">
      <w:pPr>
        <w:spacing w:line="640" w:lineRule="exact"/>
        <w:ind w:firstLine="640"/>
        <w:jc w:val="both"/>
        <w:outlineLvl w:val="3"/>
      </w:pPr>
      <w:r>
        <w:rPr>
          <w:rFonts w:ascii="楷体_GB2312" w:hAnsi="楷体_GB2312" w:eastAsia="楷体_GB2312"/>
          <w:b/>
          <w:sz w:val="32"/>
        </w:rPr>
        <w:t>（二）一般公共预算财政拨款支出决算结构情况</w:t>
      </w:r>
    </w:p>
    <w:p w14:paraId="4D103EE0">
      <w:pPr>
        <w:spacing w:line="580" w:lineRule="exact"/>
        <w:ind w:firstLine="640"/>
        <w:jc w:val="both"/>
      </w:pPr>
      <w:r>
        <w:rPr>
          <w:rFonts w:ascii="仿宋_GB2312" w:hAnsi="仿宋_GB2312" w:eastAsia="仿宋_GB2312"/>
          <w:b w:val="0"/>
          <w:sz w:val="32"/>
        </w:rPr>
        <w:t>1.教育支出(类)1,216.03万元,占97.83%。</w:t>
      </w:r>
    </w:p>
    <w:p w14:paraId="08B8F535">
      <w:pPr>
        <w:spacing w:line="580" w:lineRule="exact"/>
        <w:ind w:firstLine="640"/>
        <w:jc w:val="both"/>
      </w:pPr>
      <w:r>
        <w:rPr>
          <w:rFonts w:ascii="仿宋_GB2312" w:hAnsi="仿宋_GB2312" w:eastAsia="仿宋_GB2312"/>
          <w:b w:val="0"/>
          <w:sz w:val="32"/>
        </w:rPr>
        <w:t>2.社会保障和就业支出(类)27.02万元,占2.17%。</w:t>
      </w:r>
    </w:p>
    <w:p w14:paraId="1E2C1C91">
      <w:pPr>
        <w:spacing w:line="640" w:lineRule="exact"/>
        <w:ind w:firstLine="640"/>
        <w:jc w:val="both"/>
        <w:outlineLvl w:val="3"/>
      </w:pPr>
      <w:r>
        <w:rPr>
          <w:rFonts w:ascii="楷体_GB2312" w:hAnsi="楷体_GB2312" w:eastAsia="楷体_GB2312"/>
          <w:b/>
          <w:sz w:val="32"/>
        </w:rPr>
        <w:t>（三）一般公共预算财政拨款支出决算具体情况</w:t>
      </w:r>
    </w:p>
    <w:p w14:paraId="5AA12147">
      <w:pPr>
        <w:spacing w:line="580" w:lineRule="exact"/>
        <w:ind w:firstLine="640"/>
        <w:jc w:val="both"/>
      </w:pPr>
      <w:r>
        <w:rPr>
          <w:rFonts w:ascii="仿宋_GB2312" w:hAnsi="仿宋_GB2312" w:eastAsia="仿宋_GB2312"/>
          <w:b w:val="0"/>
          <w:sz w:val="32"/>
        </w:rPr>
        <w:t>1.教育支出(类)普通教育(款)学前教育(项):支出决算数为34.91万元，比上年决算减少73.44万元，下降67.78%,主要原因是：本年在职人员减少，相关人员经费较上年减少。</w:t>
      </w:r>
    </w:p>
    <w:p w14:paraId="0DA76810">
      <w:pPr>
        <w:spacing w:line="580" w:lineRule="exact"/>
        <w:ind w:firstLine="640"/>
        <w:jc w:val="both"/>
      </w:pPr>
      <w:r>
        <w:rPr>
          <w:rFonts w:ascii="仿宋_GB2312" w:hAnsi="仿宋_GB2312" w:eastAsia="仿宋_GB2312"/>
          <w:b w:val="0"/>
          <w:sz w:val="32"/>
        </w:rPr>
        <w:t>2.教育支出(类)普通教育(款)小学教育(项):支出决算数为1,171.44万元，比上年决算增加68.29万元，增长6.19%,主要原因是：在职人员工资调增，人员经费增加。</w:t>
      </w:r>
    </w:p>
    <w:p w14:paraId="6AC9BAF3">
      <w:pPr>
        <w:spacing w:line="580" w:lineRule="exact"/>
        <w:ind w:firstLine="640"/>
        <w:jc w:val="both"/>
      </w:pPr>
      <w:r>
        <w:rPr>
          <w:rFonts w:ascii="仿宋_GB2312" w:hAnsi="仿宋_GB2312" w:eastAsia="仿宋_GB2312"/>
          <w:b w:val="0"/>
          <w:sz w:val="32"/>
        </w:rPr>
        <w:t>3.教育支出(类)普通教育(款)其他普通教育支出(项):支出决算数为9.68万元，比上年决算增加9.68万元，增长100.00%,主要原因是：增加城乡义务教育补助经费农村学生营养膳食补助。</w:t>
      </w:r>
    </w:p>
    <w:p w14:paraId="45307BAD">
      <w:pPr>
        <w:spacing w:line="580" w:lineRule="exact"/>
        <w:ind w:firstLine="640"/>
        <w:jc w:val="both"/>
      </w:pPr>
      <w:r>
        <w:rPr>
          <w:rFonts w:ascii="仿宋_GB2312" w:hAnsi="仿宋_GB2312" w:eastAsia="仿宋_GB2312"/>
          <w:b w:val="0"/>
          <w:sz w:val="32"/>
        </w:rPr>
        <w:t>4.教育支出(类)教育费附加安排的支出(款)农村中小学教学设施(项):支出决算数为0.00万元，比上年决算减少3.71万元，下降100.00%,主要原因是：本年减少教育费附加资金（锅炉房拆迁）等项目。</w:t>
      </w:r>
    </w:p>
    <w:p w14:paraId="708D946E">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3.15万元，下降100.00%,主要原因是：本年功能科目调整，事业单位离退休上年度单独列支，本年调整至小学教育科目，故无此科目支出。</w:t>
      </w:r>
    </w:p>
    <w:p w14:paraId="744EDD9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27.02万元，比上年决算减少72.33万元，下降72.80%,主要原因是：一是本年在职人员减少，单位基本养老保险缴费较上年减少；二是科目调整，1-10月职工养老保险缴费调整至主科目列支，故经费支出减少。</w:t>
      </w:r>
    </w:p>
    <w:p w14:paraId="7C0B048E">
      <w:pPr>
        <w:spacing w:line="640" w:lineRule="exact"/>
        <w:ind w:firstLine="640"/>
        <w:jc w:val="both"/>
        <w:outlineLvl w:val="2"/>
      </w:pPr>
      <w:r>
        <w:rPr>
          <w:rFonts w:ascii="黑体" w:hAnsi="黑体" w:eastAsia="黑体"/>
          <w:sz w:val="32"/>
        </w:rPr>
        <w:t>六、一般公共预算财政拨款基本支出决算情况说明</w:t>
      </w:r>
    </w:p>
    <w:p w14:paraId="0A6EA5D7">
      <w:pPr>
        <w:spacing w:line="580" w:lineRule="exact"/>
        <w:ind w:firstLine="640"/>
        <w:jc w:val="both"/>
      </w:pPr>
      <w:r>
        <w:rPr>
          <w:rFonts w:ascii="仿宋_GB2312" w:hAnsi="仿宋_GB2312" w:eastAsia="仿宋_GB2312"/>
          <w:b w:val="0"/>
          <w:sz w:val="32"/>
        </w:rPr>
        <w:t>2024年度一般公共预算财政拨款基本支出1,165.99万元，其中：</w:t>
      </w:r>
      <w:r>
        <w:rPr>
          <w:rFonts w:ascii="仿宋_GB2312" w:hAnsi="仿宋_GB2312" w:eastAsia="仿宋_GB2312"/>
          <w:b/>
          <w:sz w:val="32"/>
        </w:rPr>
        <w:t>人员经费1,165.99万元，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733E790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D72E025">
      <w:pPr>
        <w:spacing w:line="640" w:lineRule="exact"/>
        <w:ind w:firstLine="640"/>
        <w:jc w:val="both"/>
        <w:outlineLvl w:val="2"/>
      </w:pPr>
      <w:r>
        <w:rPr>
          <w:rFonts w:ascii="黑体" w:hAnsi="黑体" w:eastAsia="黑体"/>
          <w:sz w:val="32"/>
        </w:rPr>
        <w:t>七、政府性基金预算财政拨款收入支出决算情况说明</w:t>
      </w:r>
    </w:p>
    <w:p w14:paraId="065FE622">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71E8E83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增加1.50万元，增长100.00%，主要原因是：增加少年宫活动经费。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3AB6F191">
      <w:pPr>
        <w:spacing w:line="580" w:lineRule="exact"/>
        <w:ind w:firstLine="640"/>
        <w:jc w:val="both"/>
      </w:pPr>
      <w:r>
        <w:rPr>
          <w:rFonts w:ascii="仿宋_GB2312" w:hAnsi="仿宋_GB2312" w:eastAsia="仿宋_GB2312"/>
          <w:b w:val="0"/>
          <w:sz w:val="32"/>
        </w:rPr>
        <w:t>政府性基金预算财政拨款支出1.50万元。</w:t>
      </w:r>
    </w:p>
    <w:p w14:paraId="7D2C5B76">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1.其他支出(类)彩票公益金安排的支出(款)用于教育事业的彩票公益金支出(项):支出决算数为1.50万元，比上年决算增加1.50万元，增长100.00%,主要原因是：增加少年宫活动经费。</w:t>
      </w:r>
    </w:p>
    <w:p w14:paraId="02EEA699">
      <w:pPr>
        <w:spacing w:line="640" w:lineRule="exact"/>
        <w:ind w:firstLine="640"/>
        <w:jc w:val="both"/>
        <w:outlineLvl w:val="2"/>
      </w:pPr>
      <w:r>
        <w:rPr>
          <w:rFonts w:ascii="黑体" w:hAnsi="黑体" w:eastAsia="黑体"/>
          <w:sz w:val="32"/>
        </w:rPr>
        <w:t>八、国有资本经营预算财政拨款收入支出决算情况说明</w:t>
      </w:r>
    </w:p>
    <w:p w14:paraId="4A411E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F4FDDB">
      <w:pPr>
        <w:spacing w:line="640" w:lineRule="exact"/>
        <w:ind w:firstLine="640"/>
        <w:jc w:val="both"/>
        <w:outlineLvl w:val="2"/>
      </w:pPr>
      <w:r>
        <w:rPr>
          <w:rFonts w:ascii="黑体" w:hAnsi="黑体" w:eastAsia="黑体"/>
          <w:sz w:val="32"/>
        </w:rPr>
        <w:t>九、财政拨款“三公”经费支出决算情况说明</w:t>
      </w:r>
    </w:p>
    <w:p w14:paraId="67CA876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9E17E25">
      <w:pPr>
        <w:spacing w:line="580" w:lineRule="exact"/>
        <w:ind w:firstLine="640"/>
        <w:jc w:val="both"/>
      </w:pPr>
      <w:r>
        <w:rPr>
          <w:rFonts w:ascii="仿宋_GB2312" w:hAnsi="仿宋_GB2312" w:eastAsia="仿宋_GB2312"/>
          <w:b/>
          <w:sz w:val="32"/>
        </w:rPr>
        <w:t>具体情况如下：</w:t>
      </w:r>
    </w:p>
    <w:p w14:paraId="37D79AF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C1BEB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5B9221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051669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B4B9846">
      <w:pPr>
        <w:spacing w:line="640" w:lineRule="exact"/>
        <w:ind w:firstLine="640"/>
        <w:jc w:val="both"/>
        <w:outlineLvl w:val="2"/>
      </w:pPr>
      <w:r>
        <w:rPr>
          <w:rFonts w:ascii="黑体" w:hAnsi="黑体" w:eastAsia="黑体"/>
          <w:sz w:val="32"/>
        </w:rPr>
        <w:t>十、其他重要事项的情况说明</w:t>
      </w:r>
    </w:p>
    <w:p w14:paraId="13987B67">
      <w:pPr>
        <w:spacing w:line="640" w:lineRule="exact"/>
        <w:ind w:firstLine="640"/>
        <w:jc w:val="both"/>
        <w:outlineLvl w:val="3"/>
      </w:pPr>
      <w:r>
        <w:rPr>
          <w:rFonts w:ascii="楷体_GB2312" w:hAnsi="楷体_GB2312" w:eastAsia="楷体_GB2312"/>
          <w:b/>
          <w:sz w:val="32"/>
        </w:rPr>
        <w:t>（一）机关运行经费及公用经费支出情况</w:t>
      </w:r>
    </w:p>
    <w:p w14:paraId="082A195E">
      <w:pPr>
        <w:spacing w:line="580" w:lineRule="exact"/>
        <w:ind w:firstLine="640"/>
        <w:jc w:val="both"/>
      </w:pPr>
      <w:r>
        <w:rPr>
          <w:rFonts w:ascii="仿宋_GB2312" w:hAnsi="仿宋_GB2312" w:eastAsia="仿宋_GB2312"/>
          <w:b w:val="0"/>
          <w:sz w:val="32"/>
        </w:rPr>
        <w:t>2024年度塔什库尔干塔吉克自治县达布达尔乡小学（事业单位）公用经费支出0.00万元，比上年增加0.00万元，增长0.00%，主要原因是：2023年与2024年均未安排公用经费支出。</w:t>
      </w:r>
    </w:p>
    <w:p w14:paraId="4F28D230">
      <w:pPr>
        <w:spacing w:line="640" w:lineRule="exact"/>
        <w:ind w:firstLine="640"/>
        <w:jc w:val="both"/>
        <w:outlineLvl w:val="3"/>
      </w:pPr>
      <w:r>
        <w:rPr>
          <w:rFonts w:ascii="楷体_GB2312" w:hAnsi="楷体_GB2312" w:eastAsia="楷体_GB2312"/>
          <w:b/>
          <w:sz w:val="32"/>
        </w:rPr>
        <w:t>（二）政府采购情况</w:t>
      </w:r>
    </w:p>
    <w:p w14:paraId="4EF3525B">
      <w:pPr>
        <w:spacing w:line="580" w:lineRule="exact"/>
        <w:ind w:firstLine="640"/>
        <w:jc w:val="both"/>
      </w:pPr>
      <w:r>
        <w:rPr>
          <w:rFonts w:ascii="仿宋_GB2312" w:hAnsi="仿宋_GB2312" w:eastAsia="仿宋_GB2312"/>
          <w:b w:val="0"/>
          <w:sz w:val="32"/>
        </w:rPr>
        <w:t>2024年度政府采购支出总额0.67万元，其中：政府采购货物支出0.67万元、政府采购工程支出0.00万元、政府采购服务支出0.00万元。</w:t>
      </w:r>
    </w:p>
    <w:p w14:paraId="2CC96CE2">
      <w:pPr>
        <w:spacing w:line="580" w:lineRule="exact"/>
        <w:ind w:firstLine="640"/>
        <w:jc w:val="both"/>
      </w:pPr>
      <w:r>
        <w:rPr>
          <w:rFonts w:ascii="仿宋_GB2312" w:hAnsi="仿宋_GB2312" w:eastAsia="仿宋_GB2312"/>
          <w:b w:val="0"/>
          <w:sz w:val="32"/>
        </w:rPr>
        <w:t>授予中小企业合同金额0.26万元，占政府采购支出总额的38.81%，其中：授予小微企业合同金额0.26万元，占政府采购支出总额的38.81%。</w:t>
      </w:r>
    </w:p>
    <w:p w14:paraId="52B53132">
      <w:pPr>
        <w:spacing w:line="640" w:lineRule="exact"/>
        <w:ind w:firstLine="640"/>
        <w:jc w:val="both"/>
        <w:outlineLvl w:val="3"/>
      </w:pPr>
      <w:r>
        <w:rPr>
          <w:rFonts w:ascii="楷体_GB2312" w:hAnsi="楷体_GB2312" w:eastAsia="楷体_GB2312"/>
          <w:b/>
          <w:sz w:val="32"/>
        </w:rPr>
        <w:t>（三）国有资产占用情况说明</w:t>
      </w:r>
    </w:p>
    <w:p w14:paraId="4C2AC4A9">
      <w:pPr>
        <w:spacing w:line="580" w:lineRule="exact"/>
        <w:ind w:firstLine="640"/>
        <w:jc w:val="both"/>
      </w:pPr>
      <w:r>
        <w:rPr>
          <w:rFonts w:ascii="仿宋_GB2312" w:hAnsi="仿宋_GB2312" w:eastAsia="仿宋_GB2312"/>
          <w:b w:val="0"/>
          <w:sz w:val="32"/>
        </w:rPr>
        <w:t>截至2024年12月31日，房屋4,484.80平方米，价值481.00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714684B">
      <w:pPr>
        <w:spacing w:line="640" w:lineRule="exact"/>
        <w:ind w:firstLine="640"/>
        <w:jc w:val="both"/>
        <w:outlineLvl w:val="2"/>
      </w:pPr>
      <w:r>
        <w:rPr>
          <w:rFonts w:ascii="黑体" w:hAnsi="黑体" w:eastAsia="黑体"/>
          <w:sz w:val="32"/>
        </w:rPr>
        <w:t>十一、预算绩效的情况说明</w:t>
      </w:r>
    </w:p>
    <w:p w14:paraId="7C58FC2F">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60036932">
      <w:r>
        <w:br w:type="page"/>
      </w:r>
    </w:p>
    <w:p w14:paraId="2C9E4A03">
      <w:pPr>
        <w:spacing w:line="640" w:lineRule="exact"/>
        <w:ind w:firstLine="640"/>
        <w:jc w:val="both"/>
        <w:outlineLvl w:val="2"/>
      </w:pPr>
      <w:r>
        <w:rPr>
          <w:rFonts w:ascii="黑体" w:hAnsi="黑体" w:eastAsia="黑体"/>
          <w:sz w:val="32"/>
        </w:rPr>
        <w:t>十二、其他需说明的事项</w:t>
      </w:r>
    </w:p>
    <w:p w14:paraId="6ABD02DF">
      <w:pPr>
        <w:spacing w:line="580" w:lineRule="exact"/>
        <w:ind w:firstLine="640"/>
        <w:jc w:val="both"/>
      </w:pPr>
      <w:r>
        <w:rPr>
          <w:rFonts w:ascii="仿宋_GB2312" w:hAnsi="仿宋_GB2312" w:eastAsia="仿宋_GB2312"/>
          <w:b w:val="0"/>
          <w:sz w:val="32"/>
        </w:rPr>
        <w:t>本年度本单位整体绩效自评表由塔什库尔干塔吉克自治县教育和科学技术局（汇总）编报并公开。</w:t>
      </w:r>
    </w:p>
    <w:p w14:paraId="7AAB2D05">
      <w:r>
        <w:br w:type="page"/>
      </w:r>
    </w:p>
    <w:p w14:paraId="52055937">
      <w:pPr>
        <w:spacing w:line="240" w:lineRule="auto"/>
        <w:jc w:val="center"/>
        <w:outlineLvl w:val="1"/>
      </w:pPr>
      <w:r>
        <w:rPr>
          <w:rFonts w:ascii="黑体" w:hAnsi="黑体" w:eastAsia="黑体"/>
          <w:sz w:val="32"/>
        </w:rPr>
        <w:t>第三部分 专业名词解释</w:t>
      </w:r>
    </w:p>
    <w:p w14:paraId="38F8269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7F4F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7CF7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AB48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CA9B2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970D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8E59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B99E03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F737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9B335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804B8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BD887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A290B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EEE1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F98542">
      <w:r>
        <w:br w:type="page"/>
      </w:r>
    </w:p>
    <w:p w14:paraId="0A6BCEEA">
      <w:pPr>
        <w:spacing w:line="240" w:lineRule="auto"/>
        <w:jc w:val="center"/>
        <w:outlineLvl w:val="1"/>
      </w:pPr>
      <w:r>
        <w:rPr>
          <w:rFonts w:ascii="黑体" w:hAnsi="黑体" w:eastAsia="黑体"/>
          <w:sz w:val="32"/>
        </w:rPr>
        <w:t>第四部分 部门决算报表（见附表）</w:t>
      </w:r>
    </w:p>
    <w:p w14:paraId="3D4E444E">
      <w:pPr>
        <w:spacing w:line="240" w:lineRule="auto"/>
        <w:ind w:firstLine="640"/>
        <w:jc w:val="both"/>
      </w:pPr>
      <w:r>
        <w:rPr>
          <w:rFonts w:ascii="仿宋_GB2312" w:hAnsi="仿宋_GB2312" w:eastAsia="仿宋_GB2312"/>
          <w:b w:val="0"/>
          <w:sz w:val="32"/>
        </w:rPr>
        <w:t>一、《收入支出决算总表》</w:t>
      </w:r>
    </w:p>
    <w:p w14:paraId="3D1CE607">
      <w:pPr>
        <w:spacing w:line="240" w:lineRule="auto"/>
        <w:ind w:firstLine="640"/>
        <w:jc w:val="both"/>
      </w:pPr>
      <w:r>
        <w:rPr>
          <w:rFonts w:ascii="仿宋_GB2312" w:hAnsi="仿宋_GB2312" w:eastAsia="仿宋_GB2312"/>
          <w:b w:val="0"/>
          <w:sz w:val="32"/>
        </w:rPr>
        <w:t>二、《收入决算表》</w:t>
      </w:r>
    </w:p>
    <w:p w14:paraId="3C39E27E">
      <w:pPr>
        <w:spacing w:line="240" w:lineRule="auto"/>
        <w:ind w:firstLine="640"/>
        <w:jc w:val="both"/>
      </w:pPr>
      <w:r>
        <w:rPr>
          <w:rFonts w:ascii="仿宋_GB2312" w:hAnsi="仿宋_GB2312" w:eastAsia="仿宋_GB2312"/>
          <w:b w:val="0"/>
          <w:sz w:val="32"/>
        </w:rPr>
        <w:t>三、《支出决算表》</w:t>
      </w:r>
    </w:p>
    <w:p w14:paraId="4C0992AE">
      <w:pPr>
        <w:spacing w:line="240" w:lineRule="auto"/>
        <w:ind w:firstLine="640"/>
        <w:jc w:val="both"/>
      </w:pPr>
      <w:r>
        <w:rPr>
          <w:rFonts w:ascii="仿宋_GB2312" w:hAnsi="仿宋_GB2312" w:eastAsia="仿宋_GB2312"/>
          <w:b w:val="0"/>
          <w:sz w:val="32"/>
        </w:rPr>
        <w:t>四、《财政拨款收入支出决算总表》</w:t>
      </w:r>
    </w:p>
    <w:p w14:paraId="123F0956">
      <w:pPr>
        <w:spacing w:line="240" w:lineRule="auto"/>
        <w:ind w:firstLine="640"/>
        <w:jc w:val="both"/>
      </w:pPr>
      <w:r>
        <w:rPr>
          <w:rFonts w:ascii="仿宋_GB2312" w:hAnsi="仿宋_GB2312" w:eastAsia="仿宋_GB2312"/>
          <w:b w:val="0"/>
          <w:sz w:val="32"/>
        </w:rPr>
        <w:t>五、《一般公共预算财政拨款支出决算表》</w:t>
      </w:r>
    </w:p>
    <w:p w14:paraId="6F0A17D8">
      <w:pPr>
        <w:spacing w:line="240" w:lineRule="auto"/>
        <w:ind w:firstLine="640"/>
        <w:jc w:val="both"/>
      </w:pPr>
      <w:r>
        <w:rPr>
          <w:rFonts w:ascii="仿宋_GB2312" w:hAnsi="仿宋_GB2312" w:eastAsia="仿宋_GB2312"/>
          <w:b w:val="0"/>
          <w:sz w:val="32"/>
        </w:rPr>
        <w:t>六、《一般公共预算财政拨款基本支出决算表》</w:t>
      </w:r>
    </w:p>
    <w:p w14:paraId="1EB1FE87">
      <w:pPr>
        <w:spacing w:line="240" w:lineRule="auto"/>
        <w:ind w:firstLine="640"/>
        <w:jc w:val="both"/>
      </w:pPr>
      <w:r>
        <w:rPr>
          <w:rFonts w:ascii="仿宋_GB2312" w:hAnsi="仿宋_GB2312" w:eastAsia="仿宋_GB2312"/>
          <w:b w:val="0"/>
          <w:sz w:val="32"/>
        </w:rPr>
        <w:t>七、《政府性基金预算财政拨款收入支出决算表》</w:t>
      </w:r>
    </w:p>
    <w:p w14:paraId="47744C0B">
      <w:pPr>
        <w:spacing w:line="240" w:lineRule="auto"/>
        <w:ind w:firstLine="640"/>
        <w:jc w:val="both"/>
      </w:pPr>
      <w:r>
        <w:rPr>
          <w:rFonts w:ascii="仿宋_GB2312" w:hAnsi="仿宋_GB2312" w:eastAsia="仿宋_GB2312"/>
          <w:b w:val="0"/>
          <w:sz w:val="32"/>
        </w:rPr>
        <w:t>八、《国有资本经营预算财政拨款收入支出决算表》</w:t>
      </w:r>
    </w:p>
    <w:p w14:paraId="2BF0C78D">
      <w:pPr>
        <w:spacing w:line="240" w:lineRule="auto"/>
        <w:ind w:firstLine="640"/>
        <w:jc w:val="both"/>
      </w:pPr>
      <w:r>
        <w:rPr>
          <w:rFonts w:ascii="仿宋_GB2312" w:hAnsi="仿宋_GB2312" w:eastAsia="仿宋_GB2312"/>
          <w:b w:val="0"/>
          <w:sz w:val="32"/>
        </w:rPr>
        <w:t>九、《财政拨款“三公”经费支出决算表》</w:t>
      </w:r>
    </w:p>
    <w:p w14:paraId="20CD5C8D">
      <w:pPr>
        <w:spacing w:line="240" w:lineRule="auto"/>
        <w:ind w:firstLine="640"/>
        <w:jc w:val="both"/>
      </w:pPr>
    </w:p>
    <w:p w14:paraId="25F4956C">
      <w:pPr>
        <w:spacing w:line="240" w:lineRule="auto"/>
        <w:ind w:firstLine="640"/>
        <w:jc w:val="both"/>
      </w:pPr>
    </w:p>
    <w:p w14:paraId="79AB1F57">
      <w:pPr>
        <w:spacing w:line="240" w:lineRule="auto"/>
        <w:ind w:firstLine="640"/>
        <w:jc w:val="both"/>
      </w:pPr>
    </w:p>
    <w:p w14:paraId="2233DC61">
      <w:pPr>
        <w:spacing w:line="240" w:lineRule="auto"/>
        <w:ind w:firstLine="640"/>
        <w:jc w:val="both"/>
      </w:pPr>
    </w:p>
    <w:p w14:paraId="23CE43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F347AC"/>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5B7CC8"/>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5471</Words>
  <Characters>6183</Characters>
  <Lines>0</Lines>
  <Paragraphs>0</Paragraphs>
  <TotalTime>0</TotalTime>
  <ScaleCrop>false</ScaleCrop>
  <LinksUpToDate>false</LinksUpToDate>
  <CharactersWithSpaces>6193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