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C122460">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塔什库尔干塔吉克自治县深塔中学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CC13A1F">
      <w:r>
        <w:br w:type="page"/>
      </w:r>
    </w:p>
    <w:p w14:paraId="4CA95754">
      <w:pPr>
        <w:spacing w:line="640" w:lineRule="exact"/>
        <w:jc w:val="center"/>
        <w:outlineLvl w:val="1"/>
      </w:pPr>
      <w:r>
        <w:rPr>
          <w:rFonts w:ascii="黑体" w:hAnsi="黑体" w:eastAsia="黑体"/>
          <w:sz w:val="32"/>
        </w:rPr>
        <w:t>第一部分 单位概况</w:t>
      </w:r>
    </w:p>
    <w:p w14:paraId="3854DFEE">
      <w:pPr>
        <w:spacing w:line="640" w:lineRule="exact"/>
        <w:ind w:firstLine="640"/>
        <w:jc w:val="both"/>
        <w:outlineLvl w:val="2"/>
      </w:pPr>
      <w:r>
        <w:rPr>
          <w:rFonts w:ascii="黑体" w:hAnsi="黑体" w:eastAsia="黑体"/>
          <w:sz w:val="32"/>
        </w:rPr>
        <w:t>一、主要职能</w:t>
      </w:r>
    </w:p>
    <w:p w14:paraId="661E899B">
      <w:pPr>
        <w:spacing w:line="580" w:lineRule="exact"/>
        <w:ind w:firstLine="640"/>
        <w:jc w:val="both"/>
      </w:pPr>
      <w:r>
        <w:rPr>
          <w:rFonts w:ascii="仿宋_GB2312" w:hAnsi="仿宋_GB2312" w:eastAsia="仿宋_GB2312"/>
          <w:sz w:val="32"/>
        </w:rPr>
        <w:t>(1)为促进基础教育的发展，实施</w:t>
      </w:r>
      <w:r>
        <w:rPr>
          <w:rFonts w:hint="eastAsia" w:ascii="仿宋_GB2312" w:hAnsi="仿宋_GB2312" w:eastAsia="仿宋_GB2312"/>
          <w:sz w:val="32"/>
          <w:lang w:val="en-US" w:eastAsia="zh-CN"/>
        </w:rPr>
        <w:t>初中</w:t>
      </w:r>
      <w:r>
        <w:rPr>
          <w:rFonts w:ascii="仿宋_GB2312" w:hAnsi="仿宋_GB2312" w:eastAsia="仿宋_GB2312"/>
          <w:sz w:val="32"/>
        </w:rPr>
        <w:t>学历教育。</w:t>
      </w:r>
    </w:p>
    <w:p w14:paraId="71B48EF9">
      <w:pPr>
        <w:spacing w:line="580" w:lineRule="exact"/>
        <w:ind w:firstLine="640"/>
        <w:jc w:val="both"/>
      </w:pPr>
      <w:r>
        <w:rPr>
          <w:rFonts w:ascii="仿宋_GB2312" w:hAnsi="仿宋_GB2312" w:eastAsia="仿宋_GB2312"/>
          <w:sz w:val="32"/>
        </w:rPr>
        <w:t>(2)贯彻执行党的教育方针、政策、法规和规章制度，制定并组织实施学校中长期规划。</w:t>
      </w:r>
    </w:p>
    <w:p w14:paraId="4F5DB7DC">
      <w:pPr>
        <w:spacing w:line="580" w:lineRule="exact"/>
        <w:ind w:firstLine="640"/>
        <w:jc w:val="both"/>
      </w:pPr>
      <w:r>
        <w:rPr>
          <w:rFonts w:ascii="仿宋_GB2312" w:hAnsi="仿宋_GB2312" w:eastAsia="仿宋_GB2312"/>
          <w:sz w:val="32"/>
        </w:rPr>
        <w:t>(3)有计划、有组织地培养、提高教师的业务和教学能力。</w:t>
      </w:r>
    </w:p>
    <w:p w14:paraId="553AE243">
      <w:pPr>
        <w:spacing w:line="580" w:lineRule="exact"/>
        <w:ind w:firstLine="640"/>
        <w:jc w:val="both"/>
      </w:pPr>
      <w:r>
        <w:rPr>
          <w:rFonts w:ascii="仿宋_GB2312" w:hAnsi="仿宋_GB2312" w:eastAsia="仿宋_GB2312"/>
          <w:sz w:val="32"/>
        </w:rPr>
        <w:t>(4)深化教学改革，创新教学模式，提高教育质量。</w:t>
      </w:r>
    </w:p>
    <w:p w14:paraId="331BA323">
      <w:pPr>
        <w:spacing w:line="580" w:lineRule="exact"/>
        <w:ind w:firstLine="640"/>
        <w:jc w:val="both"/>
      </w:pPr>
      <w:r>
        <w:rPr>
          <w:rFonts w:ascii="仿宋_GB2312" w:hAnsi="仿宋_GB2312" w:eastAsia="仿宋_GB2312"/>
          <w:sz w:val="32"/>
        </w:rPr>
        <w:t>(5)做好学生思想教育工作，认真实施</w:t>
      </w:r>
      <w:r>
        <w:rPr>
          <w:rFonts w:hint="eastAsia" w:ascii="仿宋_GB2312" w:hAnsi="仿宋_GB2312" w:eastAsia="仿宋_GB2312"/>
          <w:sz w:val="32"/>
          <w:lang w:val="en-US" w:eastAsia="zh-CN"/>
        </w:rPr>
        <w:t>初中</w:t>
      </w:r>
      <w:r>
        <w:rPr>
          <w:rFonts w:ascii="仿宋_GB2312" w:hAnsi="仿宋_GB2312" w:eastAsia="仿宋_GB2312"/>
          <w:sz w:val="32"/>
        </w:rPr>
        <w:t>学生守则、行为规范及有关条例，实施素质教育，锻炼学生的实践能力，为</w:t>
      </w:r>
      <w:r>
        <w:rPr>
          <w:rFonts w:hint="eastAsia" w:ascii="仿宋_GB2312" w:hAnsi="仿宋_GB2312" w:eastAsia="仿宋_GB2312"/>
          <w:sz w:val="32"/>
          <w:lang w:eastAsia="zh-CN"/>
        </w:rPr>
        <w:t>社会主义现代化建设</w:t>
      </w:r>
      <w:r>
        <w:rPr>
          <w:rFonts w:ascii="仿宋_GB2312" w:hAnsi="仿宋_GB2312" w:eastAsia="仿宋_GB2312"/>
          <w:sz w:val="32"/>
        </w:rPr>
        <w:t>培养德、智、体、能全面发展的人才。</w:t>
      </w:r>
    </w:p>
    <w:p w14:paraId="4040E0D2">
      <w:pPr>
        <w:spacing w:line="580" w:lineRule="exact"/>
        <w:ind w:firstLine="640"/>
        <w:jc w:val="both"/>
      </w:pPr>
      <w:r>
        <w:rPr>
          <w:rFonts w:ascii="仿宋_GB2312" w:hAnsi="仿宋_GB2312" w:eastAsia="仿宋_GB2312"/>
          <w:sz w:val="32"/>
        </w:rPr>
        <w:t>(6)做好学校的</w:t>
      </w:r>
      <w:r>
        <w:rPr>
          <w:rFonts w:hint="eastAsia" w:ascii="仿宋_GB2312" w:hAnsi="仿宋_GB2312" w:eastAsia="仿宋_GB2312"/>
          <w:sz w:val="32"/>
          <w:lang w:eastAsia="zh-CN"/>
        </w:rPr>
        <w:t>信息</w:t>
      </w:r>
      <w:r>
        <w:rPr>
          <w:rFonts w:ascii="仿宋_GB2312" w:hAnsi="仿宋_GB2312" w:eastAsia="仿宋_GB2312"/>
          <w:sz w:val="32"/>
        </w:rPr>
        <w:t>统计工作，为上级提供决策依据。</w:t>
      </w:r>
    </w:p>
    <w:p w14:paraId="67D968DB">
      <w:pPr>
        <w:spacing w:line="580" w:lineRule="exact"/>
        <w:ind w:firstLine="640"/>
        <w:jc w:val="both"/>
      </w:pPr>
      <w:r>
        <w:rPr>
          <w:rFonts w:ascii="仿宋_GB2312" w:hAnsi="仿宋_GB2312" w:eastAsia="仿宋_GB2312"/>
          <w:sz w:val="32"/>
        </w:rPr>
        <w:t>(7)合理使用教育经费，严格执行增收节支有关规定。有计划地搞好校舍建设，教学设备设施建设。</w:t>
      </w:r>
    </w:p>
    <w:p w14:paraId="38EA0344">
      <w:pPr>
        <w:spacing w:line="580" w:lineRule="exact"/>
        <w:ind w:firstLine="640"/>
        <w:jc w:val="both"/>
      </w:pPr>
      <w:r>
        <w:rPr>
          <w:rFonts w:ascii="仿宋_GB2312" w:hAnsi="仿宋_GB2312" w:eastAsia="仿宋_GB2312"/>
          <w:sz w:val="32"/>
        </w:rPr>
        <w:t>(8)制定并组织实施共青团员的管理。</w:t>
      </w:r>
    </w:p>
    <w:p w14:paraId="63F6EA82">
      <w:pPr>
        <w:spacing w:line="640" w:lineRule="exact"/>
        <w:ind w:firstLine="640"/>
        <w:jc w:val="both"/>
        <w:outlineLvl w:val="2"/>
      </w:pPr>
      <w:r>
        <w:rPr>
          <w:rFonts w:ascii="黑体" w:hAnsi="黑体" w:eastAsia="黑体"/>
          <w:sz w:val="32"/>
        </w:rPr>
        <w:t>二、机构设置及人员情况</w:t>
      </w:r>
    </w:p>
    <w:p w14:paraId="7A26C5D6">
      <w:pPr>
        <w:spacing w:line="580" w:lineRule="exact"/>
        <w:ind w:firstLine="640"/>
        <w:jc w:val="both"/>
      </w:pPr>
      <w:r>
        <w:rPr>
          <w:rFonts w:ascii="仿宋_GB2312" w:hAnsi="仿宋_GB2312" w:eastAsia="仿宋_GB2312"/>
          <w:sz w:val="32"/>
        </w:rPr>
        <w:t>塔什库尔干塔吉克自治县深塔中学2024年度，实有人数292人，其中：在职人员173人，增加1人；离休人员0人，增加0人；退休人员119人,增加4人。</w:t>
      </w:r>
    </w:p>
    <w:p w14:paraId="7B398C47">
      <w:pPr>
        <w:spacing w:line="580" w:lineRule="exact"/>
        <w:ind w:firstLine="640"/>
        <w:jc w:val="both"/>
      </w:pPr>
      <w:r>
        <w:rPr>
          <w:rFonts w:ascii="仿宋_GB2312" w:hAnsi="仿宋_GB2312" w:eastAsia="仿宋_GB2312"/>
          <w:sz w:val="32"/>
        </w:rPr>
        <w:t>单位无下属预算单位，下设7个科室，分别是：党政党建绩效办、教务教研办、德育办、学生管理中心、总务安全办、工会、团委。</w:t>
      </w:r>
    </w:p>
    <w:p w14:paraId="26BAF0C0">
      <w:r>
        <w:br w:type="page"/>
      </w:r>
    </w:p>
    <w:p w14:paraId="6DA53D81">
      <w:pPr>
        <w:spacing w:line="240" w:lineRule="auto"/>
        <w:jc w:val="center"/>
        <w:outlineLvl w:val="1"/>
      </w:pPr>
      <w:r>
        <w:rPr>
          <w:rFonts w:ascii="黑体" w:hAnsi="黑体" w:eastAsia="黑体"/>
          <w:sz w:val="32"/>
        </w:rPr>
        <w:t>第二部分 部门决算情况说明</w:t>
      </w:r>
    </w:p>
    <w:p w14:paraId="1063CD93">
      <w:pPr>
        <w:spacing w:line="640" w:lineRule="exact"/>
        <w:ind w:firstLine="640"/>
        <w:jc w:val="both"/>
        <w:outlineLvl w:val="2"/>
      </w:pPr>
      <w:r>
        <w:rPr>
          <w:rFonts w:ascii="黑体" w:hAnsi="黑体" w:eastAsia="黑体"/>
          <w:sz w:val="32"/>
        </w:rPr>
        <w:t>一、收入支出决算总体情况说明</w:t>
      </w:r>
    </w:p>
    <w:p w14:paraId="74D4DBE6">
      <w:pPr>
        <w:spacing w:line="580" w:lineRule="exact"/>
        <w:ind w:firstLine="640"/>
        <w:jc w:val="both"/>
      </w:pPr>
      <w:r>
        <w:rPr>
          <w:rFonts w:ascii="仿宋_GB2312" w:hAnsi="仿宋_GB2312" w:eastAsia="仿宋_GB2312"/>
          <w:b/>
          <w:sz w:val="32"/>
        </w:rPr>
        <w:t>2024年度收入总计6,360.83万元，</w:t>
      </w:r>
      <w:r>
        <w:rPr>
          <w:rFonts w:ascii="仿宋_GB2312" w:hAnsi="仿宋_GB2312" w:eastAsia="仿宋_GB2312"/>
          <w:b w:val="0"/>
          <w:sz w:val="32"/>
        </w:rPr>
        <w:t>其中：本年收入合计6,360.83万元，使用非财政拨款结余（含专用结余）0.00万元，年初结转和结余0.00万元。</w:t>
      </w:r>
    </w:p>
    <w:p w14:paraId="1EA4EF29">
      <w:pPr>
        <w:spacing w:line="580" w:lineRule="exact"/>
        <w:ind w:firstLine="640"/>
        <w:jc w:val="both"/>
      </w:pPr>
      <w:r>
        <w:rPr>
          <w:rFonts w:ascii="仿宋_GB2312" w:hAnsi="仿宋_GB2312" w:eastAsia="仿宋_GB2312"/>
          <w:b/>
          <w:sz w:val="32"/>
        </w:rPr>
        <w:t>2024年度支出总计6,360.83万元，</w:t>
      </w:r>
      <w:r>
        <w:rPr>
          <w:rFonts w:ascii="仿宋_GB2312" w:hAnsi="仿宋_GB2312" w:eastAsia="仿宋_GB2312"/>
          <w:b w:val="0"/>
          <w:sz w:val="32"/>
        </w:rPr>
        <w:t>其中：本年支出合计6,360.83万元，结余分配0.00万元，年末结转和结余0.00万元。</w:t>
      </w:r>
    </w:p>
    <w:p w14:paraId="595A0340">
      <w:pPr>
        <w:spacing w:line="580" w:lineRule="exact"/>
        <w:ind w:firstLine="640"/>
        <w:jc w:val="both"/>
      </w:pPr>
      <w:r>
        <w:rPr>
          <w:rFonts w:ascii="仿宋_GB2312" w:hAnsi="仿宋_GB2312" w:eastAsia="仿宋_GB2312"/>
          <w:b w:val="0"/>
          <w:sz w:val="32"/>
        </w:rPr>
        <w:t>收入支出总体与上年相比，减少973.37万元，下降13.27%，主要原因是：本年度减少特殊教育补助资源中心建设项目、深塔中学扩建用地资金、2023年教育脱贫攻坚同乡村振兴有效衔接资金项目。</w:t>
      </w:r>
    </w:p>
    <w:p w14:paraId="2E9471FF">
      <w:pPr>
        <w:spacing w:line="640" w:lineRule="exact"/>
        <w:ind w:firstLine="640"/>
        <w:jc w:val="both"/>
        <w:outlineLvl w:val="2"/>
      </w:pPr>
      <w:r>
        <w:rPr>
          <w:rFonts w:ascii="黑体" w:hAnsi="黑体" w:eastAsia="黑体"/>
          <w:sz w:val="32"/>
        </w:rPr>
        <w:t>二、收入决算情况说明</w:t>
      </w:r>
    </w:p>
    <w:p w14:paraId="61DE24C0">
      <w:pPr>
        <w:spacing w:line="580" w:lineRule="exact"/>
        <w:ind w:firstLine="640"/>
        <w:jc w:val="both"/>
      </w:pPr>
      <w:r>
        <w:rPr>
          <w:rFonts w:ascii="仿宋_GB2312" w:hAnsi="仿宋_GB2312" w:eastAsia="仿宋_GB2312"/>
          <w:b/>
          <w:sz w:val="32"/>
        </w:rPr>
        <w:t>本年收入6,360.83万元，</w:t>
      </w:r>
      <w:r>
        <w:rPr>
          <w:rFonts w:ascii="仿宋_GB2312" w:hAnsi="仿宋_GB2312" w:eastAsia="仿宋_GB2312"/>
          <w:b w:val="0"/>
          <w:sz w:val="32"/>
        </w:rPr>
        <w:t>其中：财政拨款收入6,360.83万元，占100.00%；上级补助收入0.00万元，占0.00%；事业收入0.00万元，占0.00%；经营收入0.00万元，占0.00%；附属单位上缴收入0.00万元，占0.00%；其他收入0.00万元，占0.00%。</w:t>
      </w:r>
    </w:p>
    <w:p w14:paraId="2EE990F4">
      <w:pPr>
        <w:spacing w:line="640" w:lineRule="exact"/>
        <w:ind w:firstLine="640"/>
        <w:jc w:val="both"/>
        <w:outlineLvl w:val="2"/>
      </w:pPr>
      <w:r>
        <w:rPr>
          <w:rFonts w:ascii="黑体" w:hAnsi="黑体" w:eastAsia="黑体"/>
          <w:sz w:val="32"/>
        </w:rPr>
        <w:t>三、支出决算情况说明</w:t>
      </w:r>
    </w:p>
    <w:p w14:paraId="01FA901A">
      <w:pPr>
        <w:spacing w:line="580" w:lineRule="exact"/>
        <w:ind w:firstLine="640"/>
        <w:jc w:val="both"/>
      </w:pPr>
      <w:r>
        <w:rPr>
          <w:rFonts w:ascii="仿宋_GB2312" w:hAnsi="仿宋_GB2312" w:eastAsia="仿宋_GB2312"/>
          <w:b/>
          <w:sz w:val="32"/>
        </w:rPr>
        <w:t>本年支出6,360.83万元，</w:t>
      </w:r>
      <w:r>
        <w:rPr>
          <w:rFonts w:ascii="仿宋_GB2312" w:hAnsi="仿宋_GB2312" w:eastAsia="仿宋_GB2312"/>
          <w:b w:val="0"/>
          <w:sz w:val="32"/>
        </w:rPr>
        <w:t>其中：基本支出4,925.04万元，占77.43%；项目支出1,435.78万元，占22.57%；上缴上级支出0.00万元，占0.00%；经营支出0.00万元，占0.00%；对附属单位补助支出0.00万元，占0.00%。</w:t>
      </w:r>
    </w:p>
    <w:p w14:paraId="7DD8A007">
      <w:pPr>
        <w:spacing w:line="640" w:lineRule="exact"/>
        <w:ind w:firstLine="640"/>
        <w:jc w:val="both"/>
        <w:outlineLvl w:val="2"/>
      </w:pPr>
      <w:r>
        <w:rPr>
          <w:rFonts w:ascii="黑体" w:hAnsi="黑体" w:eastAsia="黑体"/>
          <w:sz w:val="32"/>
        </w:rPr>
        <w:t>四、财政拨款收入支出决算总体情况说明</w:t>
      </w:r>
    </w:p>
    <w:p w14:paraId="214C94FC">
      <w:pPr>
        <w:spacing w:line="580" w:lineRule="exact"/>
        <w:ind w:firstLine="640"/>
        <w:jc w:val="both"/>
      </w:pPr>
      <w:r>
        <w:rPr>
          <w:rFonts w:ascii="仿宋_GB2312" w:hAnsi="仿宋_GB2312" w:eastAsia="仿宋_GB2312"/>
          <w:b/>
          <w:sz w:val="32"/>
        </w:rPr>
        <w:t>2024年度财政拨款收入总计6,360.83万元，</w:t>
      </w:r>
      <w:r>
        <w:rPr>
          <w:rFonts w:ascii="仿宋_GB2312" w:hAnsi="仿宋_GB2312" w:eastAsia="仿宋_GB2312"/>
          <w:b w:val="0"/>
          <w:sz w:val="32"/>
        </w:rPr>
        <w:t>其中：年初财政拨款结转和结余0.00万元，本年财政拨款收入6,360.83万元。</w:t>
      </w:r>
      <w:r>
        <w:rPr>
          <w:rFonts w:ascii="仿宋_GB2312" w:hAnsi="仿宋_GB2312" w:eastAsia="仿宋_GB2312"/>
          <w:b/>
          <w:sz w:val="32"/>
        </w:rPr>
        <w:t>财政拨款支出总计6,360.83万元，</w:t>
      </w:r>
      <w:r>
        <w:rPr>
          <w:rFonts w:ascii="仿宋_GB2312" w:hAnsi="仿宋_GB2312" w:eastAsia="仿宋_GB2312"/>
          <w:b w:val="0"/>
          <w:sz w:val="32"/>
        </w:rPr>
        <w:t>其中：年末财政拨款结转和结余0.00万元，本年财政拨款支出6,360.83万元。</w:t>
      </w:r>
    </w:p>
    <w:p w14:paraId="270D758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减少973.37万元，下降13.27%，主要原因是：本年度减少特殊教育补助资源中心建设项目、深塔中学扩建用地资金、2023年教育脱贫攻坚同乡村振兴有效衔接资金项目。</w:t>
      </w:r>
      <w:r>
        <w:rPr>
          <w:rFonts w:ascii="仿宋_GB2312" w:hAnsi="仿宋_GB2312" w:eastAsia="仿宋_GB2312"/>
          <w:b/>
          <w:sz w:val="32"/>
        </w:rPr>
        <w:t>与年初预算相比，</w:t>
      </w:r>
      <w:r>
        <w:rPr>
          <w:rFonts w:ascii="仿宋_GB2312" w:hAnsi="仿宋_GB2312" w:eastAsia="仿宋_GB2312"/>
          <w:b w:val="0"/>
          <w:sz w:val="32"/>
        </w:rPr>
        <w:t>年初预算数5,772.50万元，决算数6,360.83万元，预决算差异率10.19%，主要原因是：年中追加人员工资、社保、公积金基数调增部分资金，追加自治区教育项目经费中小学幼儿园配备保安人员工资补助、城乡义务教育补助经费农村学生营养膳食补助等，导致预决算存在差异。</w:t>
      </w:r>
    </w:p>
    <w:p w14:paraId="0F463FEA">
      <w:pPr>
        <w:spacing w:line="640" w:lineRule="exact"/>
        <w:ind w:firstLine="640"/>
        <w:jc w:val="both"/>
        <w:outlineLvl w:val="2"/>
      </w:pPr>
      <w:r>
        <w:rPr>
          <w:rFonts w:ascii="黑体" w:hAnsi="黑体" w:eastAsia="黑体"/>
          <w:sz w:val="32"/>
        </w:rPr>
        <w:t>五、一般公共预算财政拨款支出决算情况说明</w:t>
      </w:r>
    </w:p>
    <w:p w14:paraId="614E21DA">
      <w:pPr>
        <w:spacing w:line="640" w:lineRule="exact"/>
        <w:ind w:firstLine="640"/>
        <w:jc w:val="both"/>
        <w:outlineLvl w:val="3"/>
      </w:pPr>
      <w:r>
        <w:rPr>
          <w:rFonts w:ascii="楷体_GB2312" w:hAnsi="楷体_GB2312" w:eastAsia="楷体_GB2312"/>
          <w:b/>
          <w:sz w:val="32"/>
        </w:rPr>
        <w:t>（一）一般公共预算财政拨款支出决算总体情况</w:t>
      </w:r>
    </w:p>
    <w:p w14:paraId="0954B1D1">
      <w:pPr>
        <w:spacing w:line="580" w:lineRule="exact"/>
        <w:ind w:firstLine="640"/>
        <w:jc w:val="both"/>
      </w:pPr>
      <w:r>
        <w:rPr>
          <w:rFonts w:ascii="仿宋_GB2312" w:hAnsi="仿宋_GB2312" w:eastAsia="仿宋_GB2312"/>
          <w:b/>
          <w:sz w:val="32"/>
        </w:rPr>
        <w:t>2024年度一般公共预算财政拨款支出6,360.83万元，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减少973.37万元，下降13.27%，主要原因是：本年度减少特殊教育补助资源中心建设项目、深塔中学扩建用地资金、2023年教育脱贫攻坚同乡村振兴有效衔接资金项目。</w:t>
      </w:r>
      <w:r>
        <w:rPr>
          <w:rFonts w:ascii="仿宋_GB2312" w:hAnsi="仿宋_GB2312" w:eastAsia="仿宋_GB2312"/>
          <w:b/>
          <w:sz w:val="32"/>
        </w:rPr>
        <w:t>与年初预算相比,</w:t>
      </w:r>
      <w:r>
        <w:rPr>
          <w:rFonts w:ascii="仿宋_GB2312" w:hAnsi="仿宋_GB2312" w:eastAsia="仿宋_GB2312"/>
          <w:b w:val="0"/>
          <w:sz w:val="32"/>
        </w:rPr>
        <w:t>年初预算数5,772.50万元，决算数6,360.83万元，预决算差异率10.19%，主要原因是：年中追加人员工资、社保、公积金基数调增部分资金，追加自治区教育项目经费中小学幼儿园配备保安人员工资补助、城乡义务教育补助经费农村学生营养膳食补助等，导致预决算存在差异。</w:t>
      </w:r>
    </w:p>
    <w:p w14:paraId="6DAB89C1">
      <w:pPr>
        <w:spacing w:line="640" w:lineRule="exact"/>
        <w:ind w:firstLine="640"/>
        <w:jc w:val="both"/>
        <w:outlineLvl w:val="3"/>
      </w:pPr>
      <w:r>
        <w:rPr>
          <w:rFonts w:ascii="楷体_GB2312" w:hAnsi="楷体_GB2312" w:eastAsia="楷体_GB2312"/>
          <w:b/>
          <w:sz w:val="32"/>
        </w:rPr>
        <w:t>（二）一般公共预算财政拨款支出决算结构情况</w:t>
      </w:r>
    </w:p>
    <w:p w14:paraId="13830E9D">
      <w:pPr>
        <w:spacing w:line="580" w:lineRule="exact"/>
        <w:ind w:firstLine="640"/>
        <w:jc w:val="both"/>
      </w:pPr>
      <w:r>
        <w:rPr>
          <w:rFonts w:ascii="仿宋_GB2312" w:hAnsi="仿宋_GB2312" w:eastAsia="仿宋_GB2312"/>
          <w:b w:val="0"/>
          <w:sz w:val="32"/>
        </w:rPr>
        <w:t>1.教育支出(类)6,171.07万元,占97.02%。</w:t>
      </w:r>
    </w:p>
    <w:p w14:paraId="47F73729">
      <w:pPr>
        <w:spacing w:line="580" w:lineRule="exact"/>
        <w:ind w:firstLine="640"/>
        <w:jc w:val="both"/>
      </w:pPr>
      <w:r>
        <w:rPr>
          <w:rFonts w:ascii="仿宋_GB2312" w:hAnsi="仿宋_GB2312" w:eastAsia="仿宋_GB2312"/>
          <w:b w:val="0"/>
          <w:sz w:val="32"/>
        </w:rPr>
        <w:t>2.社会保障和就业支出(类)189.76万元,占2.98%。</w:t>
      </w:r>
    </w:p>
    <w:p w14:paraId="23007B0D">
      <w:pPr>
        <w:spacing w:line="640" w:lineRule="exact"/>
        <w:ind w:firstLine="640"/>
        <w:jc w:val="both"/>
        <w:outlineLvl w:val="3"/>
      </w:pPr>
      <w:r>
        <w:rPr>
          <w:rFonts w:ascii="楷体_GB2312" w:hAnsi="楷体_GB2312" w:eastAsia="楷体_GB2312"/>
          <w:b/>
          <w:sz w:val="32"/>
        </w:rPr>
        <w:t>（三）一般公共预算财政拨款支出决算具体情况</w:t>
      </w:r>
    </w:p>
    <w:p w14:paraId="6CBDD2C1">
      <w:pPr>
        <w:spacing w:line="580" w:lineRule="exact"/>
        <w:ind w:firstLine="640"/>
        <w:jc w:val="both"/>
      </w:pPr>
      <w:r>
        <w:rPr>
          <w:rFonts w:ascii="仿宋_GB2312" w:hAnsi="仿宋_GB2312" w:eastAsia="仿宋_GB2312"/>
          <w:b w:val="0"/>
          <w:sz w:val="32"/>
        </w:rPr>
        <w:t>1.教育支出(类)普通教育(款)初中教育(项):支出决算数为4,731.15万元，比上年决算减少775.80万元，下降14.09%,主要原因是：本年度减少深塔中学扩建用地资金、2023年教育脱贫攻坚同乡村振兴有效衔接资金项目。</w:t>
      </w:r>
    </w:p>
    <w:p w14:paraId="0FD8D020">
      <w:pPr>
        <w:spacing w:line="580" w:lineRule="exact"/>
        <w:ind w:firstLine="640"/>
        <w:jc w:val="both"/>
      </w:pPr>
      <w:r>
        <w:rPr>
          <w:rFonts w:ascii="仿宋_GB2312" w:hAnsi="仿宋_GB2312" w:eastAsia="仿宋_GB2312"/>
          <w:b w:val="0"/>
          <w:sz w:val="32"/>
        </w:rPr>
        <w:t>2.教育支出(类)普通教育(款)高中教育(项):支出决算数为1,038.04万元，比上年决算减少21.58万元，下降2.04%,主要原因是：高中教育免学费及助学金较上年减少。</w:t>
      </w:r>
    </w:p>
    <w:p w14:paraId="14CBC5E3">
      <w:pPr>
        <w:spacing w:line="580" w:lineRule="exact"/>
        <w:ind w:firstLine="640"/>
        <w:jc w:val="both"/>
      </w:pPr>
      <w:r>
        <w:rPr>
          <w:rFonts w:ascii="仿宋_GB2312" w:hAnsi="仿宋_GB2312" w:eastAsia="仿宋_GB2312"/>
          <w:b w:val="0"/>
          <w:sz w:val="32"/>
        </w:rPr>
        <w:t>3.教育支出(类)普通教育(款)其他普通教育支出(项):支出决算数为166.67万元，比上年决算增加166.67万元，增长100.00%,主要原因是：增加自治区教育项目经费中小学幼儿园配备保安人员工资补助、城乡义务教育补助经费农村学生营养膳食补助等。</w:t>
      </w:r>
    </w:p>
    <w:p w14:paraId="25F30E8C">
      <w:pPr>
        <w:spacing w:line="580" w:lineRule="exact"/>
        <w:ind w:firstLine="640"/>
        <w:jc w:val="both"/>
      </w:pPr>
      <w:r>
        <w:rPr>
          <w:rFonts w:ascii="仿宋_GB2312" w:hAnsi="仿宋_GB2312" w:eastAsia="仿宋_GB2312"/>
          <w:b w:val="0"/>
          <w:sz w:val="32"/>
        </w:rPr>
        <w:t>4.教育支出(类)职业教育(款)中等职业教育(项):支出决算数为235.22万元，比上年决算增加23.76万元，增长11.24%,主要原因是：本年度职业高中学生数比上年增加，奖学金，助学金等经费增加。</w:t>
      </w:r>
    </w:p>
    <w:p w14:paraId="1BE0106D">
      <w:pPr>
        <w:spacing w:line="580" w:lineRule="exact"/>
        <w:ind w:firstLine="640"/>
        <w:jc w:val="both"/>
      </w:pPr>
      <w:r>
        <w:rPr>
          <w:rFonts w:ascii="仿宋_GB2312" w:hAnsi="仿宋_GB2312" w:eastAsia="仿宋_GB2312"/>
          <w:b w:val="0"/>
          <w:sz w:val="32"/>
        </w:rPr>
        <w:t>5.社会保障和就业支出(类)行政事业单位养老支出(款)事业单位离退休(项):支出决算数为0.00万元，比上年决算减少24.52万元，下降100.00%,主要原因是：本年功能科目调整，事业单位离退休上年度单独列支，本年调整至主科目列支，导致经费较上年减少。</w:t>
      </w:r>
    </w:p>
    <w:p w14:paraId="72151A9D">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118.70万元，比上年决算减少313.47万元，下降72.53%,主要原因是：科目调整，职工1-10月养老保险缴费调整至初中教育科目</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导致经费减少</w:t>
      </w:r>
      <w:r>
        <w:rPr>
          <w:rFonts w:ascii="仿宋_GB2312" w:hAnsi="仿宋_GB2312" w:eastAsia="仿宋_GB2312"/>
          <w:b w:val="0"/>
          <w:sz w:val="32"/>
        </w:rPr>
        <w:t>。</w:t>
      </w:r>
    </w:p>
    <w:p w14:paraId="39BDF663">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71.05万元，比上年决算减少28.43万元，下降28.58%,主要原因是：本年新增退休人员较上年减少，职业年金缴费较上年减少。</w:t>
      </w:r>
    </w:p>
    <w:p w14:paraId="57D1CBD6">
      <w:pPr>
        <w:spacing w:line="640" w:lineRule="exact"/>
        <w:ind w:firstLine="640"/>
        <w:jc w:val="both"/>
        <w:outlineLvl w:val="2"/>
      </w:pPr>
      <w:r>
        <w:rPr>
          <w:rFonts w:ascii="黑体" w:hAnsi="黑体" w:eastAsia="黑体"/>
          <w:sz w:val="32"/>
        </w:rPr>
        <w:t>六、一般公共预算财政拨款基本支出决算情况说明</w:t>
      </w:r>
    </w:p>
    <w:p w14:paraId="30F976C1">
      <w:pPr>
        <w:spacing w:line="580" w:lineRule="exact"/>
        <w:ind w:firstLine="640"/>
        <w:jc w:val="both"/>
      </w:pPr>
      <w:r>
        <w:rPr>
          <w:rFonts w:ascii="仿宋_GB2312" w:hAnsi="仿宋_GB2312" w:eastAsia="仿宋_GB2312"/>
          <w:b w:val="0"/>
          <w:sz w:val="32"/>
        </w:rPr>
        <w:t>2024年度一般公共预算财政拨款基本支出4,925.04万元，其中：</w:t>
      </w:r>
      <w:r>
        <w:rPr>
          <w:rFonts w:ascii="仿宋_GB2312" w:hAnsi="仿宋_GB2312" w:eastAsia="仿宋_GB2312"/>
          <w:b/>
          <w:sz w:val="32"/>
        </w:rPr>
        <w:t>人员经费4,925.04万元，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包括：基本工资、津贴补贴、奖金、绩效工资、机关事业单位基本养老保险缴费、职业年金缴费、职工基本医疗保险缴费、其他社会保障缴费、住房公积金、其他工资福利支出、退休费、抚恤金、生活补助。</w:t>
      </w:r>
    </w:p>
    <w:p w14:paraId="418C81F7">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7FB57147">
      <w:pPr>
        <w:spacing w:line="640" w:lineRule="exact"/>
        <w:ind w:firstLine="640"/>
        <w:jc w:val="both"/>
        <w:outlineLvl w:val="2"/>
      </w:pPr>
      <w:r>
        <w:rPr>
          <w:rFonts w:ascii="黑体" w:hAnsi="黑体" w:eastAsia="黑体"/>
          <w:sz w:val="32"/>
        </w:rPr>
        <w:t>七、政府性基金预算财政拨款收入支出决算情况说明</w:t>
      </w:r>
    </w:p>
    <w:p w14:paraId="28874CD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53318C1">
      <w:pPr>
        <w:spacing w:line="640" w:lineRule="exact"/>
        <w:ind w:firstLine="640"/>
        <w:jc w:val="both"/>
        <w:outlineLvl w:val="2"/>
      </w:pPr>
      <w:r>
        <w:rPr>
          <w:rFonts w:ascii="黑体" w:hAnsi="黑体" w:eastAsia="黑体"/>
          <w:sz w:val="32"/>
        </w:rPr>
        <w:t>八、国有资本经营预算财政拨款收入支出决算情况说明</w:t>
      </w:r>
    </w:p>
    <w:p w14:paraId="44C9646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5BDEA24">
      <w:pPr>
        <w:spacing w:line="640" w:lineRule="exact"/>
        <w:ind w:firstLine="640"/>
        <w:jc w:val="both"/>
        <w:outlineLvl w:val="2"/>
      </w:pPr>
      <w:r>
        <w:rPr>
          <w:rFonts w:ascii="黑体" w:hAnsi="黑体" w:eastAsia="黑体"/>
          <w:sz w:val="32"/>
        </w:rPr>
        <w:t>九、财政拨款“三公”经费支出决算情况说明</w:t>
      </w:r>
    </w:p>
    <w:p w14:paraId="115303CF">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E5C1232">
      <w:pPr>
        <w:spacing w:line="580" w:lineRule="exact"/>
        <w:ind w:firstLine="640"/>
        <w:jc w:val="both"/>
      </w:pPr>
      <w:r>
        <w:rPr>
          <w:rFonts w:ascii="仿宋_GB2312" w:hAnsi="仿宋_GB2312" w:eastAsia="仿宋_GB2312"/>
          <w:b/>
          <w:sz w:val="32"/>
        </w:rPr>
        <w:t>具体情况如下：</w:t>
      </w:r>
    </w:p>
    <w:p w14:paraId="46C2C47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7FF6EF2">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差异车辆为一般业务用车，预算未安排公务用车运行维护费。</w:t>
      </w:r>
    </w:p>
    <w:p w14:paraId="0B43BC0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E19486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1251E9FF">
      <w:pPr>
        <w:spacing w:line="640" w:lineRule="exact"/>
        <w:ind w:firstLine="640"/>
        <w:jc w:val="both"/>
        <w:outlineLvl w:val="2"/>
      </w:pPr>
      <w:r>
        <w:rPr>
          <w:rFonts w:ascii="黑体" w:hAnsi="黑体" w:eastAsia="黑体"/>
          <w:sz w:val="32"/>
        </w:rPr>
        <w:t>十、其他重要事项的情况说明</w:t>
      </w:r>
    </w:p>
    <w:p w14:paraId="15411957">
      <w:pPr>
        <w:spacing w:line="640" w:lineRule="exact"/>
        <w:ind w:firstLine="640"/>
        <w:jc w:val="both"/>
        <w:outlineLvl w:val="3"/>
      </w:pPr>
      <w:r>
        <w:rPr>
          <w:rFonts w:ascii="楷体_GB2312" w:hAnsi="楷体_GB2312" w:eastAsia="楷体_GB2312"/>
          <w:b/>
          <w:sz w:val="32"/>
        </w:rPr>
        <w:t>（一）机关运行经费及公用经费支出情况</w:t>
      </w:r>
    </w:p>
    <w:p w14:paraId="2354E81C">
      <w:pPr>
        <w:spacing w:line="580" w:lineRule="exact"/>
        <w:ind w:firstLine="640"/>
        <w:jc w:val="both"/>
      </w:pPr>
      <w:r>
        <w:rPr>
          <w:rFonts w:ascii="仿宋_GB2312" w:hAnsi="仿宋_GB2312" w:eastAsia="仿宋_GB2312"/>
          <w:b w:val="0"/>
          <w:sz w:val="32"/>
        </w:rPr>
        <w:t>2024年度塔什库尔干塔吉克自治县深塔中学（事业单位）公用经费支出0.00万元，比上年增加0.00万元，增长0.00%，主要原因是：2023年与2024年均未安排公用经费支出。</w:t>
      </w:r>
    </w:p>
    <w:p w14:paraId="78E6BC1D">
      <w:pPr>
        <w:spacing w:line="640" w:lineRule="exact"/>
        <w:ind w:firstLine="640"/>
        <w:jc w:val="both"/>
        <w:outlineLvl w:val="3"/>
      </w:pPr>
      <w:r>
        <w:rPr>
          <w:rFonts w:ascii="楷体_GB2312" w:hAnsi="楷体_GB2312" w:eastAsia="楷体_GB2312"/>
          <w:b/>
          <w:sz w:val="32"/>
        </w:rPr>
        <w:t>（二）政府采购情况</w:t>
      </w:r>
    </w:p>
    <w:p w14:paraId="6A33BE15">
      <w:pPr>
        <w:spacing w:line="580" w:lineRule="exact"/>
        <w:ind w:firstLine="640"/>
        <w:jc w:val="both"/>
      </w:pPr>
      <w:r>
        <w:rPr>
          <w:rFonts w:ascii="仿宋_GB2312" w:hAnsi="仿宋_GB2312" w:eastAsia="仿宋_GB2312"/>
          <w:b w:val="0"/>
          <w:sz w:val="32"/>
        </w:rPr>
        <w:t>2024年度政府采购支出总额112.08万元，其中：政府采购货物支出54.13万元、政府采购工程支出55.82万元、政府采购服务支出2.13万元。</w:t>
      </w:r>
    </w:p>
    <w:p w14:paraId="17CFCFDE">
      <w:pPr>
        <w:spacing w:line="580" w:lineRule="exact"/>
        <w:ind w:firstLine="640"/>
        <w:jc w:val="both"/>
      </w:pPr>
      <w:r>
        <w:rPr>
          <w:rFonts w:ascii="仿宋_GB2312" w:hAnsi="仿宋_GB2312" w:eastAsia="仿宋_GB2312"/>
          <w:b w:val="0"/>
          <w:sz w:val="32"/>
        </w:rPr>
        <w:t>授予中小企业合同金额100.55万元，占政府采购支出总额的89.71%，其中：授予小微企业合同金额97.05万元，占政府采购支出总额的86.59%。</w:t>
      </w:r>
    </w:p>
    <w:p w14:paraId="542BC231">
      <w:pPr>
        <w:spacing w:line="640" w:lineRule="exact"/>
        <w:ind w:firstLine="640"/>
        <w:jc w:val="both"/>
        <w:outlineLvl w:val="3"/>
      </w:pPr>
      <w:r>
        <w:rPr>
          <w:rFonts w:ascii="楷体_GB2312" w:hAnsi="楷体_GB2312" w:eastAsia="楷体_GB2312"/>
          <w:b/>
          <w:sz w:val="32"/>
        </w:rPr>
        <w:t>（三）国有资产占用情况说明</w:t>
      </w:r>
    </w:p>
    <w:p w14:paraId="5D2C876B">
      <w:pPr>
        <w:spacing w:line="580" w:lineRule="exact"/>
        <w:ind w:firstLine="640"/>
        <w:jc w:val="both"/>
      </w:pPr>
      <w:r>
        <w:rPr>
          <w:rFonts w:ascii="仿宋_GB2312" w:hAnsi="仿宋_GB2312" w:eastAsia="仿宋_GB2312"/>
          <w:b w:val="0"/>
          <w:sz w:val="32"/>
        </w:rPr>
        <w:t>截至2024年12月31日，房屋14,644.72平方米，价值1,617.87万元。车辆2辆，价值56.49万元，其中：副部（省）级及以上领导用车0辆、主要负责人用车0辆、机要通信用车0辆、应急保障用车0辆、执法执勤用车0辆、特种专业技术用车0辆、离退休干部服务用车0辆、其他用车2辆，其他用车主要是：单位业务用车。单价100万元（含）以上设备（不含车辆）0台（套）。</w:t>
      </w:r>
    </w:p>
    <w:p w14:paraId="174EB37E">
      <w:pPr>
        <w:spacing w:line="640" w:lineRule="exact"/>
        <w:ind w:firstLine="640"/>
        <w:jc w:val="both"/>
        <w:outlineLvl w:val="2"/>
      </w:pPr>
      <w:r>
        <w:rPr>
          <w:rFonts w:ascii="黑体" w:hAnsi="黑体" w:eastAsia="黑体"/>
          <w:sz w:val="32"/>
        </w:rPr>
        <w:t>十一、预算绩效的情况说明</w:t>
      </w:r>
    </w:p>
    <w:p w14:paraId="018752DD">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w:t>
      </w:r>
      <w:r>
        <w:rPr>
          <w:rFonts w:hint="eastAsia" w:ascii="仿宋_GB2312" w:hAnsi="仿宋_GB2312" w:eastAsia="仿宋_GB2312"/>
          <w:b w:val="0"/>
          <w:sz w:val="32"/>
          <w:lang w:val="en-US" w:eastAsia="zh-CN"/>
        </w:rPr>
        <w:t>本</w:t>
      </w:r>
      <w:r>
        <w:rPr>
          <w:rFonts w:ascii="仿宋_GB2312" w:hAnsi="仿宋_GB2312" w:eastAsia="仿宋_GB2312"/>
          <w:b w:val="0"/>
          <w:sz w:val="32"/>
        </w:rPr>
        <w:t>单位无预算绩效项目。发现的问题及原因：2024年</w:t>
      </w:r>
      <w:r>
        <w:rPr>
          <w:rFonts w:hint="eastAsia" w:ascii="仿宋_GB2312" w:hAnsi="仿宋_GB2312" w:eastAsia="仿宋_GB2312"/>
          <w:b w:val="0"/>
          <w:sz w:val="32"/>
          <w:lang w:val="en-US" w:eastAsia="zh-CN"/>
        </w:rPr>
        <w:t>本</w:t>
      </w:r>
      <w:r>
        <w:rPr>
          <w:rFonts w:ascii="仿宋_GB2312" w:hAnsi="仿宋_GB2312" w:eastAsia="仿宋_GB2312"/>
          <w:b w:val="0"/>
          <w:sz w:val="32"/>
        </w:rPr>
        <w:t>单位无预算绩效项目。下一步改进措施：2024年</w:t>
      </w:r>
      <w:r>
        <w:rPr>
          <w:rFonts w:hint="eastAsia" w:ascii="仿宋_GB2312" w:hAnsi="仿宋_GB2312" w:eastAsia="仿宋_GB2312"/>
          <w:b w:val="0"/>
          <w:sz w:val="32"/>
          <w:lang w:val="en-US" w:eastAsia="zh-CN"/>
        </w:rPr>
        <w:t>本</w:t>
      </w:r>
      <w:r>
        <w:rPr>
          <w:rFonts w:ascii="仿宋_GB2312" w:hAnsi="仿宋_GB2312" w:eastAsia="仿宋_GB2312"/>
          <w:b w:val="0"/>
          <w:sz w:val="32"/>
        </w:rPr>
        <w:t>单位无预算绩效项目。</w:t>
      </w:r>
    </w:p>
    <w:p w14:paraId="69D14F9F">
      <w:r>
        <w:br w:type="page"/>
      </w:r>
    </w:p>
    <w:p w14:paraId="5A6DD802">
      <w:pPr>
        <w:spacing w:line="640" w:lineRule="exact"/>
        <w:ind w:firstLine="640"/>
        <w:jc w:val="both"/>
        <w:outlineLvl w:val="2"/>
      </w:pPr>
      <w:r>
        <w:rPr>
          <w:rFonts w:ascii="黑体" w:hAnsi="黑体" w:eastAsia="黑体"/>
          <w:sz w:val="32"/>
        </w:rPr>
        <w:t>十二、其他需说明的事项</w:t>
      </w:r>
    </w:p>
    <w:p w14:paraId="2D230B9A">
      <w:pPr>
        <w:spacing w:line="580" w:lineRule="exact"/>
        <w:ind w:firstLine="640"/>
        <w:jc w:val="both"/>
      </w:pPr>
      <w:r>
        <w:rPr>
          <w:rFonts w:ascii="仿宋_GB2312" w:hAnsi="仿宋_GB2312" w:eastAsia="仿宋_GB2312"/>
          <w:b w:val="0"/>
          <w:sz w:val="32"/>
        </w:rPr>
        <w:t>本年度本单位整体绩效自评表由</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教育和科学技术局(汇总)编报并公开。</w:t>
      </w:r>
    </w:p>
    <w:p w14:paraId="1E0069D0">
      <w:r>
        <w:br w:type="page"/>
      </w:r>
    </w:p>
    <w:p w14:paraId="2FED6BA4">
      <w:pPr>
        <w:spacing w:line="240" w:lineRule="auto"/>
        <w:jc w:val="center"/>
        <w:outlineLvl w:val="1"/>
      </w:pPr>
      <w:r>
        <w:rPr>
          <w:rFonts w:ascii="黑体" w:hAnsi="黑体" w:eastAsia="黑体"/>
          <w:sz w:val="32"/>
        </w:rPr>
        <w:t>第三部分 专业名词解释</w:t>
      </w:r>
    </w:p>
    <w:p w14:paraId="76E7FC7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C0D8CE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706758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195D1B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082878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2397BB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F13535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4A5362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D4F617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7006B6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8C388D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581190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CDCB4F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BD92A3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F8B848F">
      <w:r>
        <w:br w:type="page"/>
      </w:r>
    </w:p>
    <w:p w14:paraId="2EA7C413">
      <w:pPr>
        <w:spacing w:line="240" w:lineRule="auto"/>
        <w:jc w:val="center"/>
        <w:outlineLvl w:val="1"/>
      </w:pPr>
      <w:r>
        <w:rPr>
          <w:rFonts w:ascii="黑体" w:hAnsi="黑体" w:eastAsia="黑体"/>
          <w:sz w:val="32"/>
        </w:rPr>
        <w:t>第四部分 部门决算报表（见附表）</w:t>
      </w:r>
    </w:p>
    <w:p w14:paraId="0DE0BDD2">
      <w:pPr>
        <w:spacing w:line="240" w:lineRule="auto"/>
        <w:ind w:firstLine="640"/>
        <w:jc w:val="both"/>
      </w:pPr>
      <w:r>
        <w:rPr>
          <w:rFonts w:ascii="仿宋_GB2312" w:hAnsi="仿宋_GB2312" w:eastAsia="仿宋_GB2312"/>
          <w:b w:val="0"/>
          <w:sz w:val="32"/>
        </w:rPr>
        <w:t>一、《收入支出决算总表》</w:t>
      </w:r>
    </w:p>
    <w:p w14:paraId="146D6FC4">
      <w:pPr>
        <w:spacing w:line="240" w:lineRule="auto"/>
        <w:ind w:firstLine="640"/>
        <w:jc w:val="both"/>
      </w:pPr>
      <w:r>
        <w:rPr>
          <w:rFonts w:ascii="仿宋_GB2312" w:hAnsi="仿宋_GB2312" w:eastAsia="仿宋_GB2312"/>
          <w:b w:val="0"/>
          <w:sz w:val="32"/>
        </w:rPr>
        <w:t>二、《收入决算表》</w:t>
      </w:r>
    </w:p>
    <w:p w14:paraId="43ADC0F3">
      <w:pPr>
        <w:spacing w:line="240" w:lineRule="auto"/>
        <w:ind w:firstLine="640"/>
        <w:jc w:val="both"/>
      </w:pPr>
      <w:r>
        <w:rPr>
          <w:rFonts w:ascii="仿宋_GB2312" w:hAnsi="仿宋_GB2312" w:eastAsia="仿宋_GB2312"/>
          <w:b w:val="0"/>
          <w:sz w:val="32"/>
        </w:rPr>
        <w:t>三、《支出决算表》</w:t>
      </w:r>
    </w:p>
    <w:p w14:paraId="2B6B75CA">
      <w:pPr>
        <w:spacing w:line="240" w:lineRule="auto"/>
        <w:ind w:firstLine="640"/>
        <w:jc w:val="both"/>
      </w:pPr>
      <w:r>
        <w:rPr>
          <w:rFonts w:ascii="仿宋_GB2312" w:hAnsi="仿宋_GB2312" w:eastAsia="仿宋_GB2312"/>
          <w:b w:val="0"/>
          <w:sz w:val="32"/>
        </w:rPr>
        <w:t>四、《财政拨款收入支出决算总表》</w:t>
      </w:r>
    </w:p>
    <w:p w14:paraId="5593C78F">
      <w:pPr>
        <w:spacing w:line="240" w:lineRule="auto"/>
        <w:ind w:firstLine="640"/>
        <w:jc w:val="both"/>
      </w:pPr>
      <w:r>
        <w:rPr>
          <w:rFonts w:ascii="仿宋_GB2312" w:hAnsi="仿宋_GB2312" w:eastAsia="仿宋_GB2312"/>
          <w:b w:val="0"/>
          <w:sz w:val="32"/>
        </w:rPr>
        <w:t>五、《一般公共预算财政拨款支出决算表》</w:t>
      </w:r>
    </w:p>
    <w:p w14:paraId="0920245D">
      <w:pPr>
        <w:spacing w:line="240" w:lineRule="auto"/>
        <w:ind w:firstLine="640"/>
        <w:jc w:val="both"/>
      </w:pPr>
      <w:r>
        <w:rPr>
          <w:rFonts w:ascii="仿宋_GB2312" w:hAnsi="仿宋_GB2312" w:eastAsia="仿宋_GB2312"/>
          <w:b w:val="0"/>
          <w:sz w:val="32"/>
        </w:rPr>
        <w:t>六、《一般公共预算财政拨款基本支出决算表》</w:t>
      </w:r>
    </w:p>
    <w:p w14:paraId="6BD5CB27">
      <w:pPr>
        <w:spacing w:line="240" w:lineRule="auto"/>
        <w:ind w:firstLine="640"/>
        <w:jc w:val="both"/>
      </w:pPr>
      <w:r>
        <w:rPr>
          <w:rFonts w:ascii="仿宋_GB2312" w:hAnsi="仿宋_GB2312" w:eastAsia="仿宋_GB2312"/>
          <w:b w:val="0"/>
          <w:sz w:val="32"/>
        </w:rPr>
        <w:t>七、《政府性基金预算财政拨款收入支出决算表》</w:t>
      </w:r>
    </w:p>
    <w:p w14:paraId="1C3D1505">
      <w:pPr>
        <w:spacing w:line="240" w:lineRule="auto"/>
        <w:ind w:firstLine="640"/>
        <w:jc w:val="both"/>
      </w:pPr>
      <w:r>
        <w:rPr>
          <w:rFonts w:ascii="仿宋_GB2312" w:hAnsi="仿宋_GB2312" w:eastAsia="仿宋_GB2312"/>
          <w:b w:val="0"/>
          <w:sz w:val="32"/>
        </w:rPr>
        <w:t>八、《国有资本经营预算财政拨款收入支出决算表》</w:t>
      </w:r>
    </w:p>
    <w:p w14:paraId="22A92BFA">
      <w:pPr>
        <w:spacing w:line="240" w:lineRule="auto"/>
        <w:ind w:firstLine="640"/>
        <w:jc w:val="both"/>
      </w:pPr>
      <w:r>
        <w:rPr>
          <w:rFonts w:ascii="仿宋_GB2312" w:hAnsi="仿宋_GB2312" w:eastAsia="仿宋_GB2312"/>
          <w:b w:val="0"/>
          <w:sz w:val="32"/>
        </w:rPr>
        <w:t>九、《财政拨款“三公”经费支出决算表》</w:t>
      </w:r>
    </w:p>
    <w:p w14:paraId="5A0B6CAF">
      <w:pPr>
        <w:spacing w:line="240" w:lineRule="auto"/>
        <w:ind w:firstLine="640"/>
        <w:jc w:val="both"/>
      </w:pPr>
    </w:p>
    <w:p w14:paraId="1D095F0A">
      <w:pPr>
        <w:spacing w:line="240" w:lineRule="auto"/>
        <w:ind w:firstLine="640"/>
        <w:jc w:val="both"/>
      </w:pPr>
    </w:p>
    <w:p w14:paraId="13C93F5B">
      <w:pPr>
        <w:spacing w:line="240" w:lineRule="auto"/>
        <w:ind w:firstLine="640"/>
        <w:jc w:val="both"/>
      </w:pPr>
    </w:p>
    <w:p w14:paraId="5D112F3D">
      <w:pPr>
        <w:spacing w:line="240" w:lineRule="auto"/>
        <w:ind w:firstLine="640"/>
        <w:jc w:val="both"/>
      </w:pPr>
    </w:p>
    <w:p w14:paraId="269191B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5864051"/>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5A2219"/>
    <w:rsid w:val="718F7F65"/>
    <w:rsid w:val="73423603"/>
    <w:rsid w:val="737A5923"/>
    <w:rsid w:val="73DE4104"/>
    <w:rsid w:val="73FB6630"/>
    <w:rsid w:val="74CE04EC"/>
    <w:rsid w:val="74E76DCD"/>
    <w:rsid w:val="76660D7C"/>
    <w:rsid w:val="77ED6F44"/>
    <w:rsid w:val="795A0A34"/>
    <w:rsid w:val="7A0D3BC7"/>
    <w:rsid w:val="7A3A3CDB"/>
    <w:rsid w:val="7E1E41A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5324</Words>
  <Characters>6052</Characters>
  <Lines>0</Lines>
  <Paragraphs>0</Paragraphs>
  <TotalTime>7</TotalTime>
  <ScaleCrop>false</ScaleCrop>
  <LinksUpToDate>false</LinksUpToDate>
  <CharactersWithSpaces>6062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