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塔什库尔干塔吉克自治县教育和科学技术局2024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FF66E99">
      <w:r>
        <w:br w:type="page"/>
      </w:r>
    </w:p>
    <w:p w14:paraId="40F68695">
      <w:pPr>
        <w:spacing w:line="640" w:lineRule="exact"/>
        <w:jc w:val="center"/>
        <w:outlineLvl w:val="1"/>
      </w:pPr>
      <w:r>
        <w:rPr>
          <w:rFonts w:ascii="黑体" w:hAnsi="黑体" w:eastAsia="黑体"/>
          <w:sz w:val="32"/>
        </w:rPr>
        <w:t>第一部分 单位概况</w:t>
      </w:r>
    </w:p>
    <w:p w14:paraId="79C6B192">
      <w:pPr>
        <w:spacing w:line="640" w:lineRule="exact"/>
        <w:ind w:firstLine="640"/>
        <w:jc w:val="both"/>
        <w:outlineLvl w:val="2"/>
      </w:pPr>
      <w:r>
        <w:rPr>
          <w:rFonts w:ascii="黑体" w:hAnsi="黑体" w:eastAsia="黑体"/>
          <w:sz w:val="32"/>
        </w:rPr>
        <w:t>一、主要职能</w:t>
      </w:r>
    </w:p>
    <w:p w14:paraId="559956EC">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贯彻执行党和国家的教育方针政策和有关教育的法律法规；研究全县教育改革与发展的重大问题；指导、协调各乡（镇）、县直有关部门（单位）的教育工作。负责教育方针政策的宣传、舆论监督和行政执法监督工作；指导教育系统纪律检查和行政监察工作；协助县委、县政府处理直属学校中的突发事件，维护学校。</w:t>
      </w:r>
    </w:p>
    <w:p w14:paraId="592222BC">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研究制定并组织实施全县教育事业发展规划和年度教育工作计划，拟定全县教育改革、实施素质教育的政策和教育事业发展的重点、结构、速度和步骤的意见，指导、协调并检查实施工作。</w:t>
      </w:r>
    </w:p>
    <w:p w14:paraId="7948C851">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统筹管理全县基础教育（含特殊教育、幼儿教育）、职业技术教育、成人教育、社会力量举办的高中段及其以下教育、成人高等教育自学考试和继续教育等工作；管理所辖小学、中学、职业技术学校、成人教育机构、学前教育机构、校外教育机构和乡（镇）教育行政组织；审核义务教育阶段及其以下教育机构的设置、更名、撤销与调整；指导各级各类学校的教育教学改革。</w:t>
      </w:r>
    </w:p>
    <w:p w14:paraId="4334A5C6">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规划并指导全县中小学、幼儿园、中等职业教育学校的青少年法制教育、德育、体育、卫生、艺术教育和国防教育工作；指导全县中小学校少先队、共青团工作。</w:t>
      </w:r>
    </w:p>
    <w:p w14:paraId="0AEA8DE8">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管理有关招生考试工作。编制中小学年度招生计划并组织实施，负责义务教育阶段学生的学籍管理工作；负责普通与成人高校招生、中专（高中）招生工作；负责有关考试的考务考籍管理和证书审核发放工作。</w:t>
      </w:r>
    </w:p>
    <w:p w14:paraId="2EEC2395">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主管全县的教师工作，拟定教师管理的有关政策、规章制度，统筹规划并指导学校教师和管理人员的队伍建设工作。管理和指导中小学校长、在职教师和教育行政干部的学习、培训工作；组织实施教师资格制度；负责和管理教职工的年度岗位考核和任期考核工作；组织、指导教育系统教师及其他专业技术职务的推荐评审和聘任工作；指导并组织实施教育系统的劳动工资工作；负责管理权限内的学校领导干部考察任免工作。</w:t>
      </w:r>
    </w:p>
    <w:p w14:paraId="4B94163F">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统筹管理本部门的教育经费；参与拟定筹措教育经费、教育拨款、教育基建投资的方针、政策；对学校（单位）的基建、财务进行审核监督，管理教育系统的国有资产；负责全县教育基本信息的统计、分析和发布。</w:t>
      </w:r>
    </w:p>
    <w:p w14:paraId="56A01B33">
      <w:pPr>
        <w:spacing w:line="640" w:lineRule="exact"/>
        <w:ind w:firstLine="640"/>
        <w:jc w:val="both"/>
        <w:outlineLvl w:val="2"/>
      </w:pPr>
      <w:r>
        <w:rPr>
          <w:rFonts w:ascii="黑体" w:hAnsi="黑体" w:eastAsia="黑体"/>
          <w:sz w:val="32"/>
        </w:rPr>
        <w:t>二、机构设置及人员情况</w:t>
      </w:r>
    </w:p>
    <w:p w14:paraId="74E8B299">
      <w:pPr>
        <w:spacing w:line="580" w:lineRule="exact"/>
        <w:ind w:firstLine="640"/>
        <w:jc w:val="both"/>
      </w:pPr>
      <w:r>
        <w:rPr>
          <w:rFonts w:ascii="仿宋_GB2312" w:hAnsi="仿宋_GB2312" w:eastAsia="仿宋_GB2312"/>
          <w:sz w:val="32"/>
        </w:rPr>
        <w:t>塔什库尔干塔吉克自治县教育和科学技术局2024年度，实有人数55人，其中：在职人员23人，减少2人；离休人员0人，增加0人；退休人员32人,增加1人。</w:t>
      </w:r>
    </w:p>
    <w:p w14:paraId="437CDD86">
      <w:pPr>
        <w:spacing w:line="580" w:lineRule="exact"/>
        <w:ind w:firstLine="640"/>
        <w:jc w:val="both"/>
      </w:pPr>
      <w:r>
        <w:rPr>
          <w:rFonts w:ascii="仿宋_GB2312" w:hAnsi="仿宋_GB2312" w:eastAsia="仿宋_GB2312"/>
          <w:sz w:val="32"/>
        </w:rPr>
        <w:t>单位无下属预算单位，下设13个科室，分别是：档案室、人事部、科技股、督导室、教研室、核算中心、党建办、资助中心、办公室、安全办、招生办、项目办、电教办。</w:t>
      </w:r>
    </w:p>
    <w:p w14:paraId="059FEC3F">
      <w:r>
        <w:br w:type="page"/>
      </w:r>
    </w:p>
    <w:p w14:paraId="2C3B2DF7">
      <w:pPr>
        <w:spacing w:line="240" w:lineRule="auto"/>
        <w:jc w:val="center"/>
        <w:outlineLvl w:val="1"/>
      </w:pPr>
      <w:r>
        <w:rPr>
          <w:rFonts w:ascii="黑体" w:hAnsi="黑体" w:eastAsia="黑体"/>
          <w:sz w:val="32"/>
        </w:rPr>
        <w:t>第二部分 部门决算情况说明</w:t>
      </w:r>
    </w:p>
    <w:p w14:paraId="4386CA2E">
      <w:pPr>
        <w:spacing w:line="640" w:lineRule="exact"/>
        <w:ind w:firstLine="640"/>
        <w:jc w:val="both"/>
        <w:outlineLvl w:val="2"/>
      </w:pPr>
      <w:r>
        <w:rPr>
          <w:rFonts w:ascii="黑体" w:hAnsi="黑体" w:eastAsia="黑体"/>
          <w:sz w:val="32"/>
        </w:rPr>
        <w:t>一、收入支出决算总体情况说明</w:t>
      </w:r>
    </w:p>
    <w:p w14:paraId="7E00219E">
      <w:pPr>
        <w:spacing w:line="580" w:lineRule="exact"/>
        <w:ind w:firstLine="640"/>
        <w:jc w:val="both"/>
      </w:pPr>
      <w:r>
        <w:rPr>
          <w:rFonts w:ascii="仿宋_GB2312" w:hAnsi="仿宋_GB2312" w:eastAsia="仿宋_GB2312"/>
          <w:b/>
          <w:sz w:val="32"/>
        </w:rPr>
        <w:t>2024年度收入总计6,582.08万元，</w:t>
      </w:r>
      <w:r>
        <w:rPr>
          <w:rFonts w:ascii="仿宋_GB2312" w:hAnsi="仿宋_GB2312" w:eastAsia="仿宋_GB2312"/>
          <w:b w:val="0"/>
          <w:sz w:val="32"/>
        </w:rPr>
        <w:t>其中：本年收入合计6,582.08万元，使用非财政拨款结余（含专用结余）0.00万元，年初结转和结余0.00万元。</w:t>
      </w:r>
    </w:p>
    <w:p w14:paraId="17BB2D98">
      <w:pPr>
        <w:spacing w:line="580" w:lineRule="exact"/>
        <w:ind w:firstLine="640"/>
        <w:jc w:val="both"/>
      </w:pPr>
      <w:r>
        <w:rPr>
          <w:rFonts w:ascii="仿宋_GB2312" w:hAnsi="仿宋_GB2312" w:eastAsia="仿宋_GB2312"/>
          <w:b/>
          <w:sz w:val="32"/>
        </w:rPr>
        <w:t>2024年度支出总计6,582.08万元，</w:t>
      </w:r>
      <w:r>
        <w:rPr>
          <w:rFonts w:ascii="仿宋_GB2312" w:hAnsi="仿宋_GB2312" w:eastAsia="仿宋_GB2312"/>
          <w:b w:val="0"/>
          <w:sz w:val="32"/>
        </w:rPr>
        <w:t>其中：本年支出合计6,582.08万元，结余分配0.00万元，年末结转和结余0.00万元。</w:t>
      </w:r>
    </w:p>
    <w:p w14:paraId="197DF88F">
      <w:pPr>
        <w:spacing w:line="580" w:lineRule="exact"/>
        <w:ind w:firstLine="640"/>
        <w:jc w:val="both"/>
      </w:pPr>
      <w:r>
        <w:rPr>
          <w:rFonts w:ascii="仿宋_GB2312" w:hAnsi="仿宋_GB2312" w:eastAsia="仿宋_GB2312"/>
          <w:b w:val="0"/>
          <w:sz w:val="32"/>
        </w:rPr>
        <w:t>收入支出总体与上年相比，增加380.01万元，增长6.13%，主要原因是：增加2024年三区人才计划教师专项工作补助经费，2024年乡村教师补助，2024年教育</w:t>
      </w:r>
      <w:r>
        <w:rPr>
          <w:rFonts w:hint="eastAsia" w:ascii="仿宋_GB2312" w:hAnsi="仿宋_GB2312" w:eastAsia="仿宋_GB2312"/>
          <w:b w:val="0"/>
          <w:sz w:val="32"/>
          <w:lang w:eastAsia="zh-CN"/>
        </w:rPr>
        <w:t>脱贫攻坚成果同乡村振兴有效衔接</w:t>
      </w:r>
      <w:r>
        <w:rPr>
          <w:rFonts w:ascii="仿宋_GB2312" w:hAnsi="仿宋_GB2312" w:eastAsia="仿宋_GB2312"/>
          <w:b w:val="0"/>
          <w:sz w:val="32"/>
        </w:rPr>
        <w:t>资金项目，塔吉克阿巴提镇小学宿舍楼建设项目，2023年</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九年一贯制学校建设项目，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班迪尔乡、达布达乡、柯克亚乡和马尔洋乡几个村级幼儿园工程项目，2023年</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教育科技馆建设项目。</w:t>
      </w:r>
    </w:p>
    <w:p w14:paraId="32136779">
      <w:pPr>
        <w:spacing w:line="640" w:lineRule="exact"/>
        <w:ind w:firstLine="640"/>
        <w:jc w:val="both"/>
        <w:outlineLvl w:val="2"/>
      </w:pPr>
      <w:r>
        <w:rPr>
          <w:rFonts w:ascii="黑体" w:hAnsi="黑体" w:eastAsia="黑体"/>
          <w:sz w:val="32"/>
        </w:rPr>
        <w:t>二、收入决算情况说明</w:t>
      </w:r>
    </w:p>
    <w:p w14:paraId="4DB81445">
      <w:pPr>
        <w:spacing w:line="580" w:lineRule="exact"/>
        <w:ind w:firstLine="640"/>
        <w:jc w:val="both"/>
      </w:pPr>
      <w:r>
        <w:rPr>
          <w:rFonts w:ascii="仿宋_GB2312" w:hAnsi="仿宋_GB2312" w:eastAsia="仿宋_GB2312"/>
          <w:b/>
          <w:sz w:val="32"/>
        </w:rPr>
        <w:t>本年收入6,582.08万元，</w:t>
      </w:r>
      <w:r>
        <w:rPr>
          <w:rFonts w:ascii="仿宋_GB2312" w:hAnsi="仿宋_GB2312" w:eastAsia="仿宋_GB2312"/>
          <w:b w:val="0"/>
          <w:sz w:val="32"/>
        </w:rPr>
        <w:t>其中：财政拨款收入6,167.48万元，占93.70%；上级补助收入0.00万元，占0.00%；事业收入0.00万元，占0.00%；经营收入0.00万元，占0.00%；附属单位上缴收入0.00万元，占0.00%；其他收入414.60万元，占6.30%。</w:t>
      </w:r>
    </w:p>
    <w:p w14:paraId="3978A1E8">
      <w:pPr>
        <w:spacing w:line="640" w:lineRule="exact"/>
        <w:ind w:firstLine="640"/>
        <w:jc w:val="both"/>
        <w:outlineLvl w:val="2"/>
      </w:pPr>
      <w:r>
        <w:rPr>
          <w:rFonts w:ascii="黑体" w:hAnsi="黑体" w:eastAsia="黑体"/>
          <w:sz w:val="32"/>
        </w:rPr>
        <w:t>三、支出决算情况说明</w:t>
      </w:r>
    </w:p>
    <w:p w14:paraId="093F17BC">
      <w:pPr>
        <w:spacing w:line="580" w:lineRule="exact"/>
        <w:ind w:firstLine="640"/>
        <w:jc w:val="both"/>
      </w:pPr>
      <w:r>
        <w:rPr>
          <w:rFonts w:ascii="仿宋_GB2312" w:hAnsi="仿宋_GB2312" w:eastAsia="仿宋_GB2312"/>
          <w:b/>
          <w:sz w:val="32"/>
        </w:rPr>
        <w:t>本年支出6,582.08万元，</w:t>
      </w:r>
      <w:r>
        <w:rPr>
          <w:rFonts w:ascii="仿宋_GB2312" w:hAnsi="仿宋_GB2312" w:eastAsia="仿宋_GB2312"/>
          <w:b w:val="0"/>
          <w:sz w:val="32"/>
        </w:rPr>
        <w:t>其中：基本支出585.70万元，占8.90%；项目支出5,996.39万元，占91.10%；上缴上级支出0.00万元，占0.00%；经营支出0.00万元，占0.00%；对附属单位补助支出0.00万元，占0.00%。</w:t>
      </w:r>
    </w:p>
    <w:p w14:paraId="76D01956">
      <w:pPr>
        <w:spacing w:line="640" w:lineRule="exact"/>
        <w:ind w:firstLine="640"/>
        <w:jc w:val="both"/>
        <w:outlineLvl w:val="2"/>
      </w:pPr>
      <w:r>
        <w:rPr>
          <w:rFonts w:ascii="黑体" w:hAnsi="黑体" w:eastAsia="黑体"/>
          <w:sz w:val="32"/>
        </w:rPr>
        <w:t>四、财政拨款收入支出决算总体情况说明</w:t>
      </w:r>
    </w:p>
    <w:p w14:paraId="2B1B00B5">
      <w:pPr>
        <w:spacing w:line="580" w:lineRule="exact"/>
        <w:ind w:firstLine="640"/>
        <w:jc w:val="both"/>
      </w:pPr>
      <w:r>
        <w:rPr>
          <w:rFonts w:ascii="仿宋_GB2312" w:hAnsi="仿宋_GB2312" w:eastAsia="仿宋_GB2312"/>
          <w:b/>
          <w:sz w:val="32"/>
        </w:rPr>
        <w:t>2024年度财政拨款收入总计6,167.48万元，</w:t>
      </w:r>
      <w:r>
        <w:rPr>
          <w:rFonts w:ascii="仿宋_GB2312" w:hAnsi="仿宋_GB2312" w:eastAsia="仿宋_GB2312"/>
          <w:b w:val="0"/>
          <w:sz w:val="32"/>
        </w:rPr>
        <w:t>其中：年初财政拨款结转和结余0.00万元，本年财政拨款收入6,167.48万元。</w:t>
      </w:r>
      <w:r>
        <w:rPr>
          <w:rFonts w:ascii="仿宋_GB2312" w:hAnsi="仿宋_GB2312" w:eastAsia="仿宋_GB2312"/>
          <w:b/>
          <w:sz w:val="32"/>
        </w:rPr>
        <w:t>财政拨款支出总计6,167.48万元，</w:t>
      </w:r>
      <w:r>
        <w:rPr>
          <w:rFonts w:ascii="仿宋_GB2312" w:hAnsi="仿宋_GB2312" w:eastAsia="仿宋_GB2312"/>
          <w:b w:val="0"/>
          <w:sz w:val="32"/>
        </w:rPr>
        <w:t>其中：年末财政拨款结转和结余0.00万元，本年财政拨款支出6,167.48万元。</w:t>
      </w:r>
    </w:p>
    <w:p w14:paraId="4241D4B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增加350.21万元，增长6.02%，主要原因是：增加2024年三区人才计划教师专项工作补助经费，2024年乡村教师补助，2024年教育</w:t>
      </w:r>
      <w:r>
        <w:rPr>
          <w:rFonts w:hint="eastAsia" w:ascii="仿宋_GB2312" w:hAnsi="仿宋_GB2312" w:eastAsia="仿宋_GB2312"/>
          <w:b w:val="0"/>
          <w:sz w:val="32"/>
          <w:lang w:eastAsia="zh-CN"/>
        </w:rPr>
        <w:t>脱贫攻坚成果同乡村振兴有效衔接</w:t>
      </w:r>
      <w:r>
        <w:rPr>
          <w:rFonts w:ascii="仿宋_GB2312" w:hAnsi="仿宋_GB2312" w:eastAsia="仿宋_GB2312"/>
          <w:b w:val="0"/>
          <w:sz w:val="32"/>
        </w:rPr>
        <w:t>资金项目，塔吉克阿巴提镇小学宿舍楼建设项目，2023年</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九年一贯制学校建设项目，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班迪尔乡、达布达乡、柯克亚乡和马尔洋乡几个村级幼儿园工程项目，2023年</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教育科技馆建设项目。</w:t>
      </w:r>
      <w:r>
        <w:rPr>
          <w:rFonts w:ascii="仿宋_GB2312" w:hAnsi="仿宋_GB2312" w:eastAsia="仿宋_GB2312"/>
          <w:b/>
          <w:sz w:val="32"/>
        </w:rPr>
        <w:t>与年初预算相比，</w:t>
      </w:r>
      <w:r>
        <w:rPr>
          <w:rFonts w:ascii="仿宋_GB2312" w:hAnsi="仿宋_GB2312" w:eastAsia="仿宋_GB2312"/>
          <w:b w:val="0"/>
          <w:sz w:val="32"/>
        </w:rPr>
        <w:t>年初预算数5,662.15万元，决算数6,167.48万元，预决算差异率8.92%，主要原因是：年中追加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九年一贯制学校建设项目房屋拆迁及房屋补偿三干渠改建项目工程资金，2022年教育强国推进工程中央基建投资资金，2022年三区人才计划教师专项工作补助经费，2023年乡村教师补助，塔吉克阿巴提镇小学宿舍楼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教育科技馆建设项目，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九年一贯制学校建设项目，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班迪尔乡、达布达乡、柯克亚乡和马尔洋乡几个村级幼儿园工程项目，2023年</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教育科技馆建设项目资金，导致预决算存在差异。</w:t>
      </w:r>
    </w:p>
    <w:p w14:paraId="1E25E224">
      <w:pPr>
        <w:spacing w:line="640" w:lineRule="exact"/>
        <w:ind w:firstLine="640"/>
        <w:jc w:val="both"/>
        <w:outlineLvl w:val="2"/>
      </w:pPr>
      <w:r>
        <w:rPr>
          <w:rFonts w:ascii="黑体" w:hAnsi="黑体" w:eastAsia="黑体"/>
          <w:sz w:val="32"/>
        </w:rPr>
        <w:t>五、一般公共预算财政拨款支出决算情况说明</w:t>
      </w:r>
    </w:p>
    <w:p w14:paraId="6A4DD828">
      <w:pPr>
        <w:spacing w:line="640" w:lineRule="exact"/>
        <w:ind w:firstLine="640"/>
        <w:jc w:val="both"/>
        <w:outlineLvl w:val="3"/>
      </w:pPr>
      <w:r>
        <w:rPr>
          <w:rFonts w:ascii="楷体_GB2312" w:hAnsi="楷体_GB2312" w:eastAsia="楷体_GB2312"/>
          <w:b/>
          <w:sz w:val="32"/>
        </w:rPr>
        <w:t>（一）一般公共预算财政拨款支出决算总体情况</w:t>
      </w:r>
    </w:p>
    <w:p w14:paraId="4E340458">
      <w:pPr>
        <w:spacing w:line="580" w:lineRule="exact"/>
        <w:ind w:firstLine="640"/>
        <w:jc w:val="both"/>
      </w:pPr>
      <w:r>
        <w:rPr>
          <w:rFonts w:ascii="仿宋_GB2312" w:hAnsi="仿宋_GB2312" w:eastAsia="仿宋_GB2312"/>
          <w:b/>
          <w:sz w:val="32"/>
        </w:rPr>
        <w:t>2024年度一般公共预算财政拨款支出6,167.48万元，</w:t>
      </w:r>
      <w:r>
        <w:rPr>
          <w:rFonts w:ascii="仿宋_GB2312" w:hAnsi="仿宋_GB2312" w:eastAsia="仿宋_GB2312"/>
          <w:b w:val="0"/>
          <w:sz w:val="32"/>
        </w:rPr>
        <w:t>占本年支出合计的93.70%。</w:t>
      </w:r>
      <w:r>
        <w:rPr>
          <w:rFonts w:ascii="仿宋_GB2312" w:hAnsi="仿宋_GB2312" w:eastAsia="仿宋_GB2312"/>
          <w:b/>
          <w:sz w:val="32"/>
        </w:rPr>
        <w:t>与上年相比，</w:t>
      </w:r>
      <w:r>
        <w:rPr>
          <w:rFonts w:ascii="仿宋_GB2312" w:hAnsi="仿宋_GB2312" w:eastAsia="仿宋_GB2312"/>
          <w:b w:val="0"/>
          <w:sz w:val="32"/>
        </w:rPr>
        <w:t>增加1,134.52万元，增长22.54%，主要原因是：增加2024年三区人才计划教师专项工作补助经费，2024年乡村教师补助，2024年教育</w:t>
      </w:r>
      <w:r>
        <w:rPr>
          <w:rFonts w:hint="eastAsia" w:ascii="仿宋_GB2312" w:hAnsi="仿宋_GB2312" w:eastAsia="仿宋_GB2312"/>
          <w:b w:val="0"/>
          <w:sz w:val="32"/>
          <w:lang w:eastAsia="zh-CN"/>
        </w:rPr>
        <w:t>脱贫攻坚成果同乡村振兴有效衔接</w:t>
      </w:r>
      <w:r>
        <w:rPr>
          <w:rFonts w:ascii="仿宋_GB2312" w:hAnsi="仿宋_GB2312" w:eastAsia="仿宋_GB2312"/>
          <w:b w:val="0"/>
          <w:sz w:val="32"/>
        </w:rPr>
        <w:t>资金项目，塔吉克阿巴提镇小学宿舍楼建设项目，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教育科技馆建设项目，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九年一贯制学校建设项目，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班迪尔乡、达布达乡</w:t>
      </w:r>
      <w:r>
        <w:rPr>
          <w:rFonts w:hint="eastAsia" w:ascii="仿宋_GB2312" w:hAnsi="仿宋_GB2312" w:eastAsia="仿宋_GB2312"/>
          <w:b w:val="0"/>
          <w:sz w:val="32"/>
          <w:lang w:eastAsia="zh-CN"/>
        </w:rPr>
        <w:t>、</w:t>
      </w:r>
      <w:r>
        <w:rPr>
          <w:rFonts w:ascii="仿宋_GB2312" w:hAnsi="仿宋_GB2312" w:eastAsia="仿宋_GB2312"/>
          <w:b w:val="0"/>
          <w:sz w:val="32"/>
        </w:rPr>
        <w:t>柯克亚乡和马尔洋乡村级幼儿园工程项目，2023年</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教育科技馆建设项目。</w:t>
      </w:r>
      <w:r>
        <w:rPr>
          <w:rFonts w:ascii="仿宋_GB2312" w:hAnsi="仿宋_GB2312" w:eastAsia="仿宋_GB2312"/>
          <w:b/>
          <w:sz w:val="32"/>
        </w:rPr>
        <w:t>与年初预算相比,</w:t>
      </w:r>
      <w:r>
        <w:rPr>
          <w:rFonts w:ascii="仿宋_GB2312" w:hAnsi="仿宋_GB2312" w:eastAsia="仿宋_GB2312"/>
          <w:b w:val="0"/>
          <w:sz w:val="32"/>
        </w:rPr>
        <w:t>年初预算数5,653.15万元，决算数6,167.48万元，预决算差异率9.10%，主要原因是：年中追加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九年一贯制学校建设项目房屋拆迁及房屋补偿三干渠改建项目工程资金，2022年教育强国推进工程中央基建投资资金，2022年三区人才计划教师专项工作补助经费，2023年乡村教师补助，塔吉克阿巴提镇小学宿舍楼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教育科技馆建设项目，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九年一贯制学校建设项目，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班迪尔乡、达布达乡、柯克亚乡和马尔洋乡村级幼儿园工程项目，2023年</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教育科技馆建设项目资金，导致预决算存在差异。</w:t>
      </w:r>
    </w:p>
    <w:p w14:paraId="5F7CA721">
      <w:pPr>
        <w:spacing w:line="640" w:lineRule="exact"/>
        <w:ind w:firstLine="640"/>
        <w:jc w:val="both"/>
        <w:outlineLvl w:val="3"/>
      </w:pPr>
      <w:r>
        <w:rPr>
          <w:rFonts w:ascii="楷体_GB2312" w:hAnsi="楷体_GB2312" w:eastAsia="楷体_GB2312"/>
          <w:b/>
          <w:sz w:val="32"/>
        </w:rPr>
        <w:t>（二）一般公共预算财政拨款支出决算结构情况</w:t>
      </w:r>
    </w:p>
    <w:p w14:paraId="42F2042D">
      <w:pPr>
        <w:spacing w:line="580" w:lineRule="exact"/>
        <w:ind w:firstLine="640"/>
        <w:jc w:val="both"/>
      </w:pPr>
      <w:r>
        <w:rPr>
          <w:rFonts w:ascii="仿宋_GB2312" w:hAnsi="仿宋_GB2312" w:eastAsia="仿宋_GB2312"/>
          <w:b w:val="0"/>
          <w:sz w:val="32"/>
        </w:rPr>
        <w:t>1.教育支出(类)5,869.72万元,占95.17%。</w:t>
      </w:r>
    </w:p>
    <w:p w14:paraId="64FEC57D">
      <w:pPr>
        <w:spacing w:line="580" w:lineRule="exact"/>
        <w:ind w:firstLine="640"/>
        <w:jc w:val="both"/>
      </w:pPr>
      <w:r>
        <w:rPr>
          <w:rFonts w:ascii="仿宋_GB2312" w:hAnsi="仿宋_GB2312" w:eastAsia="仿宋_GB2312"/>
          <w:b w:val="0"/>
          <w:sz w:val="32"/>
        </w:rPr>
        <w:t>2.科学技术支出(类)8.55万元,占0.14%。</w:t>
      </w:r>
    </w:p>
    <w:p w14:paraId="252ABA0D">
      <w:pPr>
        <w:spacing w:line="580" w:lineRule="exact"/>
        <w:ind w:firstLine="640"/>
        <w:jc w:val="both"/>
      </w:pPr>
      <w:r>
        <w:rPr>
          <w:rFonts w:ascii="仿宋_GB2312" w:hAnsi="仿宋_GB2312" w:eastAsia="仿宋_GB2312"/>
          <w:b w:val="0"/>
          <w:sz w:val="32"/>
        </w:rPr>
        <w:t>3.卫生健康支出(类)1.81万元,占0.03%。</w:t>
      </w:r>
    </w:p>
    <w:p w14:paraId="0B7B544E">
      <w:pPr>
        <w:spacing w:line="580" w:lineRule="exact"/>
        <w:ind w:firstLine="640"/>
        <w:jc w:val="both"/>
      </w:pPr>
      <w:r>
        <w:rPr>
          <w:rFonts w:ascii="仿宋_GB2312" w:hAnsi="仿宋_GB2312" w:eastAsia="仿宋_GB2312"/>
          <w:b w:val="0"/>
          <w:sz w:val="32"/>
        </w:rPr>
        <w:t>4.农林水支出(类)287.40万元,占4.66%。</w:t>
      </w:r>
    </w:p>
    <w:p w14:paraId="7AE94FD0">
      <w:pPr>
        <w:spacing w:line="640" w:lineRule="exact"/>
        <w:ind w:firstLine="640"/>
        <w:jc w:val="both"/>
        <w:outlineLvl w:val="3"/>
      </w:pPr>
      <w:r>
        <w:rPr>
          <w:rFonts w:ascii="楷体_GB2312" w:hAnsi="楷体_GB2312" w:eastAsia="楷体_GB2312"/>
          <w:b/>
          <w:sz w:val="32"/>
        </w:rPr>
        <w:t>（三）一般公共预算财政拨款支出决算具体情况</w:t>
      </w:r>
    </w:p>
    <w:p w14:paraId="0A45E39E">
      <w:pPr>
        <w:spacing w:line="580" w:lineRule="exact"/>
        <w:ind w:firstLine="640"/>
        <w:jc w:val="both"/>
      </w:pPr>
      <w:r>
        <w:rPr>
          <w:rFonts w:ascii="仿宋_GB2312" w:hAnsi="仿宋_GB2312" w:eastAsia="仿宋_GB2312"/>
          <w:b w:val="0"/>
          <w:sz w:val="32"/>
        </w:rPr>
        <w:t>1.教育支出(类)教育管理事务(款)行政运行(项):支出决算数为256.81万元，比上年决算增加23.73万元，增长10.18%,主要原因是：本年在职人员工资调增，导致相关人员经费较上年有所增加。</w:t>
      </w:r>
    </w:p>
    <w:p w14:paraId="7934254D">
      <w:pPr>
        <w:spacing w:line="580" w:lineRule="exact"/>
        <w:ind w:firstLine="640"/>
        <w:jc w:val="both"/>
      </w:pPr>
      <w:r>
        <w:rPr>
          <w:rFonts w:ascii="仿宋_GB2312" w:hAnsi="仿宋_GB2312" w:eastAsia="仿宋_GB2312"/>
          <w:b w:val="0"/>
          <w:sz w:val="32"/>
        </w:rPr>
        <w:t>2.教育支出(类)教育管理事务(款)其他教育管理事务支出(项):支出决算数为29.42万元，比上年决算增加12.42万元，增长73.06%,主要原因是：本年增加喀什地区塔县九年一贯制学校建设房屋拆迁补偿费。</w:t>
      </w:r>
    </w:p>
    <w:p w14:paraId="652D3DA0">
      <w:pPr>
        <w:spacing w:line="580" w:lineRule="exact"/>
        <w:ind w:firstLine="640"/>
        <w:jc w:val="both"/>
      </w:pPr>
      <w:r>
        <w:rPr>
          <w:rFonts w:ascii="仿宋_GB2312" w:hAnsi="仿宋_GB2312" w:eastAsia="仿宋_GB2312"/>
          <w:b w:val="0"/>
          <w:sz w:val="32"/>
        </w:rPr>
        <w:t>3.教育支出(类)普通教育(款)学前教育(项):支出决算数为126.67万元，比上年决算增加64.67万元，增长104.31%,主要原因是：增加2024年中央财政支持学前教育发展资金，幼儿园支教志愿者生活补助，2024年新疆西藏等地区教育特殊补助资金学前三年园舍维修资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2017年幼儿园建设项目及中学异地新前建设项目审图费等项目。</w:t>
      </w:r>
    </w:p>
    <w:p w14:paraId="491FDEF5">
      <w:pPr>
        <w:spacing w:line="580" w:lineRule="exact"/>
        <w:ind w:firstLine="640"/>
        <w:jc w:val="both"/>
      </w:pPr>
      <w:r>
        <w:rPr>
          <w:rFonts w:ascii="仿宋_GB2312" w:hAnsi="仿宋_GB2312" w:eastAsia="仿宋_GB2312"/>
          <w:b w:val="0"/>
          <w:sz w:val="32"/>
        </w:rPr>
        <w:t>4.教育支出(类)普通教育(款)小学教育(项):支出决算数为0.00万元，比上年决算减少61.34万元，下降100.00%,主要原因是：本年度减少塔吉克阿巴提镇小学宿舍楼建设项目，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班迪尔乡，达布达乡，柯克亚乡和马尔洋乡村级幼儿园工程项目。</w:t>
      </w:r>
    </w:p>
    <w:p w14:paraId="562047C0">
      <w:pPr>
        <w:spacing w:line="580" w:lineRule="exact"/>
        <w:ind w:firstLine="640"/>
        <w:jc w:val="both"/>
      </w:pPr>
      <w:r>
        <w:rPr>
          <w:rFonts w:ascii="仿宋_GB2312" w:hAnsi="仿宋_GB2312" w:eastAsia="仿宋_GB2312"/>
          <w:b w:val="0"/>
          <w:sz w:val="32"/>
        </w:rPr>
        <w:t>5.教育支出(类)普通教育(款)其他普通教育支出(项):支出决算数为783.78万元，比上年决算增加783.78万元，增长100.00%,主要原因是：增加2024年城乡义务教育补助经费[中央直达资金]校舍安全、2024年“三区”人才计划教师专项工作补助经费、2024年自治区教育项目经费乡村教师、2024年自治区义务教育阶段班主任津补</w:t>
      </w:r>
      <w:r>
        <w:rPr>
          <w:rFonts w:hint="eastAsia" w:ascii="仿宋_GB2312" w:hAnsi="仿宋_GB2312" w:eastAsia="仿宋_GB2312"/>
          <w:b w:val="0"/>
          <w:sz w:val="32"/>
          <w:lang w:eastAsia="zh-CN"/>
        </w:rPr>
        <w:t>贴补</w:t>
      </w:r>
      <w:r>
        <w:rPr>
          <w:rFonts w:ascii="仿宋_GB2312" w:hAnsi="仿宋_GB2312" w:eastAsia="仿宋_GB2312"/>
          <w:b w:val="0"/>
          <w:sz w:val="32"/>
        </w:rPr>
        <w:t>助经费、2024年</w:t>
      </w:r>
      <w:r>
        <w:rPr>
          <w:rFonts w:hint="eastAsia" w:ascii="仿宋_GB2312" w:hAnsi="仿宋_GB2312" w:eastAsia="仿宋_GB2312"/>
          <w:b w:val="0"/>
          <w:sz w:val="32"/>
          <w:lang w:eastAsia="zh-CN"/>
        </w:rPr>
        <w:t>铸</w:t>
      </w:r>
      <w:r>
        <w:rPr>
          <w:rFonts w:ascii="仿宋_GB2312" w:hAnsi="仿宋_GB2312" w:eastAsia="仿宋_GB2312"/>
          <w:b w:val="0"/>
          <w:sz w:val="32"/>
        </w:rPr>
        <w:t>牢中华民族共同体意识教育经费。</w:t>
      </w:r>
    </w:p>
    <w:p w14:paraId="2EAC42DB">
      <w:pPr>
        <w:spacing w:line="580" w:lineRule="exact"/>
        <w:ind w:firstLine="640"/>
        <w:jc w:val="both"/>
      </w:pPr>
      <w:r>
        <w:rPr>
          <w:rFonts w:ascii="仿宋_GB2312" w:hAnsi="仿宋_GB2312" w:eastAsia="仿宋_GB2312"/>
          <w:b w:val="0"/>
          <w:sz w:val="32"/>
        </w:rPr>
        <w:t>6.教育支出(类)进修及培训(款)教师进修(项):支出决算数为327.08万元，比上年决算增加24.27万元，增长8.01%,主要原因是：本年在职人员工资调增，导致相关人员经费较上年有所增加。</w:t>
      </w:r>
    </w:p>
    <w:p w14:paraId="414F103B">
      <w:pPr>
        <w:spacing w:line="580" w:lineRule="exact"/>
        <w:ind w:firstLine="640"/>
        <w:jc w:val="both"/>
      </w:pPr>
      <w:r>
        <w:rPr>
          <w:rFonts w:ascii="仿宋_GB2312" w:hAnsi="仿宋_GB2312" w:eastAsia="仿宋_GB2312"/>
          <w:b w:val="0"/>
          <w:sz w:val="32"/>
        </w:rPr>
        <w:t>7.教育支出(类)其他教育支出(款)其他教育支出(项):支出决算数为4,345.96万元，比上年决算增加442.15万元，增长11.33%,主要原因是：本年增加塔县为民办实事经费，</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九年一贯制学校建设项目，2023年教育</w:t>
      </w:r>
      <w:r>
        <w:rPr>
          <w:rFonts w:hint="eastAsia" w:ascii="仿宋_GB2312" w:hAnsi="仿宋_GB2312" w:eastAsia="仿宋_GB2312"/>
          <w:b w:val="0"/>
          <w:sz w:val="32"/>
          <w:lang w:eastAsia="zh-CN"/>
        </w:rPr>
        <w:t>脱贫攻坚成果同乡村振兴有效衔接</w:t>
      </w:r>
      <w:r>
        <w:rPr>
          <w:rFonts w:ascii="仿宋_GB2312" w:hAnsi="仿宋_GB2312" w:eastAsia="仿宋_GB2312"/>
          <w:b w:val="0"/>
          <w:sz w:val="32"/>
        </w:rPr>
        <w:t>资金项目，喀什地区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国通语培训测试点提升改造项目，2023年鞍钢援助资金塔县九年一贯制学校附属配套设施建设项目，2024年深塔中小学生手拉手夏令营项目，2024年教育人才培养等项目。</w:t>
      </w:r>
    </w:p>
    <w:p w14:paraId="796080CE">
      <w:pPr>
        <w:spacing w:line="580" w:lineRule="exact"/>
        <w:ind w:firstLine="640"/>
        <w:jc w:val="both"/>
      </w:pPr>
      <w:r>
        <w:rPr>
          <w:rFonts w:ascii="仿宋_GB2312" w:hAnsi="仿宋_GB2312" w:eastAsia="仿宋_GB2312"/>
          <w:b w:val="0"/>
          <w:sz w:val="32"/>
        </w:rPr>
        <w:t>8.科学技术支出(类)技术研究与开发(款)科技成果转化与扩散(项):支出决算数为1.00万元，比上年决算增加0.00万元，增长0.00%,主要原因是：科技特派员工作补助经费与上年一致无变化。</w:t>
      </w:r>
    </w:p>
    <w:p w14:paraId="15096B49">
      <w:pPr>
        <w:spacing w:line="580" w:lineRule="exact"/>
        <w:ind w:firstLine="640"/>
        <w:jc w:val="both"/>
      </w:pPr>
      <w:r>
        <w:rPr>
          <w:rFonts w:ascii="仿宋_GB2312" w:hAnsi="仿宋_GB2312" w:eastAsia="仿宋_GB2312"/>
          <w:b w:val="0"/>
          <w:sz w:val="32"/>
        </w:rPr>
        <w:t>9.科学技术支出(类)科技条件与服务(款)其他科技条件与服务支出(项):支出决算数为3.55万元，比上年决算增加0.31万元，增长9.57%,主要原因是：增加2024年中央“三区”科技人才支持计划资金。</w:t>
      </w:r>
    </w:p>
    <w:p w14:paraId="3C013D2D">
      <w:pPr>
        <w:spacing w:line="580" w:lineRule="exact"/>
        <w:ind w:firstLine="640"/>
        <w:jc w:val="both"/>
      </w:pPr>
      <w:r>
        <w:rPr>
          <w:rFonts w:ascii="仿宋_GB2312" w:hAnsi="仿宋_GB2312" w:eastAsia="仿宋_GB2312"/>
          <w:b w:val="0"/>
          <w:sz w:val="32"/>
        </w:rPr>
        <w:t>10.科学技术支出(类)科学技术普及(款)科普活动(项):支出决算数为4.00万元，比上年决算减少1.00万元，下降20.00%,主要原因是：本年因活动减少，2024年自治区基层科普行动计划资金较上年减少。</w:t>
      </w:r>
    </w:p>
    <w:p w14:paraId="7AB00903">
      <w:pPr>
        <w:spacing w:line="580" w:lineRule="exact"/>
        <w:ind w:firstLine="640"/>
        <w:jc w:val="both"/>
      </w:pPr>
      <w:r>
        <w:rPr>
          <w:rFonts w:ascii="仿宋_GB2312" w:hAnsi="仿宋_GB2312" w:eastAsia="仿宋_GB2312"/>
          <w:b w:val="0"/>
          <w:sz w:val="32"/>
        </w:rPr>
        <w:t>11.科学技术支出(类)其他科学技术支出(款)科技奖励(项):支出决算数为0.00万元，比上年决算减少5.00万元，下降100.00%,主要原因是：</w:t>
      </w:r>
      <w:r>
        <w:rPr>
          <w:rFonts w:hint="eastAsia" w:ascii="仿宋_GB2312" w:hAnsi="仿宋_GB2312" w:eastAsia="仿宋_GB2312"/>
          <w:b w:val="0"/>
          <w:sz w:val="32"/>
          <w:lang w:val="en-US" w:eastAsia="zh-CN"/>
        </w:rPr>
        <w:t>本年功能</w:t>
      </w:r>
      <w:r>
        <w:rPr>
          <w:rFonts w:ascii="仿宋_GB2312" w:hAnsi="仿宋_GB2312" w:eastAsia="仿宋_GB2312"/>
          <w:b w:val="0"/>
          <w:sz w:val="32"/>
        </w:rPr>
        <w:t>科目调整，2024年三区人才计划教师专项工作补助经费</w:t>
      </w:r>
      <w:r>
        <w:rPr>
          <w:rFonts w:hint="eastAsia" w:ascii="仿宋_GB2312" w:hAnsi="仿宋_GB2312" w:eastAsia="仿宋_GB2312"/>
          <w:b w:val="0"/>
          <w:sz w:val="32"/>
          <w:lang w:eastAsia="zh-CN"/>
        </w:rPr>
        <w:t>由</w:t>
      </w:r>
      <w:r>
        <w:rPr>
          <w:rFonts w:hint="eastAsia" w:ascii="仿宋_GB2312" w:hAnsi="仿宋_GB2312" w:eastAsia="仿宋_GB2312"/>
          <w:b w:val="0"/>
          <w:sz w:val="32"/>
          <w:lang w:val="en-US" w:eastAsia="zh-CN"/>
        </w:rPr>
        <w:t>本科目</w:t>
      </w:r>
      <w:r>
        <w:rPr>
          <w:rFonts w:ascii="仿宋_GB2312" w:hAnsi="仿宋_GB2312" w:eastAsia="仿宋_GB2312"/>
          <w:b w:val="0"/>
          <w:sz w:val="32"/>
        </w:rPr>
        <w:t>调整至主科目列支，导致经费较上年减少。</w:t>
      </w:r>
    </w:p>
    <w:p w14:paraId="060B049F">
      <w:pPr>
        <w:spacing w:line="580" w:lineRule="exact"/>
        <w:ind w:firstLine="640"/>
        <w:jc w:val="both"/>
      </w:pPr>
      <w:r>
        <w:rPr>
          <w:rFonts w:ascii="仿宋_GB2312" w:hAnsi="仿宋_GB2312" w:eastAsia="仿宋_GB2312"/>
          <w:b w:val="0"/>
          <w:sz w:val="32"/>
        </w:rPr>
        <w:t>12.科学技术支出(类)其他科学技术支出(款)其他科学技术支出(项):支出决算数为0.00万元，比上年决算减少55.97万元，下降100.00%,主要原因是：减少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班迪尔乡、达布达乡、柯克亚乡和马尔洋乡村级幼儿园工程项目，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教育科技馆建设项目资金。</w:t>
      </w:r>
    </w:p>
    <w:p w14:paraId="7BE91971">
      <w:pPr>
        <w:spacing w:line="580" w:lineRule="exact"/>
        <w:ind w:firstLine="640"/>
        <w:jc w:val="both"/>
      </w:pPr>
      <w:r>
        <w:rPr>
          <w:rFonts w:ascii="仿宋_GB2312" w:hAnsi="仿宋_GB2312" w:eastAsia="仿宋_GB2312"/>
          <w:b w:val="0"/>
          <w:sz w:val="32"/>
        </w:rPr>
        <w:t>13.社会保障和就业支出(类)行政事业单位养老支出(款)行政单位离退休(项):支出决算数为0.00万元，比上年决算减少6.61万元，下降100.00%,主要原因是：本年功能科目调整，行政单位离退休上年度单独列支，本年调整至主科目列支，导致经费较上年减少。</w:t>
      </w:r>
    </w:p>
    <w:p w14:paraId="467934C7">
      <w:pPr>
        <w:spacing w:line="580" w:lineRule="exact"/>
        <w:ind w:firstLine="640"/>
        <w:jc w:val="both"/>
      </w:pPr>
      <w:r>
        <w:rPr>
          <w:rFonts w:ascii="仿宋_GB2312" w:hAnsi="仿宋_GB2312" w:eastAsia="仿宋_GB2312"/>
          <w:b w:val="0"/>
          <w:sz w:val="32"/>
        </w:rPr>
        <w:t>14.社会保障和就业支出(类)行政事业单位养老支出(款)机关事业单位基本养老保险缴费支出(项):支出决算数为0.00万元，比上年决算减少42.21万元，下降100.00%,主要原因是：本年功能科目调整，养老保险缴费上年度单独列支，本年调整至主科目列支，导致经费较上年减少。</w:t>
      </w:r>
    </w:p>
    <w:p w14:paraId="67E53C26">
      <w:pPr>
        <w:spacing w:line="580" w:lineRule="exact"/>
        <w:ind w:firstLine="640"/>
        <w:jc w:val="both"/>
      </w:pPr>
      <w:r>
        <w:rPr>
          <w:rFonts w:ascii="仿宋_GB2312" w:hAnsi="仿宋_GB2312" w:eastAsia="仿宋_GB2312"/>
          <w:b w:val="0"/>
          <w:sz w:val="32"/>
        </w:rPr>
        <w:t>15.卫生健康支出(类)行政事业单位医疗(款)公务员医疗补助(项):支出决算数为1.81万元，比上年决算减少1.62万元，下降47.23%,主要原因是：本年在职人员减少，公务员医疗补助较上年减少。</w:t>
      </w:r>
    </w:p>
    <w:p w14:paraId="1748A0D5">
      <w:pPr>
        <w:spacing w:line="580" w:lineRule="exact"/>
        <w:ind w:firstLine="640"/>
        <w:jc w:val="both"/>
      </w:pPr>
      <w:r>
        <w:rPr>
          <w:rFonts w:ascii="仿宋_GB2312" w:hAnsi="仿宋_GB2312" w:eastAsia="仿宋_GB2312"/>
          <w:b w:val="0"/>
          <w:sz w:val="32"/>
        </w:rPr>
        <w:t>16.农林水支出(类)巩固脱贫攻坚成果衔接乡村振兴(款)生产发展(项):支出决算数为287.40万元，比上年决算减少42.60万元，下降12.91%,主要原因是：本年享受雨露计划补助的学生数减少，经费较上年减少。</w:t>
      </w:r>
    </w:p>
    <w:p w14:paraId="7AD0FB57">
      <w:pPr>
        <w:spacing w:line="580" w:lineRule="exact"/>
        <w:ind w:firstLine="640"/>
        <w:jc w:val="both"/>
      </w:pPr>
      <w:r>
        <w:rPr>
          <w:rFonts w:ascii="仿宋_GB2312" w:hAnsi="仿宋_GB2312" w:eastAsia="仿宋_GB2312"/>
          <w:b w:val="0"/>
          <w:sz w:val="32"/>
        </w:rPr>
        <w:t>17.住房保障支出(类)住房改革支出(款)住房公积金(项):支出决算数为0.00万元，比上年决算减少0.45万元，下降100.00%,主要原因是：本年功能科目调整，住房公积金上年度单独列支，本年调整至主科目列支，导致经费较上年减少。</w:t>
      </w:r>
    </w:p>
    <w:p w14:paraId="40581BB0">
      <w:pPr>
        <w:spacing w:line="640" w:lineRule="exact"/>
        <w:ind w:firstLine="640"/>
        <w:jc w:val="both"/>
        <w:outlineLvl w:val="2"/>
      </w:pPr>
      <w:r>
        <w:rPr>
          <w:rFonts w:ascii="黑体" w:hAnsi="黑体" w:eastAsia="黑体"/>
          <w:sz w:val="32"/>
        </w:rPr>
        <w:t>六、一般公共预算财政拨款基本支出决算情况说明</w:t>
      </w:r>
    </w:p>
    <w:p w14:paraId="1F0C0252">
      <w:pPr>
        <w:spacing w:line="580" w:lineRule="exact"/>
        <w:ind w:firstLine="640"/>
        <w:jc w:val="both"/>
      </w:pPr>
      <w:r>
        <w:rPr>
          <w:rFonts w:ascii="仿宋_GB2312" w:hAnsi="仿宋_GB2312" w:eastAsia="仿宋_GB2312"/>
          <w:b w:val="0"/>
          <w:sz w:val="32"/>
        </w:rPr>
        <w:t>2024年度一般公共预算财政拨款基本支出585.70万元，其中：</w:t>
      </w:r>
      <w:r>
        <w:rPr>
          <w:rFonts w:ascii="仿宋_GB2312" w:hAnsi="仿宋_GB2312" w:eastAsia="仿宋_GB2312"/>
          <w:b/>
          <w:sz w:val="32"/>
        </w:rPr>
        <w:t>人员经费566.50万元，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w:t>
      </w:r>
    </w:p>
    <w:p w14:paraId="0D6D5846">
      <w:pPr>
        <w:spacing w:line="580" w:lineRule="exact"/>
        <w:ind w:firstLine="640"/>
        <w:jc w:val="both"/>
      </w:pPr>
      <w:r>
        <w:rPr>
          <w:rFonts w:ascii="仿宋_GB2312" w:hAnsi="仿宋_GB2312" w:eastAsia="仿宋_GB2312"/>
          <w:b/>
          <w:sz w:val="32"/>
        </w:rPr>
        <w:t>公用经费19.20万元，</w:t>
      </w:r>
      <w:r>
        <w:rPr>
          <w:rFonts w:ascii="仿宋_GB2312" w:hAnsi="仿宋_GB2312" w:eastAsia="仿宋_GB2312"/>
          <w:b w:val="0"/>
          <w:sz w:val="32"/>
        </w:rPr>
        <w:t>包括：办公费、水费、电费、邮电费、取暖费、差旅费、公务用车运行维护费。</w:t>
      </w:r>
    </w:p>
    <w:p w14:paraId="29948DCA">
      <w:pPr>
        <w:spacing w:line="640" w:lineRule="exact"/>
        <w:ind w:firstLine="640"/>
        <w:jc w:val="both"/>
        <w:outlineLvl w:val="2"/>
      </w:pPr>
      <w:r>
        <w:rPr>
          <w:rFonts w:ascii="黑体" w:hAnsi="黑体" w:eastAsia="黑体"/>
          <w:sz w:val="32"/>
        </w:rPr>
        <w:t>七、政府性基金预算财政拨款收入支出决算情况说明</w:t>
      </w:r>
    </w:p>
    <w:p w14:paraId="79494A64">
      <w:pPr>
        <w:spacing w:line="580" w:lineRule="exact"/>
        <w:ind w:firstLine="640"/>
        <w:jc w:val="both"/>
      </w:pPr>
      <w:r>
        <w:rPr>
          <w:rFonts w:ascii="仿宋_GB2312" w:hAnsi="仿宋_GB2312" w:eastAsia="仿宋_GB2312"/>
          <w:b/>
          <w:sz w:val="32"/>
        </w:rPr>
        <w:t>2024年度政府性基金预算财政拨款收入总计0.00万元，</w:t>
      </w:r>
      <w:r>
        <w:rPr>
          <w:rFonts w:ascii="仿宋_GB2312" w:hAnsi="仿宋_GB2312" w:eastAsia="仿宋_GB2312"/>
          <w:b w:val="0"/>
          <w:sz w:val="32"/>
        </w:rPr>
        <w:t>其中：年初结转和结余0.00万元，本年收入0.00万元。</w:t>
      </w:r>
      <w:r>
        <w:rPr>
          <w:rFonts w:ascii="仿宋_GB2312" w:hAnsi="仿宋_GB2312" w:eastAsia="仿宋_GB2312"/>
          <w:b/>
          <w:sz w:val="32"/>
        </w:rPr>
        <w:t>政府性基金预算财政拨款支出总计0.00万元，</w:t>
      </w:r>
      <w:r>
        <w:rPr>
          <w:rFonts w:ascii="仿宋_GB2312" w:hAnsi="仿宋_GB2312" w:eastAsia="仿宋_GB2312"/>
          <w:b w:val="0"/>
          <w:sz w:val="32"/>
        </w:rPr>
        <w:t>其中：年末结转和结余0.00万元，本年支出0.00万元。</w:t>
      </w:r>
    </w:p>
    <w:p w14:paraId="1F3ABC79">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减少784.31万元，下降100.00%，主要原因是：本年减少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九年一贯制学校建设项目房屋拆迁及房屋补偿三干渠改建项目工程资金。</w:t>
      </w:r>
      <w:r>
        <w:rPr>
          <w:rFonts w:ascii="仿宋_GB2312" w:hAnsi="仿宋_GB2312" w:eastAsia="仿宋_GB2312"/>
          <w:b/>
          <w:sz w:val="32"/>
        </w:rPr>
        <w:t>与年初预算相比，</w:t>
      </w:r>
      <w:r>
        <w:rPr>
          <w:rFonts w:ascii="仿宋_GB2312" w:hAnsi="仿宋_GB2312" w:eastAsia="仿宋_GB2312"/>
          <w:b w:val="0"/>
          <w:sz w:val="32"/>
        </w:rPr>
        <w:t>年初预算数9.00万元，决算数0.00万元，预决算差异率-100.00%，主要原因是：本年政府性基金项目未执行，导致预决算差异。</w:t>
      </w:r>
    </w:p>
    <w:p w14:paraId="2A7239E6">
      <w:pPr>
        <w:spacing w:line="580" w:lineRule="exact"/>
        <w:ind w:firstLine="640"/>
        <w:jc w:val="both"/>
      </w:pPr>
      <w:r>
        <w:rPr>
          <w:rFonts w:ascii="仿宋_GB2312" w:hAnsi="仿宋_GB2312" w:eastAsia="仿宋_GB2312"/>
          <w:b w:val="0"/>
          <w:sz w:val="32"/>
        </w:rPr>
        <w:t>政府性基金预算财政拨款支出0.00万元。</w:t>
      </w:r>
    </w:p>
    <w:p w14:paraId="52628B77">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1.城乡社区支出(类)国有土地使用权出让收入安排的支出(款)征地和拆迁补偿支出(项):支出决算数为0.00万元，比上年决算减少784.31万元，下降100.00%,主要原因是：本年减少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九年一贯制学校建设项目房屋拆迁及房屋补偿三干渠改建项目工程资金。</w:t>
      </w:r>
    </w:p>
    <w:p w14:paraId="4FD3CFAF">
      <w:pPr>
        <w:spacing w:line="640" w:lineRule="exact"/>
        <w:ind w:firstLine="640"/>
        <w:jc w:val="both"/>
        <w:outlineLvl w:val="2"/>
      </w:pPr>
      <w:r>
        <w:rPr>
          <w:rFonts w:ascii="黑体" w:hAnsi="黑体" w:eastAsia="黑体"/>
          <w:sz w:val="32"/>
        </w:rPr>
        <w:t>八、国有资本经营预算财政拨款收入支出决算情况说明</w:t>
      </w:r>
    </w:p>
    <w:p w14:paraId="3406721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575273F">
      <w:pPr>
        <w:spacing w:line="640" w:lineRule="exact"/>
        <w:ind w:firstLine="640"/>
        <w:jc w:val="both"/>
        <w:outlineLvl w:val="2"/>
      </w:pPr>
      <w:r>
        <w:rPr>
          <w:rFonts w:ascii="黑体" w:hAnsi="黑体" w:eastAsia="黑体"/>
          <w:sz w:val="32"/>
        </w:rPr>
        <w:t>九、财政拨款“三公”经费支出决算情况说明</w:t>
      </w:r>
    </w:p>
    <w:p w14:paraId="688AA53D">
      <w:pPr>
        <w:spacing w:line="580" w:lineRule="exact"/>
        <w:ind w:firstLine="640"/>
        <w:jc w:val="both"/>
      </w:pPr>
      <w:r>
        <w:rPr>
          <w:rFonts w:ascii="仿宋_GB2312" w:hAnsi="仿宋_GB2312" w:eastAsia="仿宋_GB2312"/>
          <w:b/>
          <w:sz w:val="32"/>
        </w:rPr>
        <w:t>2024年度财政拨款“三公”经费支出2.80万元，</w:t>
      </w:r>
      <w:r>
        <w:rPr>
          <w:rFonts w:ascii="仿宋_GB2312" w:hAnsi="仿宋_GB2312" w:eastAsia="仿宋_GB2312"/>
          <w:b w:val="0"/>
          <w:sz w:val="32"/>
        </w:rPr>
        <w:t>比上年增加0.00万元，增长0.00%，主要原因是：</w:t>
      </w:r>
      <w:r>
        <w:rPr>
          <w:rFonts w:hint="eastAsia" w:ascii="仿宋_GB2312" w:hAnsi="仿宋_GB2312" w:eastAsia="仿宋_GB2312"/>
          <w:b w:val="0"/>
          <w:sz w:val="32"/>
          <w:lang w:val="en-US" w:eastAsia="zh-CN"/>
        </w:rPr>
        <w:t>本</w:t>
      </w:r>
      <w:r>
        <w:rPr>
          <w:rFonts w:ascii="仿宋_GB2312" w:hAnsi="仿宋_GB2312" w:eastAsia="仿宋_GB2312"/>
          <w:b w:val="0"/>
          <w:sz w:val="32"/>
        </w:rPr>
        <w:t>单位“三公”经费与上年一致无变化。其中：因公出国（境）费支出0.00万元，占0.00%，比上年增加0.00万元，增长0.00%，主要原因是：2023年与2024年均未安排因公出国（境）费支出。公务用车购置及运行维护费支出2.80万元，占100.00%，比上年增加0.00万元，增长0.00%，主要原因是：</w:t>
      </w:r>
      <w:r>
        <w:rPr>
          <w:rFonts w:hint="eastAsia" w:ascii="仿宋_GB2312" w:hAnsi="仿宋_GB2312" w:eastAsia="仿宋_GB2312"/>
          <w:b w:val="0"/>
          <w:sz w:val="32"/>
          <w:lang w:val="en-US" w:eastAsia="zh-CN"/>
        </w:rPr>
        <w:t>本</w:t>
      </w:r>
      <w:r>
        <w:rPr>
          <w:rFonts w:ascii="仿宋_GB2312" w:hAnsi="仿宋_GB2312" w:eastAsia="仿宋_GB2312"/>
          <w:b w:val="0"/>
          <w:sz w:val="32"/>
        </w:rPr>
        <w:t>单位公务用车运行维护费与上年一致无变化。公务接待费支出0.00万元，占0.00%，比上年增加0.00万元，增长0.00%，主要原因是：2023年与2024年均未安排公务接待费支出。</w:t>
      </w:r>
    </w:p>
    <w:p w14:paraId="6B8F5AAF">
      <w:pPr>
        <w:spacing w:line="580" w:lineRule="exact"/>
        <w:ind w:firstLine="640"/>
        <w:jc w:val="both"/>
      </w:pPr>
      <w:r>
        <w:rPr>
          <w:rFonts w:ascii="仿宋_GB2312" w:hAnsi="仿宋_GB2312" w:eastAsia="仿宋_GB2312"/>
          <w:b/>
          <w:sz w:val="32"/>
        </w:rPr>
        <w:t>具体情况如下：</w:t>
      </w:r>
    </w:p>
    <w:p w14:paraId="0B6752C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04E6DCF">
      <w:pPr>
        <w:spacing w:line="580" w:lineRule="exact"/>
        <w:ind w:firstLine="640"/>
        <w:jc w:val="both"/>
      </w:pPr>
      <w:r>
        <w:rPr>
          <w:rFonts w:ascii="仿宋_GB2312" w:hAnsi="仿宋_GB2312" w:eastAsia="仿宋_GB2312"/>
          <w:b w:val="0"/>
          <w:sz w:val="32"/>
        </w:rPr>
        <w:t>公务用车购置及运行维护费2.80万元，其中：公务用车购置费0.00万元，公务用车运行维护费2.80万元。公务用车运行维护费开支内容包括车辆加油费、保险费、过路费、维修费。公务用车购置数0辆，公务用车保有量2辆。国有资产占用情况中固定资产车辆2辆，与公务用车保有量差异原因是：本单位固定资产车辆与公务用车保有量一致无差异。</w:t>
      </w:r>
    </w:p>
    <w:p w14:paraId="4434154B">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2D14D6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2.80万元，决算数2.80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2.80万元，决算数2.80万元，预决算差异率0.00%，主要原因是：严格按照预算执行，预决算无差异。公务接待费全年预算数0.00万元，决算数0.00万元，预决算差异率0.00%，主要原因是：本单位无公务接待费。</w:t>
      </w:r>
    </w:p>
    <w:p w14:paraId="6F244029">
      <w:pPr>
        <w:spacing w:line="640" w:lineRule="exact"/>
        <w:ind w:firstLine="640"/>
        <w:jc w:val="both"/>
        <w:outlineLvl w:val="2"/>
      </w:pPr>
      <w:r>
        <w:rPr>
          <w:rFonts w:ascii="黑体" w:hAnsi="黑体" w:eastAsia="黑体"/>
          <w:sz w:val="32"/>
        </w:rPr>
        <w:t>十、其他重要事项的情况说明</w:t>
      </w:r>
    </w:p>
    <w:p w14:paraId="682B11BE">
      <w:pPr>
        <w:spacing w:line="640" w:lineRule="exact"/>
        <w:ind w:firstLine="640"/>
        <w:jc w:val="both"/>
        <w:outlineLvl w:val="3"/>
      </w:pPr>
      <w:r>
        <w:rPr>
          <w:rFonts w:ascii="楷体_GB2312" w:hAnsi="楷体_GB2312" w:eastAsia="楷体_GB2312"/>
          <w:b/>
          <w:sz w:val="32"/>
        </w:rPr>
        <w:t>（一）机关运行经费及公用经费支出情况</w:t>
      </w:r>
    </w:p>
    <w:p w14:paraId="214C81AB">
      <w:pPr>
        <w:spacing w:line="580" w:lineRule="exact"/>
        <w:ind w:firstLine="640"/>
        <w:jc w:val="both"/>
      </w:pPr>
      <w:r>
        <w:rPr>
          <w:rFonts w:ascii="仿宋_GB2312" w:hAnsi="仿宋_GB2312" w:eastAsia="仿宋_GB2312"/>
          <w:b w:val="0"/>
          <w:sz w:val="32"/>
        </w:rPr>
        <w:t>2024年度塔什库尔干塔吉克自治县教育和科学技术局（行政单位和参照公务员法管理事业单位）机关运行经费支出19.20万元，比上年增加3.06万元，增长18.96%，主要原因是：本年业务量增加，公用经费增加。</w:t>
      </w:r>
    </w:p>
    <w:p w14:paraId="5F734754">
      <w:pPr>
        <w:spacing w:line="640" w:lineRule="exact"/>
        <w:ind w:firstLine="640"/>
        <w:jc w:val="both"/>
        <w:outlineLvl w:val="3"/>
      </w:pPr>
      <w:r>
        <w:rPr>
          <w:rFonts w:ascii="楷体_GB2312" w:hAnsi="楷体_GB2312" w:eastAsia="楷体_GB2312"/>
          <w:b/>
          <w:sz w:val="32"/>
        </w:rPr>
        <w:t>（二）政府采购情况</w:t>
      </w:r>
    </w:p>
    <w:p w14:paraId="154ED516">
      <w:pPr>
        <w:spacing w:line="580" w:lineRule="exact"/>
        <w:ind w:firstLine="640"/>
        <w:jc w:val="both"/>
      </w:pPr>
      <w:r>
        <w:rPr>
          <w:rFonts w:ascii="仿宋_GB2312" w:hAnsi="仿宋_GB2312" w:eastAsia="仿宋_GB2312"/>
          <w:b w:val="0"/>
          <w:sz w:val="32"/>
        </w:rPr>
        <w:t>2024年度政府采购支出总额871.62万元，其中：政府采购货物支出531.36万元、政府采购工程支出95.39万元、政府采购服务支出244.86万元。</w:t>
      </w:r>
    </w:p>
    <w:p w14:paraId="0B6BD5FA">
      <w:pPr>
        <w:spacing w:line="580" w:lineRule="exact"/>
        <w:ind w:firstLine="640"/>
        <w:jc w:val="both"/>
      </w:pPr>
      <w:r>
        <w:rPr>
          <w:rFonts w:ascii="仿宋_GB2312" w:hAnsi="仿宋_GB2312" w:eastAsia="仿宋_GB2312"/>
          <w:b w:val="0"/>
          <w:sz w:val="32"/>
        </w:rPr>
        <w:t>授予中小企业合同金额452.98万元，占政府采购支出总额的51.97%，其中：授予小微企业合同金额433.62万元，占政府采购支出总额的49.75%。</w:t>
      </w:r>
    </w:p>
    <w:p w14:paraId="31692910">
      <w:pPr>
        <w:spacing w:line="640" w:lineRule="exact"/>
        <w:ind w:firstLine="640"/>
        <w:jc w:val="both"/>
        <w:outlineLvl w:val="3"/>
      </w:pPr>
      <w:r>
        <w:rPr>
          <w:rFonts w:ascii="楷体_GB2312" w:hAnsi="楷体_GB2312" w:eastAsia="楷体_GB2312"/>
          <w:b/>
          <w:sz w:val="32"/>
        </w:rPr>
        <w:t>（三）国有资产占用情况说明</w:t>
      </w:r>
    </w:p>
    <w:p w14:paraId="2DAE5201">
      <w:pPr>
        <w:spacing w:line="580" w:lineRule="exact"/>
        <w:ind w:firstLine="640"/>
        <w:jc w:val="both"/>
      </w:pPr>
      <w:r>
        <w:rPr>
          <w:rFonts w:ascii="仿宋_GB2312" w:hAnsi="仿宋_GB2312" w:eastAsia="仿宋_GB2312"/>
          <w:b w:val="0"/>
          <w:sz w:val="32"/>
        </w:rPr>
        <w:t>截至2024年12月31日，房屋18,753.37平方米，价值4,574.87万元。车辆2辆，价值13.98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5FC1E10B">
      <w:pPr>
        <w:spacing w:line="640" w:lineRule="exact"/>
        <w:ind w:firstLine="640"/>
        <w:jc w:val="both"/>
        <w:outlineLvl w:val="2"/>
      </w:pPr>
      <w:r>
        <w:rPr>
          <w:rFonts w:ascii="黑体" w:hAnsi="黑体" w:eastAsia="黑体"/>
          <w:sz w:val="32"/>
        </w:rPr>
        <w:t>十一、预算绩效的情况说明</w:t>
      </w:r>
    </w:p>
    <w:p w14:paraId="33464757">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2024年我单位无预算绩效项目。发现的问题及原因：2024年我单位无预算绩效项目。下一步改进措施：2024年我单位无预算绩效项目。</w:t>
      </w:r>
    </w:p>
    <w:p w14:paraId="2FFF7FDE">
      <w:r>
        <w:br w:type="page"/>
      </w:r>
    </w:p>
    <w:p w14:paraId="16744B22">
      <w:pPr>
        <w:spacing w:line="640" w:lineRule="exact"/>
        <w:ind w:firstLine="640"/>
        <w:jc w:val="both"/>
        <w:outlineLvl w:val="2"/>
      </w:pPr>
      <w:r>
        <w:rPr>
          <w:rFonts w:ascii="黑体" w:hAnsi="黑体" w:eastAsia="黑体"/>
          <w:sz w:val="32"/>
        </w:rPr>
        <w:t>十二、其他需说明的事项</w:t>
      </w:r>
    </w:p>
    <w:p w14:paraId="18354762">
      <w:pPr>
        <w:spacing w:line="580" w:lineRule="exact"/>
        <w:ind w:firstLine="640"/>
        <w:jc w:val="both"/>
      </w:pPr>
      <w:r>
        <w:rPr>
          <w:rFonts w:ascii="仿宋_GB2312" w:hAnsi="仿宋_GB2312" w:eastAsia="仿宋_GB2312"/>
          <w:b w:val="0"/>
          <w:sz w:val="32"/>
        </w:rPr>
        <w:t>本年度本单位整体绩效自评表由塔什库尔干塔吉克自治县教育和科学技术局（汇总）编报并公开。</w:t>
      </w:r>
    </w:p>
    <w:p w14:paraId="60475424">
      <w:r>
        <w:br w:type="page"/>
      </w:r>
    </w:p>
    <w:p w14:paraId="2A14FE39">
      <w:pPr>
        <w:spacing w:line="240" w:lineRule="auto"/>
        <w:jc w:val="center"/>
        <w:outlineLvl w:val="1"/>
      </w:pPr>
      <w:r>
        <w:rPr>
          <w:rFonts w:ascii="黑体" w:hAnsi="黑体" w:eastAsia="黑体"/>
          <w:sz w:val="32"/>
        </w:rPr>
        <w:t>第三部分 专业名词解释</w:t>
      </w:r>
    </w:p>
    <w:p w14:paraId="7F78AB5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F362F4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BAA659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68150A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3D241C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3CC20A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23E4BB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87453F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30E7F8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63273E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CB337B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5976C1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67C2D3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896AC7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52B4FBD">
      <w:r>
        <w:br w:type="page"/>
      </w:r>
    </w:p>
    <w:p w14:paraId="27D1B99C">
      <w:pPr>
        <w:spacing w:line="240" w:lineRule="auto"/>
        <w:jc w:val="center"/>
        <w:outlineLvl w:val="1"/>
      </w:pPr>
      <w:r>
        <w:rPr>
          <w:rFonts w:ascii="黑体" w:hAnsi="黑体" w:eastAsia="黑体"/>
          <w:sz w:val="32"/>
        </w:rPr>
        <w:t>第四部分 部门决算报表（见附表）</w:t>
      </w:r>
    </w:p>
    <w:p w14:paraId="06AF0708">
      <w:pPr>
        <w:spacing w:line="240" w:lineRule="auto"/>
        <w:ind w:firstLine="640"/>
        <w:jc w:val="both"/>
      </w:pPr>
      <w:r>
        <w:rPr>
          <w:rFonts w:ascii="仿宋_GB2312" w:hAnsi="仿宋_GB2312" w:eastAsia="仿宋_GB2312"/>
          <w:b w:val="0"/>
          <w:sz w:val="32"/>
        </w:rPr>
        <w:t>一、《收入支出决算总表》</w:t>
      </w:r>
    </w:p>
    <w:p w14:paraId="1AA1F29F">
      <w:pPr>
        <w:spacing w:line="240" w:lineRule="auto"/>
        <w:ind w:firstLine="640"/>
        <w:jc w:val="both"/>
      </w:pPr>
      <w:r>
        <w:rPr>
          <w:rFonts w:ascii="仿宋_GB2312" w:hAnsi="仿宋_GB2312" w:eastAsia="仿宋_GB2312"/>
          <w:b w:val="0"/>
          <w:sz w:val="32"/>
        </w:rPr>
        <w:t>二、《收入决算表》</w:t>
      </w:r>
    </w:p>
    <w:p w14:paraId="06CA86F0">
      <w:pPr>
        <w:spacing w:line="240" w:lineRule="auto"/>
        <w:ind w:firstLine="640"/>
        <w:jc w:val="both"/>
      </w:pPr>
      <w:r>
        <w:rPr>
          <w:rFonts w:ascii="仿宋_GB2312" w:hAnsi="仿宋_GB2312" w:eastAsia="仿宋_GB2312"/>
          <w:b w:val="0"/>
          <w:sz w:val="32"/>
        </w:rPr>
        <w:t>三、《支出决算表》</w:t>
      </w:r>
    </w:p>
    <w:p w14:paraId="66BE6034">
      <w:pPr>
        <w:spacing w:line="240" w:lineRule="auto"/>
        <w:ind w:firstLine="640"/>
        <w:jc w:val="both"/>
      </w:pPr>
      <w:r>
        <w:rPr>
          <w:rFonts w:ascii="仿宋_GB2312" w:hAnsi="仿宋_GB2312" w:eastAsia="仿宋_GB2312"/>
          <w:b w:val="0"/>
          <w:sz w:val="32"/>
        </w:rPr>
        <w:t>四、《财政拨款收入支出决算总表》</w:t>
      </w:r>
    </w:p>
    <w:p w14:paraId="47CDDA80">
      <w:pPr>
        <w:spacing w:line="240" w:lineRule="auto"/>
        <w:ind w:firstLine="640"/>
        <w:jc w:val="both"/>
      </w:pPr>
      <w:r>
        <w:rPr>
          <w:rFonts w:ascii="仿宋_GB2312" w:hAnsi="仿宋_GB2312" w:eastAsia="仿宋_GB2312"/>
          <w:b w:val="0"/>
          <w:sz w:val="32"/>
        </w:rPr>
        <w:t>五、《一般公共预算财政拨款支出决算表》</w:t>
      </w:r>
    </w:p>
    <w:p w14:paraId="30DEAEFE">
      <w:pPr>
        <w:spacing w:line="240" w:lineRule="auto"/>
        <w:ind w:firstLine="640"/>
        <w:jc w:val="both"/>
      </w:pPr>
      <w:r>
        <w:rPr>
          <w:rFonts w:ascii="仿宋_GB2312" w:hAnsi="仿宋_GB2312" w:eastAsia="仿宋_GB2312"/>
          <w:b w:val="0"/>
          <w:sz w:val="32"/>
        </w:rPr>
        <w:t>六、《一般公共预算财政拨款基本支出决算表》</w:t>
      </w:r>
    </w:p>
    <w:p w14:paraId="0B05E324">
      <w:pPr>
        <w:spacing w:line="240" w:lineRule="auto"/>
        <w:ind w:firstLine="640"/>
        <w:jc w:val="both"/>
      </w:pPr>
      <w:r>
        <w:rPr>
          <w:rFonts w:ascii="仿宋_GB2312" w:hAnsi="仿宋_GB2312" w:eastAsia="仿宋_GB2312"/>
          <w:b w:val="0"/>
          <w:sz w:val="32"/>
        </w:rPr>
        <w:t>七、《政府性基金预算财政拨款收入支出决算表》</w:t>
      </w:r>
    </w:p>
    <w:p w14:paraId="0C7A3A8B">
      <w:pPr>
        <w:spacing w:line="240" w:lineRule="auto"/>
        <w:ind w:firstLine="640"/>
        <w:jc w:val="both"/>
      </w:pPr>
      <w:r>
        <w:rPr>
          <w:rFonts w:ascii="仿宋_GB2312" w:hAnsi="仿宋_GB2312" w:eastAsia="仿宋_GB2312"/>
          <w:b w:val="0"/>
          <w:sz w:val="32"/>
        </w:rPr>
        <w:t>八、《国有资本经营预算财政拨款收入支出决算表》</w:t>
      </w:r>
    </w:p>
    <w:p w14:paraId="21C3B59C">
      <w:pPr>
        <w:spacing w:line="240" w:lineRule="auto"/>
        <w:ind w:firstLine="640"/>
        <w:jc w:val="both"/>
      </w:pPr>
      <w:r>
        <w:rPr>
          <w:rFonts w:ascii="仿宋_GB2312" w:hAnsi="仿宋_GB2312" w:eastAsia="仿宋_GB2312"/>
          <w:b w:val="0"/>
          <w:sz w:val="32"/>
        </w:rPr>
        <w:t>九、《财政拨款“三公”经费支出决算表》</w:t>
      </w:r>
    </w:p>
    <w:p w14:paraId="16104EBF">
      <w:pPr>
        <w:spacing w:line="240" w:lineRule="auto"/>
        <w:ind w:firstLine="640"/>
        <w:jc w:val="both"/>
      </w:pPr>
    </w:p>
    <w:p w14:paraId="797B7E79">
      <w:pPr>
        <w:spacing w:line="240" w:lineRule="auto"/>
        <w:ind w:firstLine="640"/>
        <w:jc w:val="both"/>
      </w:pPr>
    </w:p>
    <w:p w14:paraId="7C9AE0B3">
      <w:pPr>
        <w:spacing w:line="240" w:lineRule="auto"/>
        <w:ind w:firstLine="640"/>
        <w:jc w:val="both"/>
      </w:pPr>
    </w:p>
    <w:p w14:paraId="68300B0F">
      <w:pPr>
        <w:spacing w:line="240" w:lineRule="auto"/>
        <w:ind w:firstLine="640"/>
        <w:jc w:val="both"/>
      </w:pPr>
    </w:p>
    <w:p w14:paraId="46AA14C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EDB729D-8F10-4A76-B252-E6C4ADD06DC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A00FD906-7C14-4E37-9CB3-BEA36DB41BD4}"/>
  </w:font>
  <w:font w:name="仿宋_GB2312">
    <w:panose1 w:val="02010609030101010101"/>
    <w:charset w:val="86"/>
    <w:family w:val="auto"/>
    <w:pitch w:val="default"/>
    <w:sig w:usb0="00000001" w:usb1="080E0000" w:usb2="00000000" w:usb3="00000000" w:csb0="00040000" w:csb1="00000000"/>
    <w:embedRegular r:id="rId3" w:fontKey="{8F56F157-A159-43D8-B76B-681EA54FD05A}"/>
  </w:font>
  <w:font w:name="楷体_GB2312">
    <w:panose1 w:val="02010609030101010101"/>
    <w:charset w:val="86"/>
    <w:family w:val="auto"/>
    <w:pitch w:val="default"/>
    <w:sig w:usb0="00000001" w:usb1="080E0000" w:usb2="00000000" w:usb3="00000000" w:csb0="00040000" w:csb1="00000000"/>
    <w:embedRegular r:id="rId4" w:fontKey="{01CFBAD9-DF2D-4755-B7E1-3E10EAA41E0C}"/>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72B0FB7"/>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9F5B0B"/>
    <w:rsid w:val="1DAF458D"/>
    <w:rsid w:val="1E086ACE"/>
    <w:rsid w:val="1E4B5CA5"/>
    <w:rsid w:val="1EAA4A5F"/>
    <w:rsid w:val="1F587A0B"/>
    <w:rsid w:val="2064678E"/>
    <w:rsid w:val="20BC0B75"/>
    <w:rsid w:val="20DD6197"/>
    <w:rsid w:val="21F317F2"/>
    <w:rsid w:val="2241392C"/>
    <w:rsid w:val="23BC04D2"/>
    <w:rsid w:val="25275618"/>
    <w:rsid w:val="27A209C9"/>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97B7EB2"/>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597702"/>
    <w:rsid w:val="61A46A97"/>
    <w:rsid w:val="62DD7D21"/>
    <w:rsid w:val="65D97752"/>
    <w:rsid w:val="664C500C"/>
    <w:rsid w:val="66AC6FDF"/>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8142</Words>
  <Characters>9177</Characters>
  <Lines>0</Lines>
  <Paragraphs>0</Paragraphs>
  <TotalTime>5</TotalTime>
  <ScaleCrop>false</ScaleCrop>
  <LinksUpToDate>false</LinksUpToDate>
  <CharactersWithSpaces>9189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