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塔什库尔干县太阳能检修、养护、运行项目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塔什库尔干塔吉克自治县农业农村局（本级）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 xml:space="preserve"> 塔什库尔干塔吉克自治县农业农村局			</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张生元</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什库尔干县太阳能检修、养护、运行项目实施前期、过程及效果，评价财政预算资金使用的效率及效益。通过该项目的实施，建成后可带动1个乡1个村受益，可持续带动增收20年以上，同时对当地生态环境的改善作用。</w:t>
        <w:br/>
        <w:t>2. 主要内容及实施情况</w:t>
        <w:br/>
        <w:t>财政拨款38.618769万元，用于支付塔什库尔干县太阳能检修、养护、运行项目剩余工程款。塔什库尔干县农业农村局建设的塔什库尔干县太阳能检修、养护、运行项目，未支付该单位工程款38.618769万元，经过县信访局反馈，单位及时对该费用进行申请解决，提高单位对纠纷管理重要性和紧迫性的认识，确保受益对象满意度不小于95%。</w:t>
        <w:br/>
        <w:t>3.项目实施主体</w:t>
        <w:br/>
        <w:t>塔什库尔干塔吉克自治县农业农村局为塔什库尔干塔吉克自治县人民政府工作部门。加挂县水利局牌子，纳入2021年部门决算编制范围的有2个办公室：党政办公室、农村工作领导小组办公室。</w:t>
        <w:br/>
        <w:t>编制人数76人，其中：行政人员编制7人、工勤2人、参公0人、事业编制37人。实有在职人数76人，其中：行政在职6人、参公12人、事业在职58人。</w:t>
        <w:br/>
        <w:t>4. 资金投入和使用情况</w:t>
        <w:br/>
        <w:t>塔什库尔干县安全饮水项目共安排下达资金38.62万元，为安全饮水资金，最终确定项目资金总数为38.62万元。</w:t>
        <w:br/>
        <w:t>截至2022年12月31日，实际支出38.62万元，预算执行率100%。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财政拨款38.618769万元，用于支付塔什库尔干县太阳能检修、养护、运行项目剩余工程款。塔什库尔干县农业农村局建设的塔什库尔干县太阳能检修、养护、运行项目，未支付该单位工程款38.618769万元，经过县信访局反馈，单位及时对该费用进行申请解决，提高单位对纠纷管理重要性和紧迫性的认识，确保受益对象满意度不小于95%。</w:t>
        <w:br/>
        <w:t>2.阶段性目标</w:t>
        <w:br/>
        <w:t>财政拨款38.618769万元，用于支付塔什库尔干县太阳能检修、养护、运行项目剩余工程款。塔什库尔干县农业农村局建设的塔什库尔干县太阳能检修、养护、运行项目，未支付该单位工程款38.618769万元，经过县信访局反馈，单位及时对该费用进行申请解决，提高单位对纠纷管理重要性和紧迫性的认识，确保受益对象满意度不小于95%。</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何首强任评价组组长，绩效评价工作职责为负责全盘工作。</w:t>
        <w:br/>
        <w:t>刘晓彤任评价组副组长，绩效评价工作职责为为对项目实施情况进行实地调查。</w:t>
        <w:br/>
        <w:t>买买提艾力·艾尔肯任评价组成员，绩效评价工作职责为负责资料审核等工作。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塔什库尔干县太阳能检修、养护、运行项目得分情况表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县太阳能检修、养护、运行项目总体组织规范，完成了塔什库尔干县太阳能检修、养护、运行项目的工作目标，有效规范了项目档案资料的整理，推动了全县1个乡1个村农牧民饮水问题，提高水资源利用系数。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（1）立项依据充分性：结合塔什库尔干县农业农村局职责，并组织实施。围绕塔什库尔干县年度工作重点和工作计划制定经费预算，根据评分标准，该指标不扣分，得3分。</w:t>
        <w:br/>
        <w:t>（2）立项程序规范性：根据决策依据编制工作计划和经费预算，经过与何首强分管领导进行沟通、筛选确定经费预算计划，上党委会研究确定最终预算方案，根据评分标准，该指标不扣分，得2分。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本次解决未支付工程款项目数量1个，与预期目标一致，根据评分标准，该指标不扣分，得10分。</w:t>
        <w:br/>
        <w:t>合计得10分。</w:t>
        <w:br/>
        <w:t>合计得10分。</w:t>
        <w:br/>
        <w:t>（2）对于“产出质量”：</w:t>
        <w:br/>
        <w:t>工程款按合同约定资金足额支付率100%，与预期目标一致，根据评分标准，该指标不扣分，得10分。</w:t>
        <w:br/>
        <w:t>合计得10分。</w:t>
        <w:br/>
        <w:t>（3）对于“产出时效”：</w:t>
        <w:br/>
        <w:t>资金及时支付率100%，与预期目标指标一致，根据评分标准，该指标不扣分，得4分。</w:t>
        <w:br/>
        <w:t>化解信访事项及时率100%，与预期目标指标一致，根据评分标准，该指标不扣分，得3分。</w:t>
        <w:br/>
        <w:t>资金支付完成时间2022年12月之前，与预期目标指标一致，根据评分标准，该指标不扣分，得3分。</w:t>
        <w:br/>
        <w:t>合计得10分。。</w:t>
        <w:br/>
        <w:t>（4）对于“产出成本”：</w:t>
        <w:br/>
        <w:t>未支付工程款38.62万元，项目经费都能控制绩效</w:t>
        <w:br/>
        <w:t>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信访事项及时处理率95%，与预期指标一致，根据评分标准，该指标不扣分，得5分。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无。</w:t>
        <w:br/>
        <w:t>（5）对于“生态效益指标”：</w:t>
        <w:br/>
        <w:t>无。</w:t>
        <w:br/>
        <w:t>实施效益指标合计得10分。</w:t>
        <w:br/>
        <w:t>2.满意度指标:</w:t>
        <w:br/>
        <w:t>对于“满意度指标：人员满意度95%，与预期目标一致，根据评分标准，该指标不扣分,得10分。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塔什库尔干县太阳能检修、养护、运行项目预算38.62万元，到位38.62万元，实际支出38.62万元，预算执行率为100%，项目绩效指标总体完成率为100%，无偏差。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资金实行封闭运行、统一拨付、专户管理。项目执行情况较好。二是加强组织领导，本项目绩效评价工作，由县主要领导亲自挂帅，分管县领导具体负责，从项目到资金，均能很好的执行。三是加强沟通协调，我单位及时向县领导汇报项目建设进度，加强与施工单位的沟通，确保项目如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施工图设计，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我单位对上述项目支出绩效评价报告内反映内容的真实性、完整性负责，并接受上级部门及社会公众监督。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