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CE9" w:rsidRDefault="00B40CE9">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B40CE9" w:rsidRDefault="00B40CE9">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年塔什库尔干县食品药品监督管理局部门决算说明</w:t>
      </w:r>
    </w:p>
    <w:p w:rsidR="00B40CE9" w:rsidRDefault="00B40CE9">
      <w:pPr>
        <w:spacing w:line="560" w:lineRule="exact"/>
        <w:jc w:val="center"/>
        <w:rPr>
          <w:rFonts w:ascii="宋体" w:cs="宋体"/>
          <w:b/>
          <w:bCs/>
          <w:sz w:val="44"/>
          <w:szCs w:val="44"/>
        </w:rPr>
      </w:pPr>
    </w:p>
    <w:p w:rsidR="00B40CE9" w:rsidRDefault="00B40CE9" w:rsidP="00D93429">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B40CE9" w:rsidRDefault="00B40CE9" w:rsidP="00D93429">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塔什库尔干县食品药品监督管理局单位性质为行政单位全额拨款，执行会计制度为行政会计制度。独立编制机构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p>
    <w:p w:rsidR="00B40CE9" w:rsidRDefault="00B40CE9">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B40CE9" w:rsidRDefault="00B40CE9" w:rsidP="00D93429">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（一）贯彻实施餐饮服务环节食品、保健食品、化妆品、药品、医疗器械安全监督管理的法律、法规、规章和方针政策；</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（二）组织实施餐饮服务环节食品安全管理规范，承担辖区内餐饮服务环节食品卫生许可和食品安全监管工作；</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（三）依法承担辖区内保健食品监督管理工作；</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（四）依法承担辖区内化妆品监督管理工作；</w:t>
      </w:r>
    </w:p>
    <w:p w:rsidR="00B40CE9" w:rsidRDefault="00B40CE9" w:rsidP="00D93429">
      <w:pPr>
        <w:spacing w:line="560" w:lineRule="exact"/>
        <w:ind w:firstLineChars="200" w:firstLine="640"/>
        <w:jc w:val="left"/>
        <w:rPr>
          <w:rFonts w:ascii="仿宋_GB2312" w:eastAsia="仿宋_GB2312" w:hAnsi="宋体" w:cs="仿宋_GB2312"/>
          <w:sz w:val="32"/>
          <w:szCs w:val="32"/>
        </w:rPr>
      </w:pPr>
      <w:r>
        <w:rPr>
          <w:rFonts w:ascii="仿宋_GB2312" w:eastAsia="仿宋_GB2312" w:hAnsi="宋体" w:cs="仿宋_GB2312" w:hint="eastAsia"/>
          <w:sz w:val="32"/>
          <w:szCs w:val="32"/>
        </w:rPr>
        <w:t>（五）监督实施药品、医疗器械质量管理规范和标准，承担辖区内药品、医疗器械行政监管工作，承担有关初审和审批工作；</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（六）依法查处辖区内餐饮服务环节食品安全和保健食品、化妆品、药品、医疗器械等生产、流通、使用等方面的违法违规行为；</w:t>
      </w:r>
    </w:p>
    <w:p w:rsidR="00B40CE9" w:rsidRDefault="00B40CE9" w:rsidP="00D93429">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（七）承担地区食品药品监管局和县委、县政府交办的其他事项。</w:t>
      </w:r>
    </w:p>
    <w:p w:rsidR="00B40CE9" w:rsidRDefault="00B40CE9" w:rsidP="00D93429">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6</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纳入塔什库尔干县</w:t>
      </w:r>
      <w:r>
        <w:rPr>
          <w:rFonts w:ascii="仿宋_GB2312" w:eastAsia="仿宋_GB2312" w:hAnsi="宋体" w:cs="仿宋_GB2312" w:hint="eastAsia"/>
          <w:sz w:val="32"/>
          <w:szCs w:val="32"/>
        </w:rPr>
        <w:t>食品药品监督管理局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5"/>
        <w:gridCol w:w="5760"/>
        <w:gridCol w:w="1347"/>
      </w:tblGrid>
      <w:tr w:rsidR="00B40CE9">
        <w:tc>
          <w:tcPr>
            <w:tcW w:w="1415" w:type="dxa"/>
          </w:tcPr>
          <w:p w:rsidR="00B40CE9" w:rsidRDefault="00B40CE9">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760" w:type="dxa"/>
          </w:tcPr>
          <w:p w:rsidR="00B40CE9" w:rsidRDefault="00B40CE9" w:rsidP="00D93429">
            <w:pPr>
              <w:spacing w:line="560" w:lineRule="exact"/>
              <w:ind w:firstLineChars="500" w:firstLine="1600"/>
              <w:rPr>
                <w:rFonts w:ascii="仿宋_GB2312" w:eastAsia="仿宋_GB2312"/>
                <w:sz w:val="32"/>
                <w:szCs w:val="32"/>
              </w:rPr>
            </w:pPr>
            <w:r>
              <w:rPr>
                <w:rFonts w:ascii="仿宋_GB2312" w:eastAsia="仿宋_GB2312" w:cs="仿宋_GB2312" w:hint="eastAsia"/>
                <w:sz w:val="32"/>
                <w:szCs w:val="32"/>
              </w:rPr>
              <w:t>单位名称</w:t>
            </w:r>
          </w:p>
        </w:tc>
        <w:tc>
          <w:tcPr>
            <w:tcW w:w="1347" w:type="dxa"/>
          </w:tcPr>
          <w:p w:rsidR="00B40CE9" w:rsidRDefault="00B40CE9">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B40CE9">
        <w:tc>
          <w:tcPr>
            <w:tcW w:w="1415" w:type="dxa"/>
          </w:tcPr>
          <w:p w:rsidR="00B40CE9" w:rsidRDefault="00B40CE9">
            <w:pPr>
              <w:spacing w:line="560" w:lineRule="exact"/>
              <w:rPr>
                <w:rFonts w:ascii="仿宋_GB2312" w:eastAsia="仿宋_GB2312" w:cs="仿宋_GB2312"/>
                <w:sz w:val="32"/>
                <w:szCs w:val="32"/>
              </w:rPr>
            </w:pPr>
            <w:r>
              <w:rPr>
                <w:rFonts w:ascii="仿宋_GB2312" w:eastAsia="仿宋_GB2312" w:cs="仿宋_GB2312"/>
                <w:sz w:val="32"/>
                <w:szCs w:val="32"/>
              </w:rPr>
              <w:t>1</w:t>
            </w:r>
          </w:p>
        </w:tc>
        <w:tc>
          <w:tcPr>
            <w:tcW w:w="5760" w:type="dxa"/>
          </w:tcPr>
          <w:p w:rsidR="00B40CE9" w:rsidRDefault="00B40CE9">
            <w:pPr>
              <w:spacing w:line="560" w:lineRule="exact"/>
              <w:rPr>
                <w:rFonts w:ascii="仿宋_GB2312" w:eastAsia="仿宋_GB2312"/>
                <w:sz w:val="32"/>
                <w:szCs w:val="32"/>
              </w:rPr>
            </w:pPr>
            <w:r>
              <w:rPr>
                <w:rFonts w:ascii="仿宋_GB2312" w:eastAsia="仿宋_GB2312" w:cs="仿宋_GB2312" w:hint="eastAsia"/>
                <w:sz w:val="32"/>
                <w:szCs w:val="32"/>
              </w:rPr>
              <w:t>塔什库尔干县</w:t>
            </w:r>
            <w:r>
              <w:rPr>
                <w:rFonts w:ascii="仿宋_GB2312" w:eastAsia="仿宋_GB2312" w:hAnsi="宋体" w:cs="仿宋_GB2312" w:hint="eastAsia"/>
                <w:sz w:val="32"/>
                <w:szCs w:val="32"/>
              </w:rPr>
              <w:t>食品药品监督管理局</w:t>
            </w:r>
          </w:p>
        </w:tc>
        <w:tc>
          <w:tcPr>
            <w:tcW w:w="1347" w:type="dxa"/>
          </w:tcPr>
          <w:p w:rsidR="00B40CE9" w:rsidRDefault="00B40CE9">
            <w:pPr>
              <w:spacing w:line="560" w:lineRule="exact"/>
              <w:rPr>
                <w:rFonts w:ascii="仿宋_GB2312" w:eastAsia="仿宋_GB2312"/>
                <w:sz w:val="32"/>
                <w:szCs w:val="32"/>
              </w:rPr>
            </w:pPr>
          </w:p>
        </w:tc>
      </w:tr>
    </w:tbl>
    <w:p w:rsidR="00B40CE9" w:rsidRDefault="00B40CE9">
      <w:pPr>
        <w:snapToGrid w:val="0"/>
        <w:spacing w:line="560" w:lineRule="exact"/>
        <w:rPr>
          <w:rFonts w:ascii="仿宋_GB2312" w:eastAsia="仿宋_GB2312" w:hAnsi="宋体"/>
          <w:b/>
          <w:bCs/>
          <w:sz w:val="32"/>
          <w:szCs w:val="32"/>
        </w:rPr>
      </w:pPr>
      <w:bookmarkStart w:id="0" w:name="YS060102"/>
    </w:p>
    <w:p w:rsidR="00B40CE9" w:rsidRDefault="00B40CE9" w:rsidP="00D93429">
      <w:pPr>
        <w:snapToGrid w:val="0"/>
        <w:spacing w:line="560" w:lineRule="exact"/>
        <w:ind w:firstLineChars="200" w:firstLine="643"/>
        <w:rPr>
          <w:rFonts w:ascii="仿宋_GB2312" w:eastAsia="仿宋_GB2312" w:hAnsi="宋体"/>
          <w:sz w:val="32"/>
          <w:szCs w:val="32"/>
        </w:rPr>
      </w:pPr>
      <w:r>
        <w:rPr>
          <w:rFonts w:ascii="仿宋_GB2312" w:eastAsia="仿宋_GB2312" w:hAnsi="宋体" w:cs="仿宋_GB2312" w:hint="eastAsia"/>
          <w:b/>
          <w:bCs/>
          <w:sz w:val="32"/>
          <w:szCs w:val="32"/>
        </w:rPr>
        <w:t>第二部分</w:t>
      </w:r>
      <w:r>
        <w:rPr>
          <w:rFonts w:ascii="仿宋_GB2312" w:eastAsia="仿宋_GB2312" w:cs="仿宋_GB2312" w:hint="eastAsia"/>
          <w:b/>
          <w:sz w:val="32"/>
          <w:szCs w:val="32"/>
        </w:rPr>
        <w:t>塔什库尔干县</w:t>
      </w:r>
      <w:r>
        <w:rPr>
          <w:rFonts w:ascii="仿宋_GB2312" w:eastAsia="仿宋_GB2312" w:hAnsi="宋体" w:cs="仿宋_GB2312" w:hint="eastAsia"/>
          <w:b/>
          <w:bCs/>
          <w:sz w:val="32"/>
          <w:szCs w:val="32"/>
        </w:rPr>
        <w:t>食品药品监督管理局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B40CE9" w:rsidRDefault="00B40CE9">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B40CE9" w:rsidRDefault="00B40CE9">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B40CE9" w:rsidRDefault="00B40CE9">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B40CE9" w:rsidRDefault="00B40CE9" w:rsidP="00D9342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B40CE9" w:rsidRDefault="00B40CE9" w:rsidP="00D9342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B40CE9" w:rsidRDefault="00B40CE9" w:rsidP="00D9342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B40CE9" w:rsidRDefault="00B40CE9" w:rsidP="00D9342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B40CE9" w:rsidRDefault="00B40CE9" w:rsidP="00D9342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B40CE9" w:rsidRDefault="00B40CE9" w:rsidP="00D9342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B40CE9" w:rsidRDefault="00B40CE9" w:rsidP="00D9342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B40CE9" w:rsidRDefault="00B40CE9" w:rsidP="00D9342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B40CE9" w:rsidRDefault="00B40CE9" w:rsidP="00D93429">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B40CE9" w:rsidRDefault="00B40CE9" w:rsidP="00D93429">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B40CE9" w:rsidRDefault="00B40CE9" w:rsidP="00D93429">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B40CE9" w:rsidRDefault="00B40CE9" w:rsidP="00D93429">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B40CE9" w:rsidRDefault="00B40CE9" w:rsidP="00D93429">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B40CE9" w:rsidRDefault="00B40CE9">
      <w:p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B40CE9" w:rsidRDefault="00B40CE9" w:rsidP="00D93429">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cs="仿宋_GB2312" w:hint="eastAsia"/>
          <w:b/>
          <w:sz w:val="32"/>
          <w:szCs w:val="32"/>
        </w:rPr>
        <w:t>塔什库尔干县</w:t>
      </w:r>
      <w:r>
        <w:rPr>
          <w:rFonts w:ascii="仿宋_GB2312" w:eastAsia="仿宋_GB2312" w:hAnsi="宋体" w:cs="仿宋_GB2312" w:hint="eastAsia"/>
          <w:b/>
          <w:bCs/>
          <w:sz w:val="32"/>
          <w:szCs w:val="32"/>
        </w:rPr>
        <w:t>食品药品监督管理局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B40CE9" w:rsidRDefault="00B40CE9" w:rsidP="00D93429">
      <w:pPr>
        <w:snapToGrid w:val="0"/>
        <w:spacing w:line="560" w:lineRule="exact"/>
        <w:ind w:leftChars="71" w:left="149" w:firstLineChars="200" w:firstLine="64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B40CE9" w:rsidRDefault="00B40CE9" w:rsidP="006D09EB">
      <w:pPr>
        <w:snapToGrid w:val="0"/>
        <w:spacing w:line="560" w:lineRule="exact"/>
        <w:ind w:leftChars="71" w:left="149"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957394.78</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957394.78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858294.78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99100</w:t>
      </w:r>
      <w:r>
        <w:rPr>
          <w:rFonts w:ascii="仿宋_GB2312" w:eastAsia="仿宋_GB2312" w:hAnsi="宋体" w:cs="仿宋_GB2312" w:hint="eastAsia"/>
          <w:sz w:val="32"/>
          <w:szCs w:val="32"/>
        </w:rPr>
        <w:t>元。</w:t>
      </w:r>
    </w:p>
    <w:bookmarkEnd w:id="0"/>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二、收入情况说明</w:t>
      </w:r>
    </w:p>
    <w:p w:rsidR="00B40CE9" w:rsidRDefault="00B40CE9" w:rsidP="00D93429">
      <w:pPr>
        <w:snapToGrid w:val="0"/>
        <w:spacing w:line="560" w:lineRule="exact"/>
        <w:ind w:leftChars="70" w:left="147"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957394.78</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957394.78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B40CE9" w:rsidRDefault="00B40CE9" w:rsidP="00D93429">
      <w:pPr>
        <w:snapToGrid w:val="0"/>
        <w:spacing w:line="560" w:lineRule="exact"/>
        <w:ind w:leftChars="70" w:left="147" w:firstLineChars="200" w:firstLine="64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B40CE9" w:rsidRDefault="00B40CE9" w:rsidP="00D93429">
      <w:pPr>
        <w:snapToGrid w:val="0"/>
        <w:spacing w:line="560" w:lineRule="exact"/>
        <w:ind w:leftChars="100" w:left="210" w:firstLineChars="200" w:firstLine="64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957394.78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858294.78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99100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B40CE9" w:rsidRDefault="00B40CE9" w:rsidP="00D93429">
      <w:pPr>
        <w:snapToGrid w:val="0"/>
        <w:spacing w:line="560" w:lineRule="exact"/>
        <w:ind w:leftChars="100" w:left="210" w:firstLineChars="200" w:firstLine="64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B40CE9" w:rsidRDefault="00B40CE9" w:rsidP="00D93429">
      <w:pPr>
        <w:snapToGrid w:val="0"/>
        <w:spacing w:line="560" w:lineRule="exact"/>
        <w:ind w:leftChars="71" w:left="149"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11600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11600</w:t>
      </w:r>
      <w:r>
        <w:rPr>
          <w:rFonts w:ascii="仿宋_GB2312" w:eastAsia="仿宋_GB2312" w:hAnsi="宋体" w:cs="仿宋_GB2312" w:hint="eastAsia"/>
          <w:sz w:val="32"/>
          <w:szCs w:val="32"/>
        </w:rPr>
        <w:t>元。</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8399.68</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8399.68</w:t>
      </w:r>
      <w:r>
        <w:rPr>
          <w:rFonts w:ascii="仿宋_GB2312" w:eastAsia="仿宋_GB2312" w:hAnsi="宋体" w:cs="仿宋_GB2312" w:hint="eastAsia"/>
          <w:sz w:val="32"/>
          <w:szCs w:val="32"/>
        </w:rPr>
        <w:t>元。主要原因为：因压缩公车费用。</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15200</w:t>
      </w:r>
      <w:r>
        <w:rPr>
          <w:rFonts w:ascii="仿宋_GB2312" w:eastAsia="仿宋_GB2312" w:hAnsi="宋体" w:cs="仿宋_GB2312" w:hint="eastAsia"/>
          <w:sz w:val="32"/>
          <w:szCs w:val="32"/>
        </w:rPr>
        <w:t>元，主要是：当年正常业务学习。</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957394.78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56243.09</w:t>
      </w:r>
      <w:r>
        <w:rPr>
          <w:rFonts w:ascii="仿宋_GB2312" w:eastAsia="仿宋_GB2312" w:hAnsi="宋体" w:cs="仿宋_GB2312" w:hint="eastAsia"/>
          <w:sz w:val="32"/>
          <w:szCs w:val="32"/>
        </w:rPr>
        <w:t>元，增加原因：工资调整导致人员经费增加。</w:t>
      </w:r>
    </w:p>
    <w:p w:rsidR="00B40CE9" w:rsidRDefault="00B40CE9" w:rsidP="00D9342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957394.78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957394.78</w:t>
      </w:r>
      <w:r>
        <w:rPr>
          <w:rFonts w:ascii="仿宋_GB2312" w:eastAsia="仿宋_GB2312" w:hAnsi="宋体" w:cs="仿宋_GB2312" w:hint="eastAsia"/>
          <w:sz w:val="32"/>
          <w:szCs w:val="32"/>
        </w:rPr>
        <w:t>元，增加原因：工资调整导致人员经费增加。</w:t>
      </w:r>
    </w:p>
    <w:p w:rsidR="00B40CE9" w:rsidRDefault="00B40CE9" w:rsidP="00D93429">
      <w:pPr>
        <w:spacing w:line="560" w:lineRule="exact"/>
        <w:ind w:firstLineChars="200" w:firstLine="640"/>
        <w:rPr>
          <w:rFonts w:ascii="仿宋_GB2312" w:eastAsia="仿宋_GB2312"/>
          <w:color w:val="000000"/>
          <w:kern w:val="0"/>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957394.78</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1178706.33</w:t>
      </w:r>
      <w:r>
        <w:rPr>
          <w:rFonts w:ascii="仿宋_GB2312" w:eastAsia="仿宋_GB2312" w:hAnsi="宋体" w:cs="仿宋_GB2312" w:hint="eastAsia"/>
          <w:sz w:val="32"/>
          <w:szCs w:val="32"/>
        </w:rPr>
        <w:t>元，差异原因：</w:t>
      </w:r>
      <w:r>
        <w:rPr>
          <w:rFonts w:ascii="仿宋_GB2312" w:eastAsia="仿宋_GB2312" w:hAnsi="宋体" w:cs="仿宋_GB2312"/>
          <w:sz w:val="32"/>
          <w:szCs w:val="32"/>
        </w:rPr>
        <w:t>2016</w:t>
      </w:r>
      <w:r>
        <w:rPr>
          <w:rFonts w:ascii="仿宋_GB2312" w:eastAsia="仿宋_GB2312" w:hAnsi="宋体" w:cs="仿宋_GB2312" w:hint="eastAsia"/>
          <w:sz w:val="32"/>
          <w:szCs w:val="32"/>
        </w:rPr>
        <w:t>年</w:t>
      </w:r>
      <w:r>
        <w:rPr>
          <w:rFonts w:ascii="仿宋_GB2312" w:eastAsia="仿宋_GB2312" w:hAnsi="宋体" w:cs="仿宋_GB2312"/>
          <w:sz w:val="32"/>
          <w:szCs w:val="32"/>
        </w:rPr>
        <w:t>9</w:t>
      </w:r>
      <w:r>
        <w:rPr>
          <w:rFonts w:ascii="仿宋_GB2312" w:eastAsia="仿宋_GB2312" w:hAnsi="宋体" w:cs="仿宋_GB2312" w:hint="eastAsia"/>
          <w:sz w:val="32"/>
          <w:szCs w:val="32"/>
        </w:rPr>
        <w:t>月份实行机关事业养老保险改革，</w:t>
      </w:r>
      <w:r>
        <w:rPr>
          <w:rFonts w:ascii="仿宋_GB2312" w:eastAsia="仿宋_GB2312" w:hAnsi="宋体" w:cs="仿宋_GB2312"/>
          <w:sz w:val="32"/>
          <w:szCs w:val="32"/>
        </w:rPr>
        <w:t>9</w:t>
      </w:r>
      <w:r>
        <w:rPr>
          <w:rFonts w:ascii="仿宋_GB2312" w:eastAsia="仿宋_GB2312" w:hAnsi="宋体" w:cs="仿宋_GB2312" w:hint="eastAsia"/>
          <w:sz w:val="32"/>
          <w:szCs w:val="32"/>
        </w:rPr>
        <w:t>月份退休人员工资由社保局发放，财政上核减退休人员工资指标，造成本年实际支出少于预算数。</w:t>
      </w:r>
    </w:p>
    <w:p w:rsidR="00B40CE9" w:rsidRDefault="00B40CE9" w:rsidP="00D93429">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w:t>
      </w:r>
      <w:r>
        <w:rPr>
          <w:rFonts w:ascii="仿宋_GB2312" w:eastAsia="仿宋_GB2312" w:hAnsi="宋体" w:cs="仿宋_GB2312" w:hint="eastAsia"/>
          <w:sz w:val="32"/>
          <w:szCs w:val="32"/>
        </w:rPr>
        <w:t>食品药品监督管理局</w:t>
      </w:r>
      <w:r>
        <w:rPr>
          <w:rFonts w:ascii="仿宋_GB2312" w:eastAsia="仿宋_GB2312" w:cs="仿宋_GB2312" w:hint="eastAsia"/>
          <w:sz w:val="32"/>
          <w:szCs w:val="32"/>
        </w:rPr>
        <w:t>机关运行经费支出</w:t>
      </w:r>
      <w:r>
        <w:rPr>
          <w:rFonts w:ascii="仿宋_GB2312" w:eastAsia="仿宋_GB2312" w:cs="仿宋_GB2312"/>
          <w:sz w:val="32"/>
          <w:szCs w:val="32"/>
        </w:rPr>
        <w:t>47641.8</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13157.61</w:t>
      </w:r>
      <w:r>
        <w:rPr>
          <w:rFonts w:ascii="仿宋_GB2312" w:eastAsia="仿宋_GB2312" w:cs="仿宋_GB2312" w:hint="eastAsia"/>
          <w:sz w:val="32"/>
          <w:szCs w:val="32"/>
        </w:rPr>
        <w:t>元，降低</w:t>
      </w:r>
      <w:r>
        <w:rPr>
          <w:rFonts w:ascii="仿宋_GB2312" w:eastAsia="仿宋_GB2312" w:cs="仿宋_GB2312"/>
          <w:sz w:val="32"/>
          <w:szCs w:val="32"/>
        </w:rPr>
        <w:t>21.64%</w:t>
      </w:r>
      <w:r>
        <w:rPr>
          <w:rFonts w:ascii="仿宋_GB2312" w:eastAsia="仿宋_GB2312" w:cs="仿宋_GB2312" w:hint="eastAsia"/>
          <w:sz w:val="32"/>
          <w:szCs w:val="32"/>
        </w:rPr>
        <w:t>，主要原因是：压缩公用经费。</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w:t>
      </w:r>
      <w:r>
        <w:rPr>
          <w:rFonts w:ascii="仿宋_GB2312" w:eastAsia="仿宋_GB2312" w:hAnsi="宋体" w:cs="仿宋_GB2312" w:hint="eastAsia"/>
          <w:sz w:val="32"/>
          <w:szCs w:val="32"/>
        </w:rPr>
        <w:t>食品药品监督管理局</w:t>
      </w:r>
      <w:r>
        <w:rPr>
          <w:rFonts w:ascii="仿宋_GB2312" w:eastAsia="仿宋_GB2312" w:cs="仿宋_GB2312" w:hint="eastAsia"/>
          <w:sz w:val="32"/>
          <w:szCs w:val="32"/>
        </w:rPr>
        <w:t>政府采购支出总额</w:t>
      </w:r>
      <w:r>
        <w:rPr>
          <w:rFonts w:ascii="仿宋_GB2312" w:eastAsia="仿宋_GB2312" w:cs="仿宋_GB2312"/>
          <w:sz w:val="32"/>
          <w:szCs w:val="32"/>
        </w:rPr>
        <w:t>3150.50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3150.50</w:t>
      </w:r>
      <w:r>
        <w:rPr>
          <w:rFonts w:ascii="仿宋_GB2312" w:eastAsia="仿宋_GB2312" w:cs="仿宋_GB2312" w:hint="eastAsia"/>
          <w:sz w:val="32"/>
          <w:szCs w:val="32"/>
        </w:rPr>
        <w:t>元。喀什地区为偏远地区，参与招投标的供应商基本为中小微企业。</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bookmarkStart w:id="1" w:name="_GoBack"/>
      <w:bookmarkEnd w:id="1"/>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w:t>
      </w:r>
      <w:r>
        <w:rPr>
          <w:rFonts w:ascii="仿宋_GB2312" w:eastAsia="仿宋_GB2312" w:hAnsi="宋体" w:cs="仿宋_GB2312" w:hint="eastAsia"/>
          <w:sz w:val="32"/>
          <w:szCs w:val="32"/>
        </w:rPr>
        <w:t>食品药品监督管理局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B40CE9" w:rsidRDefault="00B40CE9">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B40CE9" w:rsidRDefault="00B40CE9" w:rsidP="00D9342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B40CE9" w:rsidRDefault="00B40CE9">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B40CE9" w:rsidRDefault="00B40CE9" w:rsidP="00D934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B40CE9" w:rsidRDefault="00B40CE9" w:rsidP="006D09E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B40CE9" w:rsidSect="00967B1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CE9" w:rsidRDefault="00B40CE9" w:rsidP="00967B1E">
      <w:r>
        <w:separator/>
      </w:r>
    </w:p>
  </w:endnote>
  <w:endnote w:type="continuationSeparator" w:id="0">
    <w:p w:rsidR="00B40CE9" w:rsidRDefault="00B40CE9" w:rsidP="00967B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E9" w:rsidRDefault="00B40C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E9" w:rsidRDefault="00B40C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40CE9" w:rsidRDefault="00B40CE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E9" w:rsidRDefault="00B40C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CE9" w:rsidRDefault="00B40CE9" w:rsidP="00967B1E">
      <w:r>
        <w:separator/>
      </w:r>
    </w:p>
  </w:footnote>
  <w:footnote w:type="continuationSeparator" w:id="0">
    <w:p w:rsidR="00B40CE9" w:rsidRDefault="00B40CE9" w:rsidP="00967B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E9" w:rsidRDefault="00B40C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E9" w:rsidRDefault="00B40CE9" w:rsidP="00EA7AE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E9" w:rsidRDefault="00B40C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94B5C"/>
    <w:multiLevelType w:val="multilevel"/>
    <w:tmpl w:val="13794B5C"/>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4F10"/>
    <w:rsid w:val="00006A87"/>
    <w:rsid w:val="00024B7F"/>
    <w:rsid w:val="00034248"/>
    <w:rsid w:val="000455EF"/>
    <w:rsid w:val="00052FE0"/>
    <w:rsid w:val="00054384"/>
    <w:rsid w:val="000703F5"/>
    <w:rsid w:val="00075CD0"/>
    <w:rsid w:val="000775E8"/>
    <w:rsid w:val="00086A97"/>
    <w:rsid w:val="00091F7F"/>
    <w:rsid w:val="00094D69"/>
    <w:rsid w:val="000A0946"/>
    <w:rsid w:val="000A5DE3"/>
    <w:rsid w:val="000A65DB"/>
    <w:rsid w:val="000B1596"/>
    <w:rsid w:val="000B5213"/>
    <w:rsid w:val="000C37E5"/>
    <w:rsid w:val="000C3B20"/>
    <w:rsid w:val="000E7FFD"/>
    <w:rsid w:val="0010183B"/>
    <w:rsid w:val="00140E78"/>
    <w:rsid w:val="00142BCE"/>
    <w:rsid w:val="00147040"/>
    <w:rsid w:val="00151463"/>
    <w:rsid w:val="00166F3C"/>
    <w:rsid w:val="00170582"/>
    <w:rsid w:val="00171A85"/>
    <w:rsid w:val="001870FE"/>
    <w:rsid w:val="0019062A"/>
    <w:rsid w:val="001943AB"/>
    <w:rsid w:val="001C2BB3"/>
    <w:rsid w:val="001D09C9"/>
    <w:rsid w:val="001E4658"/>
    <w:rsid w:val="001E7C6A"/>
    <w:rsid w:val="001F2B9D"/>
    <w:rsid w:val="001F33C0"/>
    <w:rsid w:val="001F6EF5"/>
    <w:rsid w:val="0020099B"/>
    <w:rsid w:val="002050E2"/>
    <w:rsid w:val="00205C3B"/>
    <w:rsid w:val="00220830"/>
    <w:rsid w:val="00242FE4"/>
    <w:rsid w:val="00262C89"/>
    <w:rsid w:val="00265B72"/>
    <w:rsid w:val="002743C3"/>
    <w:rsid w:val="00287A2E"/>
    <w:rsid w:val="00292F79"/>
    <w:rsid w:val="002B5B38"/>
    <w:rsid w:val="002C272F"/>
    <w:rsid w:val="002C37F3"/>
    <w:rsid w:val="002C402E"/>
    <w:rsid w:val="002C677C"/>
    <w:rsid w:val="002C740B"/>
    <w:rsid w:val="002D02F4"/>
    <w:rsid w:val="002D650D"/>
    <w:rsid w:val="00303B2E"/>
    <w:rsid w:val="003158E9"/>
    <w:rsid w:val="00333969"/>
    <w:rsid w:val="003404BA"/>
    <w:rsid w:val="00343417"/>
    <w:rsid w:val="003472C5"/>
    <w:rsid w:val="00347996"/>
    <w:rsid w:val="003632BC"/>
    <w:rsid w:val="003B0831"/>
    <w:rsid w:val="003B3613"/>
    <w:rsid w:val="003B594E"/>
    <w:rsid w:val="003C2E54"/>
    <w:rsid w:val="003D0C72"/>
    <w:rsid w:val="003E3761"/>
    <w:rsid w:val="004011AD"/>
    <w:rsid w:val="0040177E"/>
    <w:rsid w:val="00406AB0"/>
    <w:rsid w:val="004101E6"/>
    <w:rsid w:val="00417715"/>
    <w:rsid w:val="00420614"/>
    <w:rsid w:val="0043072D"/>
    <w:rsid w:val="00434EEE"/>
    <w:rsid w:val="0045212A"/>
    <w:rsid w:val="00457BD9"/>
    <w:rsid w:val="004743B3"/>
    <w:rsid w:val="00486188"/>
    <w:rsid w:val="00487059"/>
    <w:rsid w:val="004A08C1"/>
    <w:rsid w:val="004A28B1"/>
    <w:rsid w:val="004B6AAB"/>
    <w:rsid w:val="004D2787"/>
    <w:rsid w:val="004D48D7"/>
    <w:rsid w:val="004D6F93"/>
    <w:rsid w:val="0050291C"/>
    <w:rsid w:val="005272D8"/>
    <w:rsid w:val="00532879"/>
    <w:rsid w:val="00552B99"/>
    <w:rsid w:val="00565025"/>
    <w:rsid w:val="005766BD"/>
    <w:rsid w:val="00592401"/>
    <w:rsid w:val="00595CD5"/>
    <w:rsid w:val="005A0EA5"/>
    <w:rsid w:val="005B0DCF"/>
    <w:rsid w:val="005D008D"/>
    <w:rsid w:val="005D5345"/>
    <w:rsid w:val="005D55F8"/>
    <w:rsid w:val="005D6922"/>
    <w:rsid w:val="005E7DAC"/>
    <w:rsid w:val="0060343B"/>
    <w:rsid w:val="00610F6E"/>
    <w:rsid w:val="00632272"/>
    <w:rsid w:val="00642F1B"/>
    <w:rsid w:val="00651815"/>
    <w:rsid w:val="006537AC"/>
    <w:rsid w:val="00672B4C"/>
    <w:rsid w:val="006773BD"/>
    <w:rsid w:val="00687879"/>
    <w:rsid w:val="00696752"/>
    <w:rsid w:val="006A1621"/>
    <w:rsid w:val="006A2219"/>
    <w:rsid w:val="006A56FC"/>
    <w:rsid w:val="006A713F"/>
    <w:rsid w:val="006A7356"/>
    <w:rsid w:val="006D09EB"/>
    <w:rsid w:val="006D4B96"/>
    <w:rsid w:val="006F1159"/>
    <w:rsid w:val="006F13E9"/>
    <w:rsid w:val="006F3090"/>
    <w:rsid w:val="006F7FA8"/>
    <w:rsid w:val="00703701"/>
    <w:rsid w:val="00720D8E"/>
    <w:rsid w:val="00721FE4"/>
    <w:rsid w:val="007226FB"/>
    <w:rsid w:val="00750CC8"/>
    <w:rsid w:val="00765406"/>
    <w:rsid w:val="00774810"/>
    <w:rsid w:val="00782159"/>
    <w:rsid w:val="00786500"/>
    <w:rsid w:val="00793D15"/>
    <w:rsid w:val="007978CD"/>
    <w:rsid w:val="007A17B5"/>
    <w:rsid w:val="007A2BDC"/>
    <w:rsid w:val="007D75E2"/>
    <w:rsid w:val="007F238C"/>
    <w:rsid w:val="008012F4"/>
    <w:rsid w:val="008104D1"/>
    <w:rsid w:val="00815033"/>
    <w:rsid w:val="00840399"/>
    <w:rsid w:val="00842279"/>
    <w:rsid w:val="00847706"/>
    <w:rsid w:val="00854186"/>
    <w:rsid w:val="008664F8"/>
    <w:rsid w:val="00877032"/>
    <w:rsid w:val="00880D0D"/>
    <w:rsid w:val="008872A2"/>
    <w:rsid w:val="00895A64"/>
    <w:rsid w:val="008A0DC9"/>
    <w:rsid w:val="008B02AA"/>
    <w:rsid w:val="008B732E"/>
    <w:rsid w:val="008C5ABD"/>
    <w:rsid w:val="008D28A9"/>
    <w:rsid w:val="008E26A2"/>
    <w:rsid w:val="008F3574"/>
    <w:rsid w:val="00904E8C"/>
    <w:rsid w:val="009078E5"/>
    <w:rsid w:val="00910498"/>
    <w:rsid w:val="00911A25"/>
    <w:rsid w:val="00912ADD"/>
    <w:rsid w:val="00921F8C"/>
    <w:rsid w:val="0093288D"/>
    <w:rsid w:val="0093351B"/>
    <w:rsid w:val="00954B4B"/>
    <w:rsid w:val="009629E8"/>
    <w:rsid w:val="00967B1E"/>
    <w:rsid w:val="00971759"/>
    <w:rsid w:val="009750A1"/>
    <w:rsid w:val="009845F9"/>
    <w:rsid w:val="00986E5F"/>
    <w:rsid w:val="009A4CF3"/>
    <w:rsid w:val="009A7D21"/>
    <w:rsid w:val="009B2A60"/>
    <w:rsid w:val="009C453B"/>
    <w:rsid w:val="009C7F6B"/>
    <w:rsid w:val="009D0576"/>
    <w:rsid w:val="009F0203"/>
    <w:rsid w:val="009F1B75"/>
    <w:rsid w:val="009F39C7"/>
    <w:rsid w:val="009F6D25"/>
    <w:rsid w:val="00A02714"/>
    <w:rsid w:val="00A07379"/>
    <w:rsid w:val="00A32422"/>
    <w:rsid w:val="00A3418E"/>
    <w:rsid w:val="00A407D1"/>
    <w:rsid w:val="00A570CD"/>
    <w:rsid w:val="00A65801"/>
    <w:rsid w:val="00A97E66"/>
    <w:rsid w:val="00AA0490"/>
    <w:rsid w:val="00AA1759"/>
    <w:rsid w:val="00AA3003"/>
    <w:rsid w:val="00AB1716"/>
    <w:rsid w:val="00AC139B"/>
    <w:rsid w:val="00AC4897"/>
    <w:rsid w:val="00AD7784"/>
    <w:rsid w:val="00AE6CFF"/>
    <w:rsid w:val="00B0409B"/>
    <w:rsid w:val="00B21656"/>
    <w:rsid w:val="00B24563"/>
    <w:rsid w:val="00B40CE9"/>
    <w:rsid w:val="00B635BA"/>
    <w:rsid w:val="00B73E5F"/>
    <w:rsid w:val="00B757AD"/>
    <w:rsid w:val="00B919A9"/>
    <w:rsid w:val="00B945F1"/>
    <w:rsid w:val="00BA563E"/>
    <w:rsid w:val="00BA5ACB"/>
    <w:rsid w:val="00BB2497"/>
    <w:rsid w:val="00BB372B"/>
    <w:rsid w:val="00BF00B5"/>
    <w:rsid w:val="00C15174"/>
    <w:rsid w:val="00C17D9A"/>
    <w:rsid w:val="00C3683F"/>
    <w:rsid w:val="00C372C4"/>
    <w:rsid w:val="00C4155A"/>
    <w:rsid w:val="00C45F21"/>
    <w:rsid w:val="00C519BC"/>
    <w:rsid w:val="00C605BD"/>
    <w:rsid w:val="00C61DC5"/>
    <w:rsid w:val="00C62423"/>
    <w:rsid w:val="00C71FC5"/>
    <w:rsid w:val="00C743CD"/>
    <w:rsid w:val="00C955CC"/>
    <w:rsid w:val="00CA6F46"/>
    <w:rsid w:val="00CB3117"/>
    <w:rsid w:val="00CC57F0"/>
    <w:rsid w:val="00CE1862"/>
    <w:rsid w:val="00CE37ED"/>
    <w:rsid w:val="00D16906"/>
    <w:rsid w:val="00D4613F"/>
    <w:rsid w:val="00D5318C"/>
    <w:rsid w:val="00D53ACD"/>
    <w:rsid w:val="00D554FC"/>
    <w:rsid w:val="00D616EE"/>
    <w:rsid w:val="00D81E3D"/>
    <w:rsid w:val="00D93429"/>
    <w:rsid w:val="00D949F7"/>
    <w:rsid w:val="00DA057C"/>
    <w:rsid w:val="00DA16BE"/>
    <w:rsid w:val="00DB13AB"/>
    <w:rsid w:val="00DB2FC5"/>
    <w:rsid w:val="00DE100C"/>
    <w:rsid w:val="00DE344D"/>
    <w:rsid w:val="00DE619D"/>
    <w:rsid w:val="00E058B5"/>
    <w:rsid w:val="00E3390B"/>
    <w:rsid w:val="00E339F2"/>
    <w:rsid w:val="00E67916"/>
    <w:rsid w:val="00E7070F"/>
    <w:rsid w:val="00E774D0"/>
    <w:rsid w:val="00E8388E"/>
    <w:rsid w:val="00EA5F52"/>
    <w:rsid w:val="00EA7AEA"/>
    <w:rsid w:val="00EB563F"/>
    <w:rsid w:val="00EB7DD0"/>
    <w:rsid w:val="00EC1979"/>
    <w:rsid w:val="00EC282F"/>
    <w:rsid w:val="00ED7C8E"/>
    <w:rsid w:val="00EE2E07"/>
    <w:rsid w:val="00EE66B1"/>
    <w:rsid w:val="00EF3B2C"/>
    <w:rsid w:val="00EF6CFC"/>
    <w:rsid w:val="00EF7B17"/>
    <w:rsid w:val="00F0364D"/>
    <w:rsid w:val="00F06CB4"/>
    <w:rsid w:val="00F16C5D"/>
    <w:rsid w:val="00F453E0"/>
    <w:rsid w:val="00F46E9F"/>
    <w:rsid w:val="00F50957"/>
    <w:rsid w:val="00F51A83"/>
    <w:rsid w:val="00F627E2"/>
    <w:rsid w:val="00F81C9E"/>
    <w:rsid w:val="00F820FC"/>
    <w:rsid w:val="00F864D4"/>
    <w:rsid w:val="00F97D07"/>
    <w:rsid w:val="00FA08FE"/>
    <w:rsid w:val="00FB61FC"/>
    <w:rsid w:val="00FC1406"/>
    <w:rsid w:val="00FF5001"/>
    <w:rsid w:val="00FF5D03"/>
    <w:rsid w:val="02B32B4E"/>
    <w:rsid w:val="07DC42F3"/>
    <w:rsid w:val="19946E7F"/>
    <w:rsid w:val="1B5D14DE"/>
    <w:rsid w:val="1BA6544E"/>
    <w:rsid w:val="1C4345D0"/>
    <w:rsid w:val="1E710243"/>
    <w:rsid w:val="22BD6845"/>
    <w:rsid w:val="2C9348F0"/>
    <w:rsid w:val="33216733"/>
    <w:rsid w:val="334F49D3"/>
    <w:rsid w:val="35AA3771"/>
    <w:rsid w:val="36DB5B20"/>
    <w:rsid w:val="4F97405C"/>
    <w:rsid w:val="539F02BF"/>
    <w:rsid w:val="6139174C"/>
    <w:rsid w:val="67687CA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B1E"/>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967B1E"/>
    <w:pPr>
      <w:ind w:leftChars="2500" w:left="100"/>
    </w:pPr>
    <w:rPr>
      <w:kern w:val="0"/>
    </w:rPr>
  </w:style>
  <w:style w:type="character" w:customStyle="1" w:styleId="DateChar">
    <w:name w:val="Date Char"/>
    <w:basedOn w:val="DefaultParagraphFont"/>
    <w:link w:val="Date"/>
    <w:uiPriority w:val="99"/>
    <w:semiHidden/>
    <w:locked/>
    <w:rsid w:val="00967B1E"/>
    <w:rPr>
      <w:rFonts w:cs="Times New Roman"/>
      <w:sz w:val="21"/>
      <w:szCs w:val="21"/>
    </w:rPr>
  </w:style>
  <w:style w:type="paragraph" w:styleId="BalloonText">
    <w:name w:val="Balloon Text"/>
    <w:basedOn w:val="Normal"/>
    <w:link w:val="BalloonTextChar"/>
    <w:uiPriority w:val="99"/>
    <w:semiHidden/>
    <w:rsid w:val="00967B1E"/>
    <w:rPr>
      <w:sz w:val="18"/>
      <w:szCs w:val="18"/>
    </w:rPr>
  </w:style>
  <w:style w:type="character" w:customStyle="1" w:styleId="BalloonTextChar">
    <w:name w:val="Balloon Text Char"/>
    <w:basedOn w:val="DefaultParagraphFont"/>
    <w:link w:val="BalloonText"/>
    <w:uiPriority w:val="99"/>
    <w:locked/>
    <w:rsid w:val="00967B1E"/>
    <w:rPr>
      <w:rFonts w:cs="Times New Roman"/>
      <w:kern w:val="2"/>
      <w:sz w:val="18"/>
      <w:szCs w:val="18"/>
    </w:rPr>
  </w:style>
  <w:style w:type="paragraph" w:styleId="Footer">
    <w:name w:val="footer"/>
    <w:basedOn w:val="Normal"/>
    <w:link w:val="FooterChar"/>
    <w:uiPriority w:val="99"/>
    <w:rsid w:val="00967B1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67B1E"/>
    <w:rPr>
      <w:rFonts w:cs="Times New Roman"/>
      <w:kern w:val="2"/>
      <w:sz w:val="18"/>
      <w:szCs w:val="18"/>
    </w:rPr>
  </w:style>
  <w:style w:type="paragraph" w:styleId="Header">
    <w:name w:val="header"/>
    <w:basedOn w:val="Normal"/>
    <w:link w:val="HeaderChar"/>
    <w:uiPriority w:val="99"/>
    <w:rsid w:val="00967B1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67B1E"/>
    <w:rPr>
      <w:rFonts w:cs="Times New Roman"/>
      <w:kern w:val="2"/>
      <w:sz w:val="18"/>
      <w:szCs w:val="18"/>
    </w:rPr>
  </w:style>
  <w:style w:type="character" w:styleId="PageNumber">
    <w:name w:val="page number"/>
    <w:basedOn w:val="DefaultParagraphFont"/>
    <w:uiPriority w:val="99"/>
    <w:rsid w:val="00967B1E"/>
    <w:rPr>
      <w:rFonts w:cs="Times New Roman"/>
    </w:rPr>
  </w:style>
  <w:style w:type="table" w:styleId="TableGrid">
    <w:name w:val="Table Grid"/>
    <w:basedOn w:val="TableNormal"/>
    <w:uiPriority w:val="99"/>
    <w:rsid w:val="00967B1E"/>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495</Words>
  <Characters>2822</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67</cp:revision>
  <cp:lastPrinted>2016-08-03T02:49:00Z</cp:lastPrinted>
  <dcterms:created xsi:type="dcterms:W3CDTF">2016-08-02T09:43:00Z</dcterms:created>
  <dcterms:modified xsi:type="dcterms:W3CDTF">2019-01-15T14:50:00Z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