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E16" w:rsidRDefault="00791E16">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91E16" w:rsidRDefault="00791E16">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年塔什库尔干县驻喀什干休所</w:t>
      </w:r>
    </w:p>
    <w:p w:rsidR="00791E16" w:rsidRDefault="00791E16">
      <w:pPr>
        <w:jc w:val="center"/>
        <w:rPr>
          <w:rFonts w:ascii="宋体" w:cs="宋体"/>
          <w:bCs/>
          <w:sz w:val="44"/>
          <w:szCs w:val="44"/>
        </w:rPr>
      </w:pPr>
      <w:r>
        <w:rPr>
          <w:rFonts w:ascii="宋体" w:hAnsi="宋体" w:cs="宋体" w:hint="eastAsia"/>
          <w:bCs/>
          <w:sz w:val="44"/>
          <w:szCs w:val="44"/>
        </w:rPr>
        <w:t>部门决算说明</w:t>
      </w:r>
    </w:p>
    <w:p w:rsidR="00791E16" w:rsidRDefault="00791E16">
      <w:pPr>
        <w:spacing w:line="560" w:lineRule="exact"/>
        <w:jc w:val="center"/>
        <w:rPr>
          <w:rFonts w:ascii="宋体" w:cs="宋体"/>
          <w:b/>
          <w:bCs/>
          <w:sz w:val="44"/>
          <w:szCs w:val="44"/>
        </w:rPr>
      </w:pPr>
    </w:p>
    <w:p w:rsidR="00791E16" w:rsidRDefault="00791E16" w:rsidP="00D20EA2">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塔什库尔干县驻喀什干休所性质为参照公务员法管理事业单位全额拨款，执行会计制度为行政会计制度。独立编制机构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791E16" w:rsidRDefault="00791E16">
      <w:pPr>
        <w:numPr>
          <w:ilvl w:val="0"/>
          <w:numId w:val="1"/>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主要职能：</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塔什库尔干县驻喀什干休所为退休干部提供修养住所与相关服务管理，退休干部生活扶助，退休干部医疗保健，退休干部生活待遇费发放，退休干部阅读文件，重要活动，文体活动的组织。</w:t>
      </w:r>
    </w:p>
    <w:p w:rsidR="00791E16" w:rsidRDefault="00791E16">
      <w:pPr>
        <w:numPr>
          <w:ilvl w:val="0"/>
          <w:numId w:val="1"/>
        </w:num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机构人员情况：</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纳入塔什库尔干县驻喀什干休所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9"/>
        <w:gridCol w:w="4860"/>
        <w:gridCol w:w="1863"/>
      </w:tblGrid>
      <w:tr w:rsidR="00791E16">
        <w:tc>
          <w:tcPr>
            <w:tcW w:w="1799" w:type="dxa"/>
          </w:tcPr>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4860" w:type="dxa"/>
          </w:tcPr>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863" w:type="dxa"/>
          </w:tcPr>
          <w:p w:rsidR="00791E16" w:rsidRDefault="00791E1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791E16">
        <w:tc>
          <w:tcPr>
            <w:tcW w:w="1799" w:type="dxa"/>
          </w:tcPr>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4860" w:type="dxa"/>
          </w:tcPr>
          <w:p w:rsidR="00791E16" w:rsidRDefault="00791E1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塔什库尔干县驻喀什干休所</w:t>
            </w:r>
          </w:p>
        </w:tc>
        <w:tc>
          <w:tcPr>
            <w:tcW w:w="1863" w:type="dxa"/>
          </w:tcPr>
          <w:p w:rsidR="00791E16" w:rsidRDefault="00791E16">
            <w:pPr>
              <w:spacing w:line="560" w:lineRule="exact"/>
              <w:rPr>
                <w:rFonts w:ascii="仿宋_GB2312" w:eastAsia="仿宋_GB2312" w:hAnsi="仿宋_GB2312" w:cs="仿宋_GB2312"/>
                <w:sz w:val="32"/>
                <w:szCs w:val="32"/>
              </w:rPr>
            </w:pPr>
          </w:p>
        </w:tc>
      </w:tr>
    </w:tbl>
    <w:p w:rsidR="00791E16" w:rsidRDefault="00791E16" w:rsidP="00D20EA2">
      <w:pPr>
        <w:snapToGrid w:val="0"/>
        <w:spacing w:line="560" w:lineRule="exact"/>
        <w:ind w:firstLineChars="196" w:firstLine="630"/>
        <w:rPr>
          <w:rFonts w:ascii="仿宋_GB2312" w:eastAsia="仿宋_GB2312" w:hAnsi="仿宋_GB2312" w:cs="仿宋_GB2312"/>
          <w:b/>
          <w:bCs/>
          <w:sz w:val="32"/>
          <w:szCs w:val="32"/>
        </w:rPr>
      </w:pPr>
      <w:bookmarkStart w:id="0" w:name="YS060102"/>
      <w:r>
        <w:rPr>
          <w:rFonts w:ascii="仿宋_GB2312" w:eastAsia="仿宋_GB2312" w:hAnsi="仿宋_GB2312" w:cs="仿宋_GB2312" w:hint="eastAsia"/>
          <w:b/>
          <w:bCs/>
          <w:sz w:val="32"/>
          <w:szCs w:val="32"/>
        </w:rPr>
        <w:t>第二部分塔什库尔干县驻喀什干休所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791E16" w:rsidRDefault="00791E16">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91E16" w:rsidRDefault="00791E16">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91E16" w:rsidRDefault="00791E16">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91E16" w:rsidRDefault="00791E16" w:rsidP="00D20E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91E16" w:rsidRDefault="00791E16" w:rsidP="00D20EA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91E16" w:rsidRDefault="00791E16" w:rsidP="00D20E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91E16" w:rsidRDefault="00791E16" w:rsidP="00D20E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91E16" w:rsidRDefault="00791E16" w:rsidP="00D20E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91E16" w:rsidRDefault="00791E16" w:rsidP="00D20E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91E16" w:rsidRDefault="00791E16" w:rsidP="00D20E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91E16" w:rsidRDefault="00791E16" w:rsidP="00D20EA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第三部分塔县驻喀什干休所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791E16" w:rsidRDefault="00791E16" w:rsidP="00D20EA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791E16" w:rsidRDefault="00791E16" w:rsidP="008509A6">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791E16" w:rsidRDefault="00791E16">
      <w:pPr>
        <w:numPr>
          <w:ilvl w:val="0"/>
          <w:numId w:val="3"/>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791E16" w:rsidRDefault="00791E16" w:rsidP="00D20EA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91E16" w:rsidRDefault="00791E16" w:rsidP="00D20EA2">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791E16" w:rsidRDefault="00791E16" w:rsidP="00D20EA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91E16" w:rsidRDefault="00791E16" w:rsidP="00D20EA2">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791E16" w:rsidRDefault="00791E16" w:rsidP="00D20EA2">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元。主要原因为：无变化。</w:t>
      </w:r>
      <w:bookmarkStart w:id="1" w:name="_GoBack"/>
      <w:bookmarkEnd w:id="1"/>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1038243.04</w:t>
      </w:r>
      <w:r>
        <w:rPr>
          <w:rFonts w:ascii="仿宋_GB2312" w:eastAsia="仿宋_GB2312" w:hAnsi="仿宋_GB2312" w:cs="仿宋_GB2312" w:hint="eastAsia"/>
          <w:sz w:val="32"/>
          <w:szCs w:val="32"/>
        </w:rPr>
        <w:t>元，减少原因：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月份机关事业养老保险改革后，退休工资社保局发放。</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1038243.04</w:t>
      </w:r>
      <w:r>
        <w:rPr>
          <w:rFonts w:ascii="仿宋_GB2312" w:eastAsia="仿宋_GB2312" w:hAnsi="仿宋_GB2312" w:cs="仿宋_GB2312" w:hint="eastAsia"/>
          <w:sz w:val="32"/>
          <w:szCs w:val="32"/>
        </w:rPr>
        <w:t>元，减少原因：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月份机关事业养老保险改革后，退休工资社保局发放。</w:t>
      </w:r>
    </w:p>
    <w:p w:rsidR="00791E16" w:rsidRDefault="00791E16" w:rsidP="00D20EA2">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2477049.02</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2901622.62</w:t>
      </w:r>
      <w:r>
        <w:rPr>
          <w:rFonts w:ascii="仿宋_GB2312" w:eastAsia="仿宋_GB2312" w:hAnsi="仿宋_GB2312" w:cs="仿宋_GB2312" w:hint="eastAsia"/>
          <w:sz w:val="32"/>
          <w:szCs w:val="32"/>
        </w:rPr>
        <w:t>元，差异原因：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月份机关事业养老保险改革后，退休工资社保局发放，财政核减了</w:t>
      </w:r>
      <w:r>
        <w:rPr>
          <w:rFonts w:ascii="仿宋_GB2312" w:eastAsia="仿宋_GB2312" w:hAnsi="仿宋_GB2312" w:cs="仿宋_GB2312"/>
          <w:sz w:val="32"/>
          <w:szCs w:val="32"/>
        </w:rPr>
        <w:t>9-12</w:t>
      </w:r>
      <w:r>
        <w:rPr>
          <w:rFonts w:ascii="仿宋_GB2312" w:eastAsia="仿宋_GB2312" w:hAnsi="仿宋_GB2312" w:cs="仿宋_GB2312" w:hint="eastAsia"/>
          <w:sz w:val="32"/>
          <w:szCs w:val="32"/>
        </w:rPr>
        <w:t>月份退休人员工资。</w:t>
      </w:r>
    </w:p>
    <w:p w:rsidR="00791E16" w:rsidRDefault="00791E16" w:rsidP="00D20EA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年塔什库尔干县驻喀什干休所机关运行经费支出</w:t>
      </w:r>
      <w:r>
        <w:rPr>
          <w:rFonts w:ascii="仿宋_GB2312" w:eastAsia="仿宋_GB2312" w:hAnsi="仿宋_GB2312" w:cs="仿宋_GB2312"/>
          <w:sz w:val="32"/>
          <w:szCs w:val="32"/>
        </w:rPr>
        <w:t>56582</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25982</w:t>
      </w:r>
      <w:r>
        <w:rPr>
          <w:rFonts w:ascii="仿宋_GB2312" w:eastAsia="仿宋_GB2312" w:hAnsi="仿宋_GB2312" w:cs="仿宋_GB2312" w:hint="eastAsia"/>
          <w:sz w:val="32"/>
          <w:szCs w:val="32"/>
        </w:rPr>
        <w:t>元，增长</w:t>
      </w:r>
      <w:r>
        <w:rPr>
          <w:rFonts w:ascii="仿宋_GB2312" w:eastAsia="仿宋_GB2312" w:hAnsi="仿宋_GB2312" w:cs="仿宋_GB2312"/>
          <w:sz w:val="32"/>
          <w:szCs w:val="32"/>
        </w:rPr>
        <w:t>84.91%</w:t>
      </w:r>
      <w:r>
        <w:rPr>
          <w:rFonts w:ascii="仿宋_GB2312" w:eastAsia="仿宋_GB2312" w:hAnsi="仿宋_GB2312" w:cs="仿宋_GB2312" w:hint="eastAsia"/>
          <w:sz w:val="32"/>
          <w:szCs w:val="32"/>
        </w:rPr>
        <w:t>，主要原因是：本年干休所打报告要了离退休干部活动经费。</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年塔什库尔干县驻喀什干休所政府采购支出总额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年，塔什库尔干县驻喀什干休所共组织对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791E16" w:rsidRDefault="00791E1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791E16" w:rsidRDefault="00791E16">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91E16" w:rsidRDefault="00791E16" w:rsidP="00D20EA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91E16" w:rsidRDefault="00791E16" w:rsidP="008509A6">
      <w:pPr>
        <w:spacing w:line="560" w:lineRule="exact"/>
        <w:ind w:firstLineChars="200" w:firstLine="640"/>
        <w:rPr>
          <w:rFonts w:ascii="仿宋_GB2312" w:eastAsia="仿宋_GB2312" w:hAnsi="仿宋_GB2312" w:cs="仿宋_GB2312"/>
          <w:sz w:val="32"/>
          <w:szCs w:val="32"/>
        </w:rPr>
      </w:pPr>
    </w:p>
    <w:sectPr w:rsidR="00791E16" w:rsidSect="00EC044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E16" w:rsidRDefault="00791E16" w:rsidP="00EC0442">
      <w:r>
        <w:separator/>
      </w:r>
    </w:p>
  </w:endnote>
  <w:endnote w:type="continuationSeparator" w:id="0">
    <w:p w:rsidR="00791E16" w:rsidRDefault="00791E16" w:rsidP="00EC04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91E16" w:rsidRDefault="00791E1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E16" w:rsidRDefault="00791E16" w:rsidP="00EC0442">
      <w:r>
        <w:separator/>
      </w:r>
    </w:p>
  </w:footnote>
  <w:footnote w:type="continuationSeparator" w:id="0">
    <w:p w:rsidR="00791E16" w:rsidRDefault="00791E16" w:rsidP="00EC04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rsidP="00D20EA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E16" w:rsidRDefault="00791E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30A3"/>
    <w:multiLevelType w:val="multilevel"/>
    <w:tmpl w:val="041B30A3"/>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45790"/>
    <w:rsid w:val="00052FE0"/>
    <w:rsid w:val="00054384"/>
    <w:rsid w:val="000703F5"/>
    <w:rsid w:val="0007697D"/>
    <w:rsid w:val="000775E8"/>
    <w:rsid w:val="0008623F"/>
    <w:rsid w:val="00086A97"/>
    <w:rsid w:val="00091F7F"/>
    <w:rsid w:val="00094D69"/>
    <w:rsid w:val="0009656B"/>
    <w:rsid w:val="000A5DE3"/>
    <w:rsid w:val="000A65DB"/>
    <w:rsid w:val="000B1596"/>
    <w:rsid w:val="000B5213"/>
    <w:rsid w:val="000C2342"/>
    <w:rsid w:val="000C3B20"/>
    <w:rsid w:val="000E7FFD"/>
    <w:rsid w:val="000F6CEA"/>
    <w:rsid w:val="0010183B"/>
    <w:rsid w:val="00125ECD"/>
    <w:rsid w:val="00134D73"/>
    <w:rsid w:val="00140E78"/>
    <w:rsid w:val="00142BCE"/>
    <w:rsid w:val="00147040"/>
    <w:rsid w:val="00151463"/>
    <w:rsid w:val="00170582"/>
    <w:rsid w:val="001870FE"/>
    <w:rsid w:val="00190B9F"/>
    <w:rsid w:val="001943AB"/>
    <w:rsid w:val="001B00B3"/>
    <w:rsid w:val="001D09C9"/>
    <w:rsid w:val="001D68C4"/>
    <w:rsid w:val="001E4658"/>
    <w:rsid w:val="001E7C6A"/>
    <w:rsid w:val="001F2B9D"/>
    <w:rsid w:val="001F33C0"/>
    <w:rsid w:val="001F6EF5"/>
    <w:rsid w:val="0020099B"/>
    <w:rsid w:val="00205C3B"/>
    <w:rsid w:val="00242FE4"/>
    <w:rsid w:val="00257F78"/>
    <w:rsid w:val="00262C89"/>
    <w:rsid w:val="00265B72"/>
    <w:rsid w:val="002743C3"/>
    <w:rsid w:val="00286129"/>
    <w:rsid w:val="00287A2E"/>
    <w:rsid w:val="002B5B38"/>
    <w:rsid w:val="002C0924"/>
    <w:rsid w:val="002C37F3"/>
    <w:rsid w:val="002C677C"/>
    <w:rsid w:val="002C740B"/>
    <w:rsid w:val="002D02F4"/>
    <w:rsid w:val="00303B2E"/>
    <w:rsid w:val="00305C82"/>
    <w:rsid w:val="003158E9"/>
    <w:rsid w:val="00316601"/>
    <w:rsid w:val="00332EBC"/>
    <w:rsid w:val="00333969"/>
    <w:rsid w:val="003472C5"/>
    <w:rsid w:val="00347996"/>
    <w:rsid w:val="003632BC"/>
    <w:rsid w:val="00374CD2"/>
    <w:rsid w:val="00385FD0"/>
    <w:rsid w:val="003B0831"/>
    <w:rsid w:val="003B594E"/>
    <w:rsid w:val="003B7356"/>
    <w:rsid w:val="003C2E54"/>
    <w:rsid w:val="003D0C72"/>
    <w:rsid w:val="003D670D"/>
    <w:rsid w:val="003F2954"/>
    <w:rsid w:val="004011AD"/>
    <w:rsid w:val="0040177E"/>
    <w:rsid w:val="00406AB0"/>
    <w:rsid w:val="00417715"/>
    <w:rsid w:val="00420614"/>
    <w:rsid w:val="0043072D"/>
    <w:rsid w:val="00434EEE"/>
    <w:rsid w:val="00446503"/>
    <w:rsid w:val="0045212A"/>
    <w:rsid w:val="00455762"/>
    <w:rsid w:val="00457BD9"/>
    <w:rsid w:val="004743B3"/>
    <w:rsid w:val="00486188"/>
    <w:rsid w:val="00487059"/>
    <w:rsid w:val="004A08C1"/>
    <w:rsid w:val="004A1022"/>
    <w:rsid w:val="004A28B1"/>
    <w:rsid w:val="004B6AAB"/>
    <w:rsid w:val="004C74C9"/>
    <w:rsid w:val="004D0F8E"/>
    <w:rsid w:val="004D2787"/>
    <w:rsid w:val="004D41B1"/>
    <w:rsid w:val="004D48D7"/>
    <w:rsid w:val="004D6EDE"/>
    <w:rsid w:val="004D6F93"/>
    <w:rsid w:val="0050291C"/>
    <w:rsid w:val="005272D8"/>
    <w:rsid w:val="00530B57"/>
    <w:rsid w:val="00532879"/>
    <w:rsid w:val="00540D7A"/>
    <w:rsid w:val="00552714"/>
    <w:rsid w:val="00552B99"/>
    <w:rsid w:val="00553E14"/>
    <w:rsid w:val="00557C81"/>
    <w:rsid w:val="00565025"/>
    <w:rsid w:val="005766BD"/>
    <w:rsid w:val="00592401"/>
    <w:rsid w:val="00595CD5"/>
    <w:rsid w:val="005A0EA5"/>
    <w:rsid w:val="005D008D"/>
    <w:rsid w:val="005D5345"/>
    <w:rsid w:val="005D6922"/>
    <w:rsid w:val="005E08D6"/>
    <w:rsid w:val="005F66A5"/>
    <w:rsid w:val="0062411B"/>
    <w:rsid w:val="00642F1B"/>
    <w:rsid w:val="006537AC"/>
    <w:rsid w:val="0065791C"/>
    <w:rsid w:val="0066538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70B19"/>
    <w:rsid w:val="00774810"/>
    <w:rsid w:val="00782159"/>
    <w:rsid w:val="00791E16"/>
    <w:rsid w:val="00792E36"/>
    <w:rsid w:val="00793D15"/>
    <w:rsid w:val="007978CD"/>
    <w:rsid w:val="007A2BDC"/>
    <w:rsid w:val="007D75E2"/>
    <w:rsid w:val="007F238C"/>
    <w:rsid w:val="00800D95"/>
    <w:rsid w:val="008012F4"/>
    <w:rsid w:val="00806E0D"/>
    <w:rsid w:val="008104D1"/>
    <w:rsid w:val="00815033"/>
    <w:rsid w:val="00842279"/>
    <w:rsid w:val="00842DAA"/>
    <w:rsid w:val="00843BFE"/>
    <w:rsid w:val="00847706"/>
    <w:rsid w:val="008509A6"/>
    <w:rsid w:val="00854186"/>
    <w:rsid w:val="00862957"/>
    <w:rsid w:val="008664F8"/>
    <w:rsid w:val="0087559D"/>
    <w:rsid w:val="00877032"/>
    <w:rsid w:val="00880D0D"/>
    <w:rsid w:val="008872A2"/>
    <w:rsid w:val="00895A64"/>
    <w:rsid w:val="008A0DC9"/>
    <w:rsid w:val="008A585F"/>
    <w:rsid w:val="008B02AA"/>
    <w:rsid w:val="008C5ABD"/>
    <w:rsid w:val="008D28A9"/>
    <w:rsid w:val="008E018A"/>
    <w:rsid w:val="008E26A2"/>
    <w:rsid w:val="009078E5"/>
    <w:rsid w:val="00910498"/>
    <w:rsid w:val="00912ADD"/>
    <w:rsid w:val="00921F8C"/>
    <w:rsid w:val="00954B4B"/>
    <w:rsid w:val="00961674"/>
    <w:rsid w:val="009629E8"/>
    <w:rsid w:val="0098174A"/>
    <w:rsid w:val="00986E5F"/>
    <w:rsid w:val="009A7D21"/>
    <w:rsid w:val="009C453B"/>
    <w:rsid w:val="009C7F6B"/>
    <w:rsid w:val="009F1B75"/>
    <w:rsid w:val="009F39C7"/>
    <w:rsid w:val="009F6D25"/>
    <w:rsid w:val="00A32422"/>
    <w:rsid w:val="00A3418E"/>
    <w:rsid w:val="00A407D1"/>
    <w:rsid w:val="00A65801"/>
    <w:rsid w:val="00A849BA"/>
    <w:rsid w:val="00A97E66"/>
    <w:rsid w:val="00AA1759"/>
    <w:rsid w:val="00AA3003"/>
    <w:rsid w:val="00AC139B"/>
    <w:rsid w:val="00AC4897"/>
    <w:rsid w:val="00AD7784"/>
    <w:rsid w:val="00AE6CFF"/>
    <w:rsid w:val="00B0409B"/>
    <w:rsid w:val="00B046E5"/>
    <w:rsid w:val="00B12D5C"/>
    <w:rsid w:val="00B21656"/>
    <w:rsid w:val="00B21C5E"/>
    <w:rsid w:val="00B22323"/>
    <w:rsid w:val="00B24563"/>
    <w:rsid w:val="00B455F0"/>
    <w:rsid w:val="00B51BCD"/>
    <w:rsid w:val="00B635BA"/>
    <w:rsid w:val="00B677E5"/>
    <w:rsid w:val="00B919A9"/>
    <w:rsid w:val="00BA5ACB"/>
    <w:rsid w:val="00BB2497"/>
    <w:rsid w:val="00BB372B"/>
    <w:rsid w:val="00BC01BD"/>
    <w:rsid w:val="00C060DF"/>
    <w:rsid w:val="00C148F2"/>
    <w:rsid w:val="00C15174"/>
    <w:rsid w:val="00C17D9A"/>
    <w:rsid w:val="00C238AB"/>
    <w:rsid w:val="00C4155A"/>
    <w:rsid w:val="00C45F21"/>
    <w:rsid w:val="00C519BC"/>
    <w:rsid w:val="00C605BD"/>
    <w:rsid w:val="00C61DC5"/>
    <w:rsid w:val="00C62423"/>
    <w:rsid w:val="00C87DC0"/>
    <w:rsid w:val="00C90F24"/>
    <w:rsid w:val="00C955CC"/>
    <w:rsid w:val="00CA6F46"/>
    <w:rsid w:val="00CB3117"/>
    <w:rsid w:val="00CC576E"/>
    <w:rsid w:val="00CC57F0"/>
    <w:rsid w:val="00CE1862"/>
    <w:rsid w:val="00CE37ED"/>
    <w:rsid w:val="00D16906"/>
    <w:rsid w:val="00D20EA2"/>
    <w:rsid w:val="00D264C9"/>
    <w:rsid w:val="00D4613F"/>
    <w:rsid w:val="00D5318C"/>
    <w:rsid w:val="00D53AF6"/>
    <w:rsid w:val="00D554FC"/>
    <w:rsid w:val="00D65A83"/>
    <w:rsid w:val="00D81E3D"/>
    <w:rsid w:val="00D949F7"/>
    <w:rsid w:val="00D971DD"/>
    <w:rsid w:val="00DA057C"/>
    <w:rsid w:val="00DA16BE"/>
    <w:rsid w:val="00DB13AB"/>
    <w:rsid w:val="00DB2FC5"/>
    <w:rsid w:val="00DE344D"/>
    <w:rsid w:val="00DE619D"/>
    <w:rsid w:val="00E058B5"/>
    <w:rsid w:val="00E1589B"/>
    <w:rsid w:val="00E31EA4"/>
    <w:rsid w:val="00E339F2"/>
    <w:rsid w:val="00E50A0F"/>
    <w:rsid w:val="00E774D0"/>
    <w:rsid w:val="00E8388E"/>
    <w:rsid w:val="00E85AB8"/>
    <w:rsid w:val="00E95402"/>
    <w:rsid w:val="00EA5F52"/>
    <w:rsid w:val="00EB563F"/>
    <w:rsid w:val="00EB7DD0"/>
    <w:rsid w:val="00EC0442"/>
    <w:rsid w:val="00EC1979"/>
    <w:rsid w:val="00EC282F"/>
    <w:rsid w:val="00ED7C8E"/>
    <w:rsid w:val="00EE2E07"/>
    <w:rsid w:val="00EE66B1"/>
    <w:rsid w:val="00EF3B2C"/>
    <w:rsid w:val="00EF7B17"/>
    <w:rsid w:val="00F0364D"/>
    <w:rsid w:val="00F06CB4"/>
    <w:rsid w:val="00F16C5D"/>
    <w:rsid w:val="00F2334F"/>
    <w:rsid w:val="00F453E0"/>
    <w:rsid w:val="00F627E2"/>
    <w:rsid w:val="00F81C9E"/>
    <w:rsid w:val="00F820FC"/>
    <w:rsid w:val="00FA08FE"/>
    <w:rsid w:val="00FB61FC"/>
    <w:rsid w:val="00FC1406"/>
    <w:rsid w:val="00FD74D0"/>
    <w:rsid w:val="00FE67A0"/>
    <w:rsid w:val="00FF5D03"/>
    <w:rsid w:val="01B06095"/>
    <w:rsid w:val="09393172"/>
    <w:rsid w:val="0B614A41"/>
    <w:rsid w:val="16A3039B"/>
    <w:rsid w:val="2B555A4C"/>
    <w:rsid w:val="2DC77EA7"/>
    <w:rsid w:val="38A55517"/>
    <w:rsid w:val="3C99744A"/>
    <w:rsid w:val="3D6A3A3F"/>
    <w:rsid w:val="47C81166"/>
    <w:rsid w:val="4E366D47"/>
    <w:rsid w:val="4E5521D1"/>
    <w:rsid w:val="628964F1"/>
    <w:rsid w:val="750C7C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44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C0442"/>
    <w:pPr>
      <w:ind w:leftChars="2500" w:left="100"/>
    </w:pPr>
    <w:rPr>
      <w:kern w:val="0"/>
    </w:rPr>
  </w:style>
  <w:style w:type="character" w:customStyle="1" w:styleId="DateChar">
    <w:name w:val="Date Char"/>
    <w:basedOn w:val="DefaultParagraphFont"/>
    <w:link w:val="Date"/>
    <w:uiPriority w:val="99"/>
    <w:semiHidden/>
    <w:locked/>
    <w:rsid w:val="00EC0442"/>
    <w:rPr>
      <w:rFonts w:cs="Times New Roman"/>
      <w:sz w:val="21"/>
      <w:szCs w:val="21"/>
    </w:rPr>
  </w:style>
  <w:style w:type="paragraph" w:styleId="BalloonText">
    <w:name w:val="Balloon Text"/>
    <w:basedOn w:val="Normal"/>
    <w:link w:val="BalloonTextChar"/>
    <w:uiPriority w:val="99"/>
    <w:semiHidden/>
    <w:rsid w:val="00EC0442"/>
    <w:rPr>
      <w:sz w:val="18"/>
      <w:szCs w:val="18"/>
    </w:rPr>
  </w:style>
  <w:style w:type="character" w:customStyle="1" w:styleId="BalloonTextChar">
    <w:name w:val="Balloon Text Char"/>
    <w:basedOn w:val="DefaultParagraphFont"/>
    <w:link w:val="BalloonText"/>
    <w:uiPriority w:val="99"/>
    <w:locked/>
    <w:rsid w:val="00EC0442"/>
    <w:rPr>
      <w:rFonts w:cs="Times New Roman"/>
      <w:kern w:val="2"/>
      <w:sz w:val="18"/>
      <w:szCs w:val="18"/>
    </w:rPr>
  </w:style>
  <w:style w:type="paragraph" w:styleId="Footer">
    <w:name w:val="footer"/>
    <w:basedOn w:val="Normal"/>
    <w:link w:val="FooterChar"/>
    <w:uiPriority w:val="99"/>
    <w:rsid w:val="00EC044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C0442"/>
    <w:rPr>
      <w:rFonts w:cs="Times New Roman"/>
      <w:kern w:val="2"/>
      <w:sz w:val="18"/>
      <w:szCs w:val="18"/>
    </w:rPr>
  </w:style>
  <w:style w:type="paragraph" w:styleId="Header">
    <w:name w:val="header"/>
    <w:basedOn w:val="Normal"/>
    <w:link w:val="HeaderChar"/>
    <w:uiPriority w:val="99"/>
    <w:rsid w:val="00EC044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C0442"/>
    <w:rPr>
      <w:rFonts w:cs="Times New Roman"/>
      <w:kern w:val="2"/>
      <w:sz w:val="18"/>
      <w:szCs w:val="18"/>
    </w:rPr>
  </w:style>
  <w:style w:type="character" w:styleId="PageNumber">
    <w:name w:val="page number"/>
    <w:basedOn w:val="DefaultParagraphFont"/>
    <w:uiPriority w:val="99"/>
    <w:rsid w:val="00EC0442"/>
    <w:rPr>
      <w:rFonts w:cs="Times New Roman"/>
    </w:rPr>
  </w:style>
  <w:style w:type="table" w:styleId="TableGrid">
    <w:name w:val="Table Grid"/>
    <w:basedOn w:val="TableNormal"/>
    <w:uiPriority w:val="99"/>
    <w:rsid w:val="00EC044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457</Words>
  <Characters>2605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23</cp:revision>
  <cp:lastPrinted>2016-08-03T02:49:00Z</cp:lastPrinted>
  <dcterms:created xsi:type="dcterms:W3CDTF">2017-06-08T10:51:00Z</dcterms:created>
  <dcterms:modified xsi:type="dcterms:W3CDTF">2019-01-15T14:51:00Z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