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2018年度新疆喀什地区塔什库尔干县卫生局卫生监督所部门决算</w:t>
      </w:r>
      <w:r>
        <w:rPr>
          <w:rFonts w:hint="eastAsia" w:ascii="方正小标宋_GBK" w:hAnsi="宋体" w:eastAsia="方正小标宋_GBK"/>
          <w:sz w:val="44"/>
          <w:szCs w:val="44"/>
          <w:lang w:val="en-US" w:eastAsia="zh-CN"/>
        </w:rPr>
        <w:t>公</w:t>
      </w:r>
      <w:r>
        <w:rPr>
          <w:rFonts w:hint="eastAsia" w:ascii="方正小标宋_GBK" w:hAnsi="宋体" w:eastAsia="方正小标宋_GBK"/>
          <w:sz w:val="44"/>
          <w:szCs w:val="44"/>
        </w:rPr>
        <w:t>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部门主要职能县卫生监督所是县卫生局专职承担卫生监督执法工作(包括食品卫生、医疗保健、公共场所卫生、化妆品卫生、保健用品、生活饮用水、学校卫生、职业卫生、放射卫生执法)的办事机构。其主要职责。（一）组织实施县卫生行政部门制定的卫生监督规划,指导全县卫生监督执法活动。（二）负责卫生许可的申请、受理、审查、上报和批准后的发证工作。(三）开展巡回卫生监督检查，查处违反卫生法律、法规、规章的重大案件，负责对卫生污染、中毒事故等重大突发事件进行调查取证并提出处理意见。（四）负责组织全县健康相关产品检查工作，及时上报和公告抽检结果。（五）负责受理投诉、举报和咨询，开展卫生监督稽查工作。（六）负责全县卫生监督员的管理与培训工作。（七）对新建、改建、扩建和技术改造等建设项目选址、设计和施工进行预防性卫生监督。（八）负责卫生监督统计工作。（九）承担卫生行政部门交付的其他卫生监督执法任务。</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新疆喀什地区塔什库尔干县卫生局卫生监督所</w:t>
      </w:r>
      <w:r>
        <w:rPr>
          <w:rFonts w:hint="eastAsia" w:ascii="仿宋_GB2312" w:eastAsia="仿宋_GB2312"/>
          <w:sz w:val="32"/>
          <w:szCs w:val="32"/>
        </w:rPr>
        <w:t>部门决算包括：</w:t>
      </w:r>
      <w:r>
        <w:rPr>
          <w:rFonts w:ascii="仿宋_GB2312" w:eastAsia="仿宋_GB2312"/>
          <w:sz w:val="32"/>
          <w:szCs w:val="32"/>
        </w:rPr>
        <w:t>新疆喀什地区塔什库尔干县卫生局卫生监督所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新疆喀什地区塔什库尔干县卫生局卫生监督所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1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6669"/>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393" w:type="dxa"/>
            <w:vAlign w:val="center"/>
          </w:tcPr>
          <w:p>
            <w:pPr>
              <w:spacing w:line="500" w:lineRule="exact"/>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6669"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402"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93"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6669"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新疆喀什地区塔什库尔干县卫生局卫生监督所</w:t>
            </w:r>
          </w:p>
        </w:tc>
        <w:tc>
          <w:tcPr>
            <w:tcW w:w="1402"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outlineLvl w:val="9"/>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rPr>
        <w:t>2018年度收入</w:t>
      </w:r>
      <w:r>
        <w:rPr>
          <w:rFonts w:hint="eastAsia" w:ascii="仿宋_GB2312" w:eastAsia="仿宋_GB2312"/>
          <w:sz w:val="32"/>
          <w:szCs w:val="32"/>
        </w:rPr>
        <w:t>89.17</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，与上年相比，减少20.55万元，下降18.73%，减少的主要原因是：</w:t>
      </w:r>
      <w:r>
        <w:rPr>
          <w:rFonts w:hint="eastAsia" w:ascii="仿宋_GB2312" w:eastAsia="仿宋_GB2312"/>
          <w:color w:val="000000" w:themeColor="text1"/>
          <w:sz w:val="32"/>
          <w:szCs w:val="32"/>
        </w:rPr>
        <w:t>2018年度较上年相比无抚恤金支出；</w:t>
      </w:r>
      <w:bookmarkStart w:id="7" w:name="OLE_LINK53"/>
      <w:bookmarkEnd w:id="6"/>
      <w:r>
        <w:rPr>
          <w:rFonts w:hint="eastAsia" w:ascii="仿宋_GB2312" w:eastAsia="仿宋_GB2312"/>
          <w:color w:val="000000" w:themeColor="text1"/>
          <w:sz w:val="32"/>
          <w:szCs w:val="32"/>
        </w:rPr>
        <w:t>支出</w:t>
      </w:r>
      <w:r>
        <w:rPr>
          <w:rFonts w:hint="eastAsia" w:ascii="仿宋_GB2312" w:eastAsia="仿宋_GB2312"/>
          <w:sz w:val="32"/>
          <w:szCs w:val="32"/>
        </w:rPr>
        <w:t>89.17</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，与上年相比，减少20.55万元，下降18.73%，减少的主要原因是：</w:t>
      </w:r>
      <w:r>
        <w:rPr>
          <w:rFonts w:hint="eastAsia" w:ascii="仿宋_GB2312" w:eastAsia="仿宋_GB2312"/>
          <w:color w:val="000000" w:themeColor="text1"/>
          <w:sz w:val="32"/>
          <w:szCs w:val="32"/>
        </w:rPr>
        <w:t>2018年度较上年相比无抚恤金支出；</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ascii="仿宋_GB2312" w:eastAsia="仿宋_GB2312"/>
          <w:color w:val="000000"/>
          <w:sz w:val="32"/>
          <w:szCs w:val="32"/>
        </w:rPr>
        <w:t>无变化。</w:t>
      </w:r>
      <w:bookmarkEnd w:id="8"/>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ascii="楷体_GB2312" w:eastAsia="楷体_GB2312"/>
          <w:b/>
          <w:bCs/>
          <w:sz w:val="32"/>
          <w:szCs w:val="32"/>
        </w:rPr>
      </w:pPr>
      <w:r>
        <w:rPr>
          <w:rFonts w:hint="eastAsia" w:ascii="楷体_GB2312" w:eastAsia="楷体_GB2312"/>
          <w:b/>
          <w:bCs/>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89.17</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89.17</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况：本年收入年初预算数95.42万元</w:t>
      </w:r>
      <w:r>
        <w:rPr>
          <w:rFonts w:hint="eastAsia" w:ascii="仿宋_GB2312" w:eastAsia="仿宋_GB2312"/>
          <w:sz w:val="32"/>
          <w:szCs w:val="32"/>
        </w:rPr>
        <w:t>，决算数89.17万元</w:t>
      </w:r>
      <w:r>
        <w:rPr>
          <w:rFonts w:ascii="仿宋_GB2312" w:eastAsia="仿宋_GB2312"/>
          <w:sz w:val="32"/>
          <w:szCs w:val="32"/>
        </w:rPr>
        <w:t>，预决算差异率-6.55%，差异主要原因是退休1人在职工资减少以及压减办公经费。</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89.17</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89.17</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与年初预算数相比情况：本年支出年初预算数95.42万元，</w:t>
      </w:r>
      <w:r>
        <w:rPr>
          <w:rFonts w:hint="eastAsia" w:ascii="仿宋_GB2312" w:eastAsia="仿宋_GB2312"/>
          <w:sz w:val="32"/>
          <w:szCs w:val="32"/>
        </w:rPr>
        <w:t>决算数89.17万元</w:t>
      </w:r>
      <w:r>
        <w:rPr>
          <w:rFonts w:ascii="仿宋_GB2312" w:eastAsia="仿宋_GB2312"/>
          <w:sz w:val="32"/>
          <w:szCs w:val="32"/>
        </w:rPr>
        <w:t>，预决算差异率-6.55%，差异主要原因是退休1人在职工资减少以及压减办公经费。</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lang w:val="en-US" w:eastAsia="zh-CN"/>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89.17</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，与上年相比，减少20.55万元，下降18.73%，减少的主要原因是：2018年度较上年相比无抚恤金支出。</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89.17</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，与上年相比，减少20.55万元，下降18.73%，减少的主要原因是：</w:t>
      </w:r>
      <w:r>
        <w:rPr>
          <w:rFonts w:ascii="仿宋_GB2312" w:eastAsia="仿宋_GB2312"/>
          <w:sz w:val="32"/>
          <w:szCs w:val="32"/>
        </w:rPr>
        <w:t>2018年度较上年相比无抚恤金支出。</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89.17</w:t>
      </w:r>
      <w:r>
        <w:rPr>
          <w:rFonts w:hint="eastAsia" w:ascii="仿宋_GB2312" w:eastAsia="仿宋_GB2312"/>
          <w:color w:val="000000" w:themeColor="text1"/>
          <w:sz w:val="32"/>
          <w:szCs w:val="32"/>
        </w:rPr>
        <w:t>万元，项目支出</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29"/>
      <w:bookmarkStart w:id="31" w:name="OLE_LINK16"/>
      <w:bookmarkStart w:id="32" w:name="OLE_LINK62"/>
      <w:r>
        <w:rPr>
          <w:rFonts w:hint="eastAsia" w:ascii="仿宋_GB2312" w:eastAsia="仿宋_GB2312"/>
          <w:color w:val="000000"/>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w:t>
      </w:r>
      <w:bookmarkStart w:id="88" w:name="_GoBack"/>
      <w:bookmarkEnd w:id="88"/>
      <w:r>
        <w:rPr>
          <w:rFonts w:hint="eastAsia" w:ascii="仿宋_GB2312" w:eastAsia="仿宋_GB2312"/>
          <w:sz w:val="32"/>
          <w:szCs w:val="32"/>
          <w:lang w:val="en-US" w:eastAsia="zh-CN"/>
        </w:rPr>
        <w:t>的主要原因是：本年与上年均无结转结余资金。</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95.42</w:t>
      </w:r>
      <w:r>
        <w:rPr>
          <w:rFonts w:hint="eastAsia" w:ascii="仿宋_GB2312" w:eastAsia="仿宋_GB2312"/>
          <w:color w:val="000000" w:themeColor="text1"/>
          <w:sz w:val="32"/>
          <w:szCs w:val="32"/>
        </w:rPr>
        <w:t>万元，决算数</w:t>
      </w:r>
      <w:r>
        <w:rPr>
          <w:rFonts w:hint="eastAsia" w:ascii="仿宋_GB2312" w:eastAsia="仿宋_GB2312"/>
          <w:sz w:val="32"/>
          <w:szCs w:val="32"/>
        </w:rPr>
        <w:t>89.17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，预决算差异率-6.55%，差异主要原因是退休1人在职工资减少以及压减办公经费。</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95.42</w:t>
      </w:r>
      <w:r>
        <w:rPr>
          <w:rFonts w:hint="eastAsia" w:ascii="仿宋_GB2312" w:eastAsia="仿宋_GB2312"/>
          <w:color w:val="000000" w:themeColor="text1"/>
          <w:sz w:val="32"/>
          <w:szCs w:val="32"/>
        </w:rPr>
        <w:t>万元，决算数</w:t>
      </w:r>
      <w:r>
        <w:rPr>
          <w:rFonts w:hint="eastAsia" w:ascii="仿宋_GB2312" w:eastAsia="仿宋_GB2312"/>
          <w:sz w:val="32"/>
          <w:szCs w:val="32"/>
        </w:rPr>
        <w:t>89.17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，预决算差异率-6.55%，差异主要原因是退休1人在职工资减少以及压减办公经费。</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89.17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，与上年相比，减少20.55万元，下降18.73%，减少的主要原因是：2018年度较上年相比无抚恤金支出。</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89.17</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，与上年相比，减少20.55万元，下降18.73%，减少的主要原因是：2018年度较上年相比无抚恤金支出。</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医疗卫生与计划生育支出76.37万元,住房保障支出5.22万元,社会保障和就业支出7.58万元。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工资福利支出80.71万元,商品和服务支出3.21万元,对个人和家庭的补助5.26万元。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95.42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89.17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，预决算差异率-6.55%，差异主要原因是退休1人在职工资减少以及压减办公经费。</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95.42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89.17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，预决算差异率-6.55%，差异主要原因是退休1人在职工资减少以及压减办公经费。</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rPr>
          <w:rFonts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2" w:name="OLE_LINK74"/>
      <w:r>
        <w:rPr>
          <w:rFonts w:hint="eastAsia" w:ascii="仿宋_GB2312" w:eastAsia="仿宋_GB2312"/>
          <w:color w:val="000000" w:themeColor="text1"/>
          <w:sz w:val="32"/>
          <w:szCs w:val="32"/>
        </w:rPr>
        <w:t>2018年度</w:t>
      </w:r>
      <w:bookmarkStart w:id="53" w:name="OLE_LINK29"/>
      <w:r>
        <w:rPr>
          <w:rFonts w:hint="eastAsia" w:ascii="仿宋_GB2312" w:eastAsia="仿宋_GB2312"/>
          <w:color w:val="000000" w:themeColor="text1"/>
          <w:sz w:val="32"/>
          <w:szCs w:val="32"/>
        </w:rPr>
        <w:t>一般公共预算“三公”经费支出决算</w:t>
      </w:r>
      <w:bookmarkEnd w:id="53"/>
      <w:r>
        <w:rPr>
          <w:rFonts w:hint="eastAsia" w:ascii="仿宋_GB2312" w:eastAsia="仿宋_GB2312"/>
          <w:sz w:val="32"/>
          <w:szCs w:val="32"/>
        </w:rPr>
        <w:t>1.69</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，与上年相比，减少0.21万元，下降11.05%，减少的主要原因是：</w:t>
      </w:r>
      <w:r>
        <w:rPr>
          <w:rFonts w:ascii="仿宋_GB2312" w:eastAsia="仿宋_GB2312"/>
          <w:color w:val="000000" w:themeColor="text1"/>
          <w:sz w:val="32"/>
          <w:szCs w:val="32"/>
        </w:rPr>
        <w:t>严格控制公务用车外出次数及运行维护费，压减“三公”经费支出</w:t>
      </w:r>
      <w:r>
        <w:rPr>
          <w:rFonts w:hint="eastAsia" w:ascii="仿宋_GB2312" w:eastAsia="仿宋_GB2312"/>
          <w:sz w:val="32"/>
          <w:szCs w:val="32"/>
        </w:rPr>
        <w:t>。</w:t>
      </w:r>
      <w:bookmarkEnd w:id="52"/>
      <w:bookmarkStart w:id="54" w:name="OLE_LINK75"/>
      <w:r>
        <w:rPr>
          <w:rFonts w:hint="eastAsia" w:ascii="仿宋_GB2312" w:eastAsia="仿宋_GB2312"/>
          <w:color w:val="000000" w:themeColor="text1"/>
          <w:sz w:val="32"/>
          <w:szCs w:val="32"/>
        </w:rPr>
        <w:t>其中，</w:t>
      </w:r>
      <w:bookmarkStart w:id="55" w:name="OLE_LINK30"/>
      <w:r>
        <w:rPr>
          <w:rFonts w:hint="eastAsia" w:ascii="仿宋_GB2312" w:eastAsia="仿宋_GB2312"/>
          <w:color w:val="000000" w:themeColor="text1"/>
          <w:sz w:val="32"/>
          <w:szCs w:val="32"/>
        </w:rPr>
        <w:t>因公出国（境）费支出</w:t>
      </w:r>
      <w:bookmarkEnd w:id="55"/>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bookmarkEnd w:id="54"/>
      <w:bookmarkStart w:id="56" w:name="OLE_LINK31"/>
      <w:bookmarkStart w:id="57" w:name="OLE_LINK76"/>
      <w:r>
        <w:rPr>
          <w:rFonts w:hint="eastAsia" w:ascii="仿宋_GB2312" w:eastAsia="仿宋_GB2312"/>
          <w:color w:val="000000" w:themeColor="text1"/>
          <w:sz w:val="32"/>
          <w:szCs w:val="32"/>
        </w:rPr>
        <w:t>公务用车购置及运行维护费支出</w:t>
      </w:r>
      <w:bookmarkEnd w:id="56"/>
      <w:r>
        <w:rPr>
          <w:rFonts w:hint="eastAsia" w:ascii="仿宋_GB2312" w:eastAsia="仿宋_GB2312"/>
          <w:sz w:val="32"/>
          <w:szCs w:val="32"/>
        </w:rPr>
        <w:t>1.69</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100%，与上年相比，减少0.21万元，下降11.05%，减少的主要原因是：</w:t>
      </w:r>
      <w:r>
        <w:rPr>
          <w:rFonts w:ascii="仿宋_GB2312" w:eastAsia="仿宋_GB2312"/>
          <w:color w:val="000000" w:themeColor="text1"/>
          <w:sz w:val="32"/>
          <w:szCs w:val="32"/>
        </w:rPr>
        <w:t>严格控制公务用车外出次数及运行维护费，压减“三公”经费支出</w:t>
      </w:r>
      <w:r>
        <w:rPr>
          <w:rFonts w:hint="eastAsia" w:ascii="仿宋_GB2312" w:eastAsia="仿宋_GB2312"/>
          <w:sz w:val="32"/>
          <w:szCs w:val="32"/>
        </w:rPr>
        <w:t>；</w:t>
      </w:r>
      <w:bookmarkEnd w:id="57"/>
      <w:bookmarkStart w:id="58" w:name="OLE_LINK32"/>
      <w:bookmarkStart w:id="59" w:name="OLE_LINK78"/>
      <w:bookmarkStart w:id="60" w:name="OLE_LINK77"/>
      <w:r>
        <w:rPr>
          <w:rFonts w:hint="eastAsia" w:ascii="仿宋_GB2312" w:eastAsia="仿宋_GB2312"/>
          <w:color w:val="000000" w:themeColor="text1"/>
          <w:sz w:val="32"/>
          <w:szCs w:val="32"/>
        </w:rPr>
        <w:t>公务接待费支出</w:t>
      </w:r>
      <w:bookmarkEnd w:id="5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bookmarkEnd w:id="59"/>
      <w:bookmarkEnd w:id="60"/>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1" w:name="OLE_LINK80"/>
      <w:bookmarkStart w:id="62"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新疆喀什地区塔什库尔干县卫生局卫生监督所</w:t>
      </w:r>
      <w:r>
        <w:rPr>
          <w:rFonts w:hint="eastAsia" w:ascii="仿宋_GB2312" w:eastAsia="仿宋_GB2312"/>
          <w:color w:val="000000" w:themeColor="text1"/>
          <w:sz w:val="32"/>
          <w:szCs w:val="32"/>
        </w:rPr>
        <w:t>单位</w:t>
      </w:r>
      <w:bookmarkStart w:id="63" w:name="OLE_LINK33"/>
      <w:r>
        <w:rPr>
          <w:rFonts w:hint="eastAsia" w:ascii="仿宋_GB2312" w:eastAsia="仿宋_GB2312"/>
          <w:color w:val="000000" w:themeColor="text1"/>
          <w:sz w:val="32"/>
          <w:szCs w:val="32"/>
        </w:rPr>
        <w:t>全年</w:t>
      </w:r>
      <w:bookmarkStart w:id="64" w:name="OLE_LINK35"/>
      <w:bookmarkStart w:id="65" w:name="OLE_LINK34"/>
      <w:bookmarkStart w:id="66" w:name="OLE_LINK36"/>
      <w:r>
        <w:rPr>
          <w:rFonts w:hint="eastAsia" w:ascii="仿宋_GB2312" w:eastAsia="仿宋_GB2312"/>
          <w:color w:val="000000" w:themeColor="text1"/>
          <w:sz w:val="32"/>
          <w:szCs w:val="32"/>
        </w:rPr>
        <w:t>使用一般公共预算财政拨款安排的出国（境）团组</w:t>
      </w:r>
      <w:bookmarkEnd w:id="63"/>
      <w:bookmarkEnd w:id="64"/>
      <w:bookmarkEnd w:id="65"/>
      <w:r>
        <w:rPr>
          <w:rFonts w:hint="eastAsia" w:ascii="仿宋_GB2312" w:eastAsia="仿宋_GB2312"/>
          <w:sz w:val="32"/>
          <w:szCs w:val="32"/>
        </w:rPr>
        <w:t>0</w:t>
      </w:r>
      <w:r>
        <w:rPr>
          <w:rFonts w:hint="eastAsia" w:ascii="仿宋_GB2312" w:eastAsia="仿宋_GB2312"/>
          <w:color w:val="000000" w:themeColor="text1"/>
          <w:sz w:val="32"/>
          <w:szCs w:val="32"/>
        </w:rPr>
        <w:t>个</w:t>
      </w:r>
      <w:bookmarkEnd w:id="66"/>
      <w:r>
        <w:rPr>
          <w:rFonts w:hint="eastAsia" w:ascii="仿宋_GB2312" w:eastAsia="仿宋_GB2312"/>
          <w:color w:val="000000" w:themeColor="text1"/>
          <w:sz w:val="32"/>
          <w:szCs w:val="32"/>
        </w:rPr>
        <w:t>，</w:t>
      </w:r>
      <w:bookmarkStart w:id="67"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7"/>
      <w:r>
        <w:rPr>
          <w:rFonts w:hint="eastAsia" w:ascii="仿宋_GB2312" w:eastAsia="仿宋_GB2312"/>
          <w:color w:val="000000" w:themeColor="text1"/>
          <w:sz w:val="32"/>
          <w:szCs w:val="32"/>
        </w:rPr>
        <w:t>。</w:t>
      </w:r>
      <w:bookmarkStart w:id="68"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61"/>
      <w:bookmarkEnd w:id="62"/>
      <w:bookmarkEnd w:id="68"/>
    </w:p>
    <w:p>
      <w:pPr>
        <w:spacing w:line="540" w:lineRule="exact"/>
        <w:ind w:firstLine="640" w:firstLineChars="200"/>
        <w:rPr>
          <w:rFonts w:ascii="仿宋_GB2312" w:eastAsia="仿宋_GB2312"/>
          <w:color w:val="000000" w:themeColor="text1"/>
          <w:sz w:val="32"/>
          <w:szCs w:val="32"/>
        </w:rPr>
      </w:pPr>
      <w:bookmarkStart w:id="69"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1.69</w:t>
      </w:r>
      <w:r>
        <w:rPr>
          <w:rFonts w:hint="eastAsia" w:ascii="仿宋_GB2312" w:eastAsia="仿宋_GB2312"/>
          <w:color w:val="000000" w:themeColor="text1"/>
          <w:sz w:val="32"/>
          <w:szCs w:val="32"/>
        </w:rPr>
        <w:t>万元,其中，</w:t>
      </w:r>
      <w:bookmarkStart w:id="70"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0"/>
      <w:r>
        <w:rPr>
          <w:rFonts w:hint="eastAsia" w:ascii="仿宋_GB2312" w:eastAsia="仿宋_GB2312"/>
          <w:color w:val="000000" w:themeColor="text1"/>
          <w:sz w:val="32"/>
          <w:szCs w:val="32"/>
        </w:rPr>
        <w:t>，</w:t>
      </w:r>
      <w:bookmarkStart w:id="71" w:name="OLE_LINK40"/>
      <w:bookmarkStart w:id="72"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1.69</w:t>
      </w:r>
      <w:r>
        <w:rPr>
          <w:rFonts w:hint="eastAsia" w:ascii="仿宋_GB2312" w:eastAsia="仿宋_GB2312"/>
          <w:color w:val="000000" w:themeColor="text1"/>
          <w:sz w:val="32"/>
          <w:szCs w:val="32"/>
        </w:rPr>
        <w:t>万元</w:t>
      </w:r>
      <w:bookmarkEnd w:id="71"/>
      <w:bookmarkEnd w:id="72"/>
      <w:r>
        <w:rPr>
          <w:rFonts w:hint="eastAsia" w:ascii="仿宋_GB2312" w:eastAsia="仿宋_GB2312"/>
          <w:color w:val="000000" w:themeColor="text1"/>
          <w:sz w:val="32"/>
          <w:szCs w:val="32"/>
        </w:rPr>
        <w:t>。主要用于</w:t>
      </w:r>
      <w:r>
        <w:rPr>
          <w:rFonts w:hint="eastAsia" w:ascii="仿宋_GB2312" w:eastAsia="仿宋_GB2312"/>
          <w:sz w:val="32"/>
          <w:szCs w:val="32"/>
        </w:rPr>
        <w:t>车辆加油</w:t>
      </w:r>
      <w:r>
        <w:rPr>
          <w:rFonts w:hint="eastAsia" w:ascii="仿宋_GB2312" w:eastAsia="仿宋_GB2312"/>
          <w:sz w:val="32"/>
          <w:szCs w:val="32"/>
          <w:lang w:eastAsia="zh-CN"/>
        </w:rPr>
        <w:t>费、保险费</w:t>
      </w:r>
      <w:r>
        <w:rPr>
          <w:rFonts w:hint="eastAsia" w:ascii="仿宋_GB2312" w:eastAsia="仿宋_GB2312"/>
          <w:sz w:val="32"/>
          <w:szCs w:val="32"/>
        </w:rPr>
        <w:t>及公务用车运行维护费</w:t>
      </w:r>
      <w:r>
        <w:rPr>
          <w:rFonts w:hint="eastAsia" w:ascii="仿宋_GB2312" w:eastAsia="仿宋_GB2312"/>
          <w:color w:val="000000" w:themeColor="text1"/>
          <w:sz w:val="32"/>
          <w:szCs w:val="32"/>
        </w:rPr>
        <w:t>等。</w:t>
      </w:r>
      <w:bookmarkStart w:id="73" w:name="OLE_LINK82"/>
      <w:bookmarkEnd w:id="69"/>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2</w:t>
      </w:r>
      <w:r>
        <w:rPr>
          <w:rFonts w:hint="eastAsia" w:ascii="仿宋_GB2312" w:eastAsia="仿宋_GB2312"/>
          <w:color w:val="000000" w:themeColor="text1"/>
          <w:sz w:val="32"/>
          <w:szCs w:val="32"/>
        </w:rPr>
        <w:t>辆。</w:t>
      </w:r>
      <w:bookmarkEnd w:id="73"/>
    </w:p>
    <w:p>
      <w:pPr>
        <w:spacing w:line="540" w:lineRule="exact"/>
        <w:ind w:firstLine="640" w:firstLineChars="200"/>
        <w:rPr>
          <w:rFonts w:ascii="仿宋_GB2312" w:eastAsia="仿宋_GB2312"/>
          <w:color w:val="000000" w:themeColor="text1"/>
          <w:sz w:val="32"/>
          <w:szCs w:val="32"/>
        </w:rPr>
      </w:pPr>
      <w:bookmarkStart w:id="74"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本单位无公务接待费支出</w:t>
      </w:r>
      <w:r>
        <w:rPr>
          <w:rFonts w:hint="eastAsia" w:ascii="仿宋_GB2312" w:eastAsia="仿宋_GB2312"/>
          <w:color w:val="000000" w:themeColor="text1"/>
          <w:sz w:val="32"/>
          <w:szCs w:val="32"/>
        </w:rPr>
        <w:t>等。</w:t>
      </w:r>
      <w:bookmarkEnd w:id="74"/>
      <w:bookmarkStart w:id="75" w:name="OLE_LINK84"/>
      <w:r>
        <w:rPr>
          <w:rFonts w:hint="eastAsia" w:ascii="仿宋_GB2312" w:eastAsia="仿宋_GB2312"/>
          <w:sz w:val="32"/>
          <w:szCs w:val="32"/>
        </w:rPr>
        <w:t>新疆喀什地区塔什库尔干县卫生局卫生监督所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5"/>
    </w:p>
    <w:p>
      <w:pPr>
        <w:spacing w:line="540" w:lineRule="exact"/>
        <w:ind w:firstLine="640" w:firstLineChars="200"/>
        <w:rPr>
          <w:rFonts w:ascii="仿宋_GB2312" w:hAnsi="宋体" w:eastAsia="仿宋_GB2312" w:cs="宋体"/>
          <w:color w:val="000000" w:themeColor="text1"/>
          <w:kern w:val="0"/>
          <w:sz w:val="32"/>
          <w:szCs w:val="32"/>
        </w:rPr>
      </w:pPr>
      <w:bookmarkStart w:id="76"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4</w:t>
      </w:r>
      <w:r>
        <w:rPr>
          <w:rFonts w:hint="eastAsia" w:ascii="仿宋_GB2312" w:eastAsia="仿宋_GB2312"/>
          <w:color w:val="000000" w:themeColor="text1"/>
          <w:sz w:val="32"/>
          <w:szCs w:val="32"/>
        </w:rPr>
        <w:t>万元，决算数1.69万元</w:t>
      </w:r>
      <w:r>
        <w:rPr>
          <w:rFonts w:ascii="仿宋_GB2312" w:eastAsia="仿宋_GB2312"/>
          <w:color w:val="000000" w:themeColor="text1"/>
          <w:sz w:val="32"/>
          <w:szCs w:val="32"/>
        </w:rPr>
        <w:t>，预决算差异率-57.75%，差异主要原因是严格控制公务用车外出次数及运行维护费，压减“三公”经费支出。</w:t>
      </w:r>
      <w:bookmarkEnd w:id="76"/>
      <w:bookmarkStart w:id="77" w:name="OLE_LINK87"/>
      <w:bookmarkStart w:id="78"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77"/>
      <w:bookmarkEnd w:id="78"/>
      <w:bookmarkStart w:id="79" w:name="OLE_LINK89"/>
      <w:bookmarkStart w:id="80"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w:t>
      </w:r>
      <w:r>
        <w:rPr>
          <w:rFonts w:hint="eastAsia" w:ascii="仿宋_GB2312" w:hAnsi="宋体" w:eastAsia="仿宋_GB2312" w:cs="宋体"/>
          <w:color w:val="000000" w:themeColor="text1"/>
          <w:kern w:val="0"/>
          <w:sz w:val="32"/>
          <w:szCs w:val="32"/>
        </w:rPr>
        <w:t>公务用车购置</w:t>
      </w:r>
      <w:r>
        <w:rPr>
          <w:rFonts w:hint="eastAsia" w:ascii="仿宋_GB2312" w:hAnsi="宋体" w:eastAsia="仿宋_GB2312" w:cs="宋体"/>
          <w:color w:val="000000" w:themeColor="text1"/>
          <w:kern w:val="0"/>
          <w:sz w:val="32"/>
          <w:szCs w:val="32"/>
          <w:lang w:eastAsia="zh-CN"/>
        </w:rPr>
        <w:t>费支出</w:t>
      </w:r>
      <w:r>
        <w:rPr>
          <w:rFonts w:ascii="仿宋_GB2312" w:eastAsia="仿宋_GB2312"/>
          <w:color w:val="000000" w:themeColor="text1"/>
          <w:sz w:val="32"/>
          <w:szCs w:val="32"/>
        </w:rPr>
        <w:t>；</w:t>
      </w:r>
      <w:bookmarkEnd w:id="79"/>
      <w:bookmarkEnd w:id="80"/>
      <w:bookmarkStart w:id="81"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1.69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，预决算差异率-57.75%，差异主要原因是严格控制公务用车外出次数及运行维护费</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压减“三公”经费支出；</w:t>
      </w:r>
      <w:bookmarkEnd w:id="81"/>
      <w:bookmarkStart w:id="82"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2"/>
      <w:r>
        <w:rPr>
          <w:rFonts w:hint="eastAsia" w:ascii="仿宋_GB2312" w:eastAsia="仿宋_GB2312"/>
          <w:sz w:val="32"/>
          <w:szCs w:val="32"/>
        </w:rPr>
        <w:t>本单位无公务接待费支出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新疆喀什地区塔什库尔干县卫生局卫生监督所日常公用经费3.21万元，与上年相比，减少3.02万元，下降48.48%，减少的主要原因是：减少电费、取暖费、差旅费、专用材料费、印刷费。</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3" w:name="OLE_LINK45"/>
      <w:r>
        <w:rPr>
          <w:rFonts w:hint="eastAsia" w:ascii="仿宋_GB2312" w:eastAsia="仿宋_GB2312"/>
          <w:color w:val="000000" w:themeColor="text1"/>
          <w:sz w:val="32"/>
          <w:szCs w:val="32"/>
        </w:rPr>
        <w:t>政府采购支出总额</w:t>
      </w:r>
      <w:bookmarkEnd w:id="83"/>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84" w:name="OLE_LINK46"/>
      <w:r>
        <w:rPr>
          <w:rFonts w:hint="eastAsia" w:ascii="仿宋_GB2312" w:eastAsia="仿宋_GB2312"/>
          <w:color w:val="000000" w:themeColor="text1"/>
          <w:sz w:val="32"/>
          <w:szCs w:val="32"/>
        </w:rPr>
        <w:t>政府采购货物支出</w:t>
      </w:r>
      <w:bookmarkEnd w:id="84"/>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5" w:name="OLE_LINK47"/>
      <w:r>
        <w:rPr>
          <w:rFonts w:hint="eastAsia" w:ascii="仿宋_GB2312" w:eastAsia="仿宋_GB2312"/>
          <w:color w:val="000000" w:themeColor="text1"/>
          <w:sz w:val="32"/>
          <w:szCs w:val="32"/>
        </w:rPr>
        <w:t>政府采购工程支出</w:t>
      </w:r>
      <w:bookmarkEnd w:id="85"/>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6" w:name="OLE_LINK48"/>
      <w:r>
        <w:rPr>
          <w:rFonts w:hint="eastAsia" w:ascii="仿宋_GB2312" w:eastAsia="仿宋_GB2312"/>
          <w:color w:val="000000" w:themeColor="text1"/>
          <w:sz w:val="32"/>
          <w:szCs w:val="32"/>
        </w:rPr>
        <w:t>政府采购服务支出</w:t>
      </w:r>
      <w:bookmarkEnd w:id="86"/>
      <w:r>
        <w:rPr>
          <w:rFonts w:hint="eastAsia" w:ascii="仿宋_GB2312" w:eastAsia="仿宋_GB2312"/>
          <w:sz w:val="32"/>
          <w:szCs w:val="32"/>
        </w:rPr>
        <w:t>0</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87"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33.57</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hint="eastAsia" w:ascii="仿宋_GB2312" w:eastAsia="仿宋_GB2312"/>
          <w:color w:val="000000" w:themeColor="text1"/>
          <w:sz w:val="32"/>
          <w:szCs w:val="32"/>
          <w:lang w:eastAsia="zh-CN"/>
        </w:rPr>
        <w:t>尼桑牌帕拉丁新</w:t>
      </w:r>
      <w:r>
        <w:rPr>
          <w:rFonts w:hint="eastAsia" w:ascii="仿宋_GB2312" w:eastAsia="仿宋_GB2312"/>
          <w:color w:val="000000" w:themeColor="text1"/>
          <w:sz w:val="32"/>
          <w:szCs w:val="32"/>
          <w:lang w:val="en-US" w:eastAsia="zh-CN"/>
        </w:rPr>
        <w:t>Q53087一辆，主要用于单位一般日常公务</w:t>
      </w:r>
      <w:r>
        <w:rPr>
          <w:rFonts w:ascii="仿宋_GB2312" w:eastAsia="仿宋_GB2312"/>
          <w:color w:val="000000" w:themeColor="text1"/>
          <w:sz w:val="32"/>
          <w:szCs w:val="32"/>
        </w:rPr>
        <w:t>用车</w:t>
      </w:r>
      <w:r>
        <w:rPr>
          <w:rFonts w:hint="eastAsia" w:ascii="仿宋_GB2312" w:eastAsia="仿宋_GB2312"/>
          <w:color w:val="000000" w:themeColor="text1"/>
          <w:sz w:val="32"/>
          <w:szCs w:val="32"/>
          <w:lang w:eastAsia="zh-CN"/>
        </w:rPr>
        <w:t>，华晨金杯新</w:t>
      </w:r>
      <w:r>
        <w:rPr>
          <w:rFonts w:hint="eastAsia" w:ascii="仿宋_GB2312" w:eastAsia="仿宋_GB2312"/>
          <w:color w:val="000000" w:themeColor="text1"/>
          <w:sz w:val="32"/>
          <w:szCs w:val="32"/>
          <w:lang w:val="en-US" w:eastAsia="zh-CN"/>
        </w:rPr>
        <w:t>Q29158一辆，主要用于卫生监督执法用车</w:t>
      </w:r>
      <w:r>
        <w:rPr>
          <w:rFonts w:ascii="仿宋_GB2312" w:eastAsia="仿宋_GB2312"/>
          <w:color w:val="000000" w:themeColor="text1"/>
          <w:sz w:val="32"/>
          <w:szCs w:val="32"/>
        </w:rPr>
        <w:t>；</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87"/>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jc w:val="left"/>
        <w:rPr>
          <w:rFonts w:ascii="仿宋_GB2312" w:eastAsia="仿宋_GB2312"/>
          <w:sz w:val="32"/>
          <w:szCs w:val="32"/>
        </w:rPr>
      </w:pP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018年度，本部门单位预算绩效自评情况：</w:t>
      </w:r>
      <w:r>
        <w:rPr>
          <w:rFonts w:ascii="仿宋_GB2312" w:eastAsia="仿宋_GB2312"/>
          <w:color w:val="000000" w:themeColor="text1"/>
          <w:sz w:val="32"/>
          <w:szCs w:val="32"/>
        </w:rPr>
        <w:t>201</w:t>
      </w:r>
      <w:r>
        <w:rPr>
          <w:rFonts w:hint="eastAsia" w:ascii="仿宋_GB2312" w:eastAsia="仿宋_GB2312"/>
          <w:color w:val="000000" w:themeColor="text1"/>
          <w:sz w:val="32"/>
          <w:szCs w:val="32"/>
          <w:lang w:val="en-US" w:eastAsia="zh-CN"/>
        </w:rPr>
        <w:t>8</w:t>
      </w:r>
      <w:r>
        <w:rPr>
          <w:rFonts w:hint="eastAsia" w:ascii="仿宋_GB2312" w:eastAsia="仿宋_GB2312"/>
          <w:color w:val="000000" w:themeColor="text1"/>
          <w:sz w:val="32"/>
          <w:szCs w:val="32"/>
        </w:rPr>
        <w:t>年度，本部门单位实行绩效管理的项目</w:t>
      </w:r>
      <w:r>
        <w:rPr>
          <w:rFonts w:ascii="仿宋_GB2312" w:eastAsia="仿宋_GB2312"/>
          <w:color w:val="000000" w:themeColor="text1"/>
          <w:sz w:val="32"/>
          <w:szCs w:val="32"/>
        </w:rPr>
        <w:t>0</w:t>
      </w:r>
      <w:r>
        <w:rPr>
          <w:rFonts w:hint="eastAsia" w:ascii="仿宋_GB2312" w:eastAsia="仿宋_GB2312"/>
          <w:color w:val="000000" w:themeColor="text1"/>
          <w:sz w:val="32"/>
          <w:szCs w:val="32"/>
        </w:rPr>
        <w:t>个，涉及预算</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万元，项目支出决算</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万元。年末本部门单位民生项目和重点支出项目的绩效评价开展情况及结果：无</w:t>
      </w:r>
      <w:r>
        <w:rPr>
          <w:rFonts w:hint="eastAsia" w:ascii="仿宋_GB2312" w:eastAsia="仿宋_GB2312"/>
          <w:color w:val="000000" w:themeColor="text1"/>
          <w:sz w:val="32"/>
          <w:szCs w:val="32"/>
          <w:lang w:eastAsia="zh-CN"/>
        </w:rPr>
        <w:t>预算绩效情况</w:t>
      </w:r>
      <w:r>
        <w:rPr>
          <w:rFonts w:hint="eastAsia" w:ascii="仿宋_GB2312" w:eastAsia="仿宋_GB2312"/>
          <w:color w:val="000000" w:themeColor="text1"/>
          <w:sz w:val="32"/>
          <w:szCs w:val="32"/>
        </w:rPr>
        <w:t>。</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221（类）02（款）01（项）指：住房公积金。210（类）04（款）02（项）指：卫生监督机构。208（类）05（款）05（项）指：机关事业单位基本养老保险缴费支出。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1F4E40"/>
    <w:rsid w:val="04627A80"/>
    <w:rsid w:val="04741FE5"/>
    <w:rsid w:val="04DB02C7"/>
    <w:rsid w:val="05BF4BB2"/>
    <w:rsid w:val="06B856EE"/>
    <w:rsid w:val="07FE5938"/>
    <w:rsid w:val="084604BC"/>
    <w:rsid w:val="08883825"/>
    <w:rsid w:val="09725983"/>
    <w:rsid w:val="0A382BB5"/>
    <w:rsid w:val="0AA4543A"/>
    <w:rsid w:val="0BE61132"/>
    <w:rsid w:val="0C4E5AD1"/>
    <w:rsid w:val="0C8141CD"/>
    <w:rsid w:val="0C9B0DD6"/>
    <w:rsid w:val="0CD33EB2"/>
    <w:rsid w:val="0CE4791C"/>
    <w:rsid w:val="0E063C64"/>
    <w:rsid w:val="0F4C7B96"/>
    <w:rsid w:val="0FFB575E"/>
    <w:rsid w:val="10845F1B"/>
    <w:rsid w:val="11463A00"/>
    <w:rsid w:val="11600918"/>
    <w:rsid w:val="11B0398F"/>
    <w:rsid w:val="13B960C5"/>
    <w:rsid w:val="14C926F5"/>
    <w:rsid w:val="152777F4"/>
    <w:rsid w:val="15C674B6"/>
    <w:rsid w:val="170162F4"/>
    <w:rsid w:val="1742073E"/>
    <w:rsid w:val="17AD7316"/>
    <w:rsid w:val="18D54A0D"/>
    <w:rsid w:val="1A4106A0"/>
    <w:rsid w:val="1A4F5437"/>
    <w:rsid w:val="1AB77CD0"/>
    <w:rsid w:val="1AE465DB"/>
    <w:rsid w:val="1E807156"/>
    <w:rsid w:val="1EA657F6"/>
    <w:rsid w:val="1F097CB6"/>
    <w:rsid w:val="2166156B"/>
    <w:rsid w:val="217F4B05"/>
    <w:rsid w:val="21B02D83"/>
    <w:rsid w:val="220017C4"/>
    <w:rsid w:val="22A236F5"/>
    <w:rsid w:val="23995975"/>
    <w:rsid w:val="2432220E"/>
    <w:rsid w:val="248303BA"/>
    <w:rsid w:val="24837E47"/>
    <w:rsid w:val="252E01AA"/>
    <w:rsid w:val="2680023E"/>
    <w:rsid w:val="28C859B2"/>
    <w:rsid w:val="29680352"/>
    <w:rsid w:val="2A020F75"/>
    <w:rsid w:val="2B007AEE"/>
    <w:rsid w:val="2BC14C56"/>
    <w:rsid w:val="2C1B026F"/>
    <w:rsid w:val="2CC61F55"/>
    <w:rsid w:val="2EF7452F"/>
    <w:rsid w:val="2F1D13B4"/>
    <w:rsid w:val="2FAA3DA6"/>
    <w:rsid w:val="30682E1F"/>
    <w:rsid w:val="30E210D2"/>
    <w:rsid w:val="311371D6"/>
    <w:rsid w:val="31EB64C9"/>
    <w:rsid w:val="32C946AB"/>
    <w:rsid w:val="336D0D6F"/>
    <w:rsid w:val="341348C7"/>
    <w:rsid w:val="352E4BEC"/>
    <w:rsid w:val="367A0844"/>
    <w:rsid w:val="37C465A1"/>
    <w:rsid w:val="37DD5594"/>
    <w:rsid w:val="38F24FA8"/>
    <w:rsid w:val="3A98342A"/>
    <w:rsid w:val="3AB6780E"/>
    <w:rsid w:val="3AD56D70"/>
    <w:rsid w:val="3B2920C2"/>
    <w:rsid w:val="3BE41ABD"/>
    <w:rsid w:val="3C5421A9"/>
    <w:rsid w:val="3D903B21"/>
    <w:rsid w:val="3F440741"/>
    <w:rsid w:val="3FDC6FDB"/>
    <w:rsid w:val="41FC306C"/>
    <w:rsid w:val="42E63AE9"/>
    <w:rsid w:val="44BE5554"/>
    <w:rsid w:val="451E0908"/>
    <w:rsid w:val="452C2D31"/>
    <w:rsid w:val="45D26E14"/>
    <w:rsid w:val="46A541B1"/>
    <w:rsid w:val="48C57772"/>
    <w:rsid w:val="49782886"/>
    <w:rsid w:val="49E95CA7"/>
    <w:rsid w:val="4A6F0D28"/>
    <w:rsid w:val="4AAF085C"/>
    <w:rsid w:val="4AEB7E60"/>
    <w:rsid w:val="4B4B135B"/>
    <w:rsid w:val="4BC7055F"/>
    <w:rsid w:val="4CFC7DB2"/>
    <w:rsid w:val="4E7C187D"/>
    <w:rsid w:val="4FA30E65"/>
    <w:rsid w:val="508941AD"/>
    <w:rsid w:val="50DE4A4B"/>
    <w:rsid w:val="50E65530"/>
    <w:rsid w:val="51457139"/>
    <w:rsid w:val="51574DBD"/>
    <w:rsid w:val="51EC1DA8"/>
    <w:rsid w:val="529D5650"/>
    <w:rsid w:val="52FC5524"/>
    <w:rsid w:val="532D7A17"/>
    <w:rsid w:val="54AF4562"/>
    <w:rsid w:val="54C9674B"/>
    <w:rsid w:val="556318EA"/>
    <w:rsid w:val="5581448F"/>
    <w:rsid w:val="55A60AA1"/>
    <w:rsid w:val="56451615"/>
    <w:rsid w:val="574B4CFB"/>
    <w:rsid w:val="57FC5774"/>
    <w:rsid w:val="59B332C9"/>
    <w:rsid w:val="5A44758A"/>
    <w:rsid w:val="5BEC4BB3"/>
    <w:rsid w:val="5C070B55"/>
    <w:rsid w:val="5CB10507"/>
    <w:rsid w:val="5CB96DCE"/>
    <w:rsid w:val="5CE61580"/>
    <w:rsid w:val="5D175666"/>
    <w:rsid w:val="5D556A3C"/>
    <w:rsid w:val="5D7B25C9"/>
    <w:rsid w:val="5E7A7C3E"/>
    <w:rsid w:val="5ECB44B4"/>
    <w:rsid w:val="5EE2043C"/>
    <w:rsid w:val="5F781704"/>
    <w:rsid w:val="5FA4403B"/>
    <w:rsid w:val="602D2E37"/>
    <w:rsid w:val="61460FBE"/>
    <w:rsid w:val="62775810"/>
    <w:rsid w:val="62D83744"/>
    <w:rsid w:val="63095781"/>
    <w:rsid w:val="630F4048"/>
    <w:rsid w:val="63AA02E5"/>
    <w:rsid w:val="64700DE9"/>
    <w:rsid w:val="64801D46"/>
    <w:rsid w:val="65C613BD"/>
    <w:rsid w:val="65FD118C"/>
    <w:rsid w:val="682C3D89"/>
    <w:rsid w:val="68611305"/>
    <w:rsid w:val="69042BF4"/>
    <w:rsid w:val="6A162DE0"/>
    <w:rsid w:val="6A331428"/>
    <w:rsid w:val="6A374658"/>
    <w:rsid w:val="6B2E5CB6"/>
    <w:rsid w:val="6B3D4886"/>
    <w:rsid w:val="6C1902AD"/>
    <w:rsid w:val="6C495B96"/>
    <w:rsid w:val="6DF8675E"/>
    <w:rsid w:val="6EA80098"/>
    <w:rsid w:val="6F8D70FF"/>
    <w:rsid w:val="6FFE5011"/>
    <w:rsid w:val="7178734D"/>
    <w:rsid w:val="71791096"/>
    <w:rsid w:val="717B0C34"/>
    <w:rsid w:val="71FB78FD"/>
    <w:rsid w:val="7275064A"/>
    <w:rsid w:val="72CC329A"/>
    <w:rsid w:val="733F750B"/>
    <w:rsid w:val="735702E2"/>
    <w:rsid w:val="765F635A"/>
    <w:rsid w:val="76B73454"/>
    <w:rsid w:val="76D254BD"/>
    <w:rsid w:val="77727ACD"/>
    <w:rsid w:val="78071142"/>
    <w:rsid w:val="79296B37"/>
    <w:rsid w:val="7A4C4C40"/>
    <w:rsid w:val="7AA0518E"/>
    <w:rsid w:val="7B041636"/>
    <w:rsid w:val="7CA86749"/>
    <w:rsid w:val="7EC92370"/>
    <w:rsid w:val="7F17336B"/>
    <w:rsid w:val="7F2067AC"/>
    <w:rsid w:val="7F2238B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字符"/>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字符"/>
    <w:basedOn w:val="7"/>
    <w:link w:val="3"/>
    <w:semiHidden/>
    <w:qFormat/>
    <w:uiPriority w:val="99"/>
    <w:rPr>
      <w:rFonts w:ascii="Times New Roman" w:hAnsi="Times New Roman" w:eastAsia="宋体" w:cs="Times New Roman"/>
      <w:szCs w:val="24"/>
    </w:rPr>
  </w:style>
  <w:style w:type="character" w:customStyle="1" w:styleId="13">
    <w:name w:val="批注主题 字符"/>
    <w:basedOn w:val="12"/>
    <w:link w:val="2"/>
    <w:semiHidden/>
    <w:qFormat/>
    <w:uiPriority w:val="99"/>
    <w:rPr>
      <w:rFonts w:ascii="Times New Roman" w:hAnsi="Times New Roman" w:eastAsia="宋体" w:cs="Times New Roman"/>
      <w:b/>
      <w:bCs/>
      <w:szCs w:val="24"/>
    </w:rPr>
  </w:style>
  <w:style w:type="character" w:customStyle="1" w:styleId="14">
    <w:name w:val="批注框文本 字符"/>
    <w:basedOn w:val="7"/>
    <w:link w:val="4"/>
    <w:semiHidden/>
    <w:qFormat/>
    <w:uiPriority w:val="99"/>
    <w:rPr>
      <w:rFonts w:ascii="Times New Roman" w:hAnsi="Times New Roman" w:eastAsia="宋体" w:cs="Times New Roman"/>
      <w:sz w:val="18"/>
      <w:szCs w:val="18"/>
    </w:rPr>
  </w:style>
  <w:style w:type="character" w:customStyle="1" w:styleId="15">
    <w:name w:val="页眉 字符"/>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ScaleCrop>false</ScaleCrop>
  <LinksUpToDate>false</LinksUpToDate>
  <CharactersWithSpaces>7695</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2019-10-24T02:39:20Z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