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：其他社会保障和就业支出项目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27" w:firstLineChars="200"/>
        <w:jc w:val="left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县民政局是塔什库尔干县人民政府主管社会事务的重要部门，承担着全县城乡社会救助和社会福利、基层民主政治建设、服务军队和国防建设、管理专项社会事务四大方面二十项工作职能。目前县民政局有设6个职能股室：办公室（社工办）；民间组织管理、救灾救济、社会福利、社会救助股（慈善总会）；社会事务股；优抚安置军休股（退伍军人安置办）；基层政权建设；城乡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股。</w:t>
      </w:r>
    </w:p>
    <w:p>
      <w:pPr>
        <w:pStyle w:val="49"/>
        <w:spacing w:line="700" w:lineRule="exact"/>
        <w:ind w:firstLine="627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eastAsia="zh-CN"/>
        </w:rPr>
        <w:t>、机构情况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  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）民政局（本级）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负责全县拥军优属、优待抚恤和革命烈士的初审申报工作；负责复员干部、退伍义务兵和转业士官的；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负责移交地方安置的军队离退休干部、士官和无军籍退休职工的接收安排工作。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组织和指导扶贫济困等社会互助活动；管理城乡社会救济、五保户的供应、社会福利院管理。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编制社工规划，储备社工人才，建立社工队伍，探索自治县的社工工作。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）城乡低保中心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。审批城乡居民的医疗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保险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、建档工作，负责协医疗机构对全县的居民治病实行一站式服务，协助卫生行政部门对医疗机构的监管。</w:t>
      </w:r>
    </w:p>
    <w:p>
      <w:pPr>
        <w:pStyle w:val="49"/>
        <w:spacing w:line="700" w:lineRule="exact"/>
        <w:ind w:firstLine="627" w:firstLineChars="200"/>
        <w:jc w:val="left"/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eastAsia="zh-CN"/>
        </w:rPr>
        <w:t>、人员情况，包括当年变动情况及原因。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编制人数1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人，工勤人员编制1人。实有在职人数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人，工勤在职人数2人。离退休人员1人，其中：离休人员0人，退休人员1人。</w:t>
      </w:r>
    </w:p>
    <w:p>
      <w:pPr>
        <w:pStyle w:val="49"/>
        <w:spacing w:line="700" w:lineRule="exact"/>
        <w:ind w:firstLine="627" w:firstLineChars="200"/>
        <w:jc w:val="left"/>
        <w:rPr>
          <w:rStyle w:val="19"/>
          <w:rFonts w:hint="eastAsia" w:ascii="仿宋" w:hAnsi="仿宋" w:eastAsia="仿宋" w:cs="仿宋"/>
          <w:color w:val="auto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kern w:val="2"/>
          <w:sz w:val="32"/>
          <w:szCs w:val="32"/>
          <w:lang w:val="en-US" w:eastAsia="zh-CN" w:bidi="ar-SA"/>
        </w:rPr>
        <w:t>（二）项目预算绩效目标设定情况</w:t>
      </w:r>
    </w:p>
    <w:p>
      <w:pPr>
        <w:pStyle w:val="49"/>
        <w:spacing w:line="700" w:lineRule="exact"/>
        <w:ind w:firstLine="627" w:firstLineChars="200"/>
        <w:jc w:val="left"/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pacing w:val="-4"/>
          <w:sz w:val="32"/>
          <w:szCs w:val="32"/>
          <w:lang w:eastAsia="zh-CN"/>
        </w:rPr>
        <w:t>1、项目预期目标及阶段性目标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2018年塔县救助5164户农村低保户，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规范和加强中央财政困难群众基本生活救助补助资金管理，提高资金使用效益，发放201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年1-12月困难群众低保资金，做好201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年7-12月低保提标工作，确保社会保障兜底工作兜得稳，兜得实，不返贫，确保脱贫攻坚任务顺利完成。  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此资金主要用于最低生活保障救助者。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发放范围：指因残疾或疾病符合国家标准，住房或收入低于市低保标准的居（村）民，享受国家最低生活保障补助的家庭。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主要内容：发放生活补助。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其他社会保障和就业支出项目预算安排总额为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5867.21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5867.21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5867.21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5867.21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%，项目资金主要用于发放低保金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5867.21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本项目支出符合《城乡最低生活保障制度》相关管理制度，会计人员集中核算工作管理制度、财务收支审批制度、财务稽核制度、财务牵制制度、会计主管岗位职责等制度规定，资金的拨付均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该项目属于经常性项目,没有达到招投标限额,由本单位自行组织实施。实施过程均按照本单位制定的管理制度执行。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本项目不存在调整情况。</w:t>
      </w:r>
    </w:p>
    <w:p>
      <w:pPr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为保证项目质量项目实施完成后，由本项目相关人员于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2017年12月31日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完成下乡检查资金落实情况。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项目实施过程中，塔什库尔干县民政局社会救助办建立了《塔什库尔干县城乡最低生活保障救助制度》保障项目的顺利实施。项目的实施遵守相关法律法规和业务管理规定，项目资料齐全并及时归档。定期不定期下乡核查低保资金发放情况，检查过程中发现的问题及时督促整改，确保了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本项目共设置一级指标3个，二级指标6个，三级指标6个，其中已完成三级指标6个，指标完成率为100%。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经济性：无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效率性：城乡低保资金是按时按月发放的资金，2017年按时发放率达到90%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效益性：低保资金的发放及提标，保障了最低生活保障人群。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en-US" w:eastAsia="zh-CN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1、按时按月发放城乡低保资金。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2、随着对电子数据（低保系统的信息）的精准化，我局需要将电子数据与实际发放数据进行对比，确保资金发放对象精准。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1、主要经验及做法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发放困难群众救助补助资金是统筹各类救助、扶贫资源,将政府兜底保障与扶贫开发政策相结合,形成脱贫攻坚合力,实现对农村贫困人口的全面扶持,充分发挥低保制度在打赢脱贫攻坚战中的兜底保障作用。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2、存在的问题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困难群众救助补助资金的发放对城乡低保系统的精准度要求很高，但城乡低保资金是动态管理的，要求各乡民政干事定期更新系统。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3、建议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充分发挥好各乡民政干事的和受益对象的监管作用，强化民政社会救助资金社会化发放的监督和管理工作，让低保资金的发放更透明。</w:t>
      </w:r>
    </w:p>
    <w:p>
      <w:pPr>
        <w:pStyle w:val="49"/>
        <w:spacing w:line="700" w:lineRule="exact"/>
        <w:ind w:firstLine="627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color w:val="auto"/>
          <w:spacing w:val="-4"/>
          <w:kern w:val="2"/>
          <w:sz w:val="32"/>
          <w:szCs w:val="32"/>
          <w:lang w:val="en-US" w:eastAsia="zh-CN" w:bidi="ar-SA"/>
        </w:rPr>
        <w:t>（三）其他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无其他说明内容。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pStyle w:val="49"/>
        <w:spacing w:line="700" w:lineRule="exact"/>
        <w:ind w:firstLine="624" w:firstLineChars="2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本次评价通过文件研读、实地调研、数据分析等方式，全面了解在其他社会保障和就业支出的使用效率和效果，项目管理过程规范，完成了预期绩效目标等。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34B370D"/>
    <w:rsid w:val="12695183"/>
    <w:rsid w:val="1336109A"/>
    <w:rsid w:val="138B553F"/>
    <w:rsid w:val="14507850"/>
    <w:rsid w:val="3C25425D"/>
    <w:rsid w:val="40911065"/>
    <w:rsid w:val="429D1601"/>
    <w:rsid w:val="473B55AC"/>
    <w:rsid w:val="47A05D78"/>
    <w:rsid w:val="48FB0D4A"/>
    <w:rsid w:val="5EB02968"/>
    <w:rsid w:val="62F25F05"/>
    <w:rsid w:val="66BC6CEF"/>
    <w:rsid w:val="66D24FF1"/>
    <w:rsid w:val="66EF4400"/>
    <w:rsid w:val="6D1F49DC"/>
    <w:rsid w:val="7B2E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Char"/>
    <w:basedOn w:val="18"/>
    <w:link w:val="35"/>
    <w:qFormat/>
    <w:uiPriority w:val="29"/>
    <w:rPr>
      <w:i/>
      <w:sz w:val="24"/>
      <w:szCs w:val="24"/>
    </w:rPr>
  </w:style>
  <w:style w:type="paragraph" w:customStyle="1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Char"/>
    <w:basedOn w:val="18"/>
    <w:link w:val="37"/>
    <w:qFormat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5"/>
    </w:rPr>
  </w:style>
  <w:style w:type="character" w:customStyle="1" w:styleId="40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3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9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12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2019-01-15T12:48:00Z</cp:lastPrinted>
  <dcterms:modified xsi:type="dcterms:W3CDTF">2019-09-22T10:31:56Z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