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both"/>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both"/>
        <w:rPr>
          <w:rFonts w:hint="eastAsia" w:ascii="仿宋" w:hAnsi="仿宋" w:eastAsia="仿宋" w:cs="仿宋"/>
          <w:b/>
          <w:bCs/>
          <w:color w:val="auto"/>
          <w:kern w:val="0"/>
          <w:sz w:val="36"/>
          <w:szCs w:val="36"/>
        </w:rPr>
      </w:pPr>
    </w:p>
    <w:p>
      <w:pPr>
        <w:pStyle w:val="49"/>
        <w:spacing w:line="540" w:lineRule="exact"/>
        <w:jc w:val="center"/>
        <w:rPr>
          <w:rFonts w:hint="eastAsia" w:ascii="仿宋" w:hAnsi="仿宋" w:eastAsia="仿宋" w:cs="仿宋"/>
          <w:b/>
          <w:bCs/>
          <w:color w:val="auto"/>
          <w:kern w:val="0"/>
          <w:sz w:val="36"/>
          <w:szCs w:val="36"/>
        </w:rPr>
      </w:pPr>
    </w:p>
    <w:p>
      <w:pPr>
        <w:pStyle w:val="49"/>
        <w:spacing w:line="540" w:lineRule="exact"/>
        <w:jc w:val="center"/>
        <w:rPr>
          <w:rFonts w:hint="eastAsia" w:ascii="仿宋" w:hAnsi="仿宋" w:eastAsia="仿宋" w:cs="仿宋"/>
          <w:b/>
          <w:bCs/>
          <w:color w:val="auto"/>
          <w:kern w:val="0"/>
          <w:sz w:val="36"/>
          <w:szCs w:val="36"/>
          <w:lang w:val="zh-TW" w:eastAsia="zh-TW"/>
        </w:rPr>
      </w:pPr>
      <w:r>
        <w:rPr>
          <w:rFonts w:hint="eastAsia" w:ascii="仿宋" w:hAnsi="仿宋" w:eastAsia="仿宋" w:cs="仿宋"/>
          <w:b/>
          <w:bCs/>
          <w:color w:val="auto"/>
          <w:kern w:val="0"/>
          <w:sz w:val="36"/>
          <w:szCs w:val="36"/>
          <w:lang w:val="zh-TW" w:eastAsia="zh-TW"/>
        </w:rPr>
        <w:t>新疆财政支出绩效自评报告</w:t>
      </w:r>
    </w:p>
    <w:p>
      <w:pPr>
        <w:pStyle w:val="49"/>
        <w:spacing w:line="540" w:lineRule="exact"/>
        <w:jc w:val="center"/>
        <w:rPr>
          <w:rFonts w:hint="eastAsia" w:ascii="仿宋" w:hAnsi="仿宋" w:eastAsia="仿宋" w:cs="仿宋"/>
          <w:b/>
          <w:bCs/>
          <w:color w:val="auto"/>
          <w:kern w:val="0"/>
          <w:sz w:val="36"/>
          <w:szCs w:val="36"/>
        </w:rPr>
      </w:pPr>
    </w:p>
    <w:p>
      <w:pPr>
        <w:pStyle w:val="49"/>
        <w:spacing w:line="540" w:lineRule="exact"/>
        <w:jc w:val="center"/>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年度）</w:t>
      </w: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rPr>
          <w:rFonts w:hint="eastAsia" w:ascii="仿宋" w:hAnsi="仿宋" w:eastAsia="仿宋" w:cs="仿宋"/>
          <w:color w:val="auto"/>
          <w:kern w:val="0"/>
          <w:sz w:val="36"/>
          <w:szCs w:val="36"/>
        </w:rPr>
      </w:pPr>
    </w:p>
    <w:p>
      <w:pPr>
        <w:pStyle w:val="49"/>
        <w:spacing w:line="540" w:lineRule="exact"/>
        <w:rPr>
          <w:rFonts w:hint="eastAsia" w:ascii="仿宋" w:hAnsi="仿宋" w:eastAsia="仿宋" w:cs="仿宋"/>
          <w:color w:val="auto"/>
          <w:kern w:val="0"/>
          <w:sz w:val="36"/>
          <w:szCs w:val="36"/>
        </w:rPr>
      </w:pPr>
    </w:p>
    <w:p>
      <w:pPr>
        <w:pStyle w:val="49"/>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项目名称：</w:t>
      </w:r>
      <w:r>
        <w:rPr>
          <w:rFonts w:hint="eastAsia" w:ascii="仿宋" w:hAnsi="仿宋" w:eastAsia="仿宋" w:cs="仿宋"/>
          <w:color w:val="auto"/>
          <w:kern w:val="0"/>
          <w:sz w:val="36"/>
          <w:szCs w:val="36"/>
          <w:lang w:val="zh-TW" w:eastAsia="zh-CN"/>
        </w:rPr>
        <w:t>自然灾害生活救助项目</w:t>
      </w:r>
    </w:p>
    <w:p>
      <w:pPr>
        <w:pStyle w:val="49"/>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实施单位（公章）：</w:t>
      </w:r>
      <w:r>
        <w:rPr>
          <w:rFonts w:hint="eastAsia" w:ascii="仿宋" w:hAnsi="仿宋" w:eastAsia="仿宋" w:cs="仿宋"/>
          <w:color w:val="auto"/>
          <w:kern w:val="0"/>
          <w:sz w:val="36"/>
          <w:szCs w:val="36"/>
          <w:lang w:val="zh-TW" w:eastAsia="zh-CN"/>
        </w:rPr>
        <w:t>塔什库尔干县民政局</w:t>
      </w:r>
    </w:p>
    <w:p>
      <w:pPr>
        <w:pStyle w:val="49"/>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主管部门（公章）：</w:t>
      </w:r>
      <w:r>
        <w:rPr>
          <w:rFonts w:hint="eastAsia" w:ascii="仿宋" w:hAnsi="仿宋" w:eastAsia="仿宋" w:cs="仿宋"/>
          <w:color w:val="auto"/>
          <w:kern w:val="0"/>
          <w:sz w:val="36"/>
          <w:szCs w:val="36"/>
          <w:lang w:val="zh-TW" w:eastAsia="zh-CN"/>
        </w:rPr>
        <w:t>塔什库尔干县民政局</w:t>
      </w:r>
    </w:p>
    <w:p>
      <w:pPr>
        <w:pStyle w:val="49"/>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项目负责人（签章）：</w:t>
      </w:r>
      <w:r>
        <w:rPr>
          <w:rFonts w:hint="eastAsia" w:ascii="仿宋" w:hAnsi="仿宋" w:eastAsia="仿宋" w:cs="仿宋"/>
          <w:color w:val="auto"/>
          <w:kern w:val="0"/>
          <w:sz w:val="36"/>
          <w:szCs w:val="36"/>
          <w:lang w:val="zh-TW" w:eastAsia="zh-CN"/>
        </w:rPr>
        <w:t>武存社</w:t>
      </w:r>
    </w:p>
    <w:p>
      <w:pPr>
        <w:pStyle w:val="49"/>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填报时间：201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en-US" w:eastAsia="zh-CN"/>
        </w:rPr>
        <w:t>12</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zh-TW" w:eastAsia="zh-TW"/>
        </w:rPr>
        <w:t>月</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en-US" w:eastAsia="zh-CN"/>
        </w:rPr>
        <w:t>25</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zh-TW" w:eastAsia="zh-TW"/>
        </w:rPr>
        <w:t>日</w:t>
      </w: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27" w:firstLineChars="200"/>
        <w:jc w:val="left"/>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一、项目概况</w:t>
      </w:r>
    </w:p>
    <w:p>
      <w:pPr>
        <w:adjustRightInd w:val="0"/>
        <w:snapToGrid w:val="0"/>
        <w:spacing w:line="560" w:lineRule="exact"/>
        <w:ind w:firstLine="627" w:firstLineChars="200"/>
        <w:rPr>
          <w:rStyle w:val="19"/>
          <w:rFonts w:hint="eastAsia" w:ascii="楷体" w:hAnsi="楷体" w:eastAsia="楷体" w:cs="楷体"/>
          <w:color w:val="auto"/>
          <w:spacing w:val="-4"/>
          <w:sz w:val="32"/>
          <w:szCs w:val="32"/>
        </w:rPr>
      </w:pPr>
      <w:r>
        <w:rPr>
          <w:rStyle w:val="19"/>
          <w:rFonts w:hint="eastAsia" w:ascii="仿宋" w:hAnsi="仿宋" w:eastAsia="仿宋" w:cs="仿宋"/>
          <w:color w:val="auto"/>
          <w:spacing w:val="-4"/>
          <w:sz w:val="32"/>
          <w:szCs w:val="32"/>
        </w:rPr>
        <w:t>（一）</w:t>
      </w:r>
      <w:r>
        <w:rPr>
          <w:rStyle w:val="19"/>
          <w:rFonts w:hint="eastAsia" w:ascii="楷体" w:hAnsi="楷体" w:eastAsia="楷体" w:cs="楷体"/>
          <w:color w:val="auto"/>
          <w:spacing w:val="-4"/>
          <w:sz w:val="32"/>
          <w:szCs w:val="32"/>
        </w:rPr>
        <w:t>项目单位基本情况</w:t>
      </w:r>
    </w:p>
    <w:p>
      <w:pPr>
        <w:spacing w:line="4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塔</w:t>
      </w:r>
      <w:r>
        <w:rPr>
          <w:rFonts w:hint="eastAsia" w:ascii="仿宋" w:hAnsi="仿宋" w:eastAsia="仿宋" w:cs="仿宋"/>
          <w:color w:val="auto"/>
          <w:sz w:val="32"/>
          <w:szCs w:val="32"/>
          <w:shd w:val="clear" w:color="auto" w:fill="FFFFFF"/>
        </w:rPr>
        <w:t>县民政局是塔什库尔干县人民政府主管社会事务的重要部门，承担着全县城乡社会救助和社会福利、基层民主政治建设、服务军队和国防建设、管理专项社会事务四大方面二十项工作职能。目前县民政局有</w:t>
      </w:r>
      <w:r>
        <w:rPr>
          <w:rFonts w:hint="eastAsia" w:ascii="仿宋" w:hAnsi="仿宋" w:eastAsia="仿宋" w:cs="仿宋"/>
          <w:color w:val="auto"/>
          <w:sz w:val="32"/>
          <w:szCs w:val="32"/>
        </w:rPr>
        <w:t>设6个职能股室：办公室（社工办）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民间组织管理、救灾救济、社会福利、社会救助股（慈善总会）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社会事务股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优抚安置军休股（退伍军人安置办）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基层政权建设</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股</w:t>
      </w:r>
      <w:r>
        <w:rPr>
          <w:rFonts w:hint="eastAsia" w:ascii="仿宋" w:hAnsi="仿宋" w:eastAsia="仿宋" w:cs="仿宋"/>
          <w:color w:val="auto"/>
          <w:sz w:val="32"/>
          <w:szCs w:val="32"/>
          <w:lang w:eastAsia="zh-CN"/>
        </w:rPr>
        <w:t>。</w:t>
      </w:r>
    </w:p>
    <w:p>
      <w:pPr>
        <w:autoSpaceDN w:val="0"/>
        <w:spacing w:line="460" w:lineRule="exact"/>
        <w:ind w:firstLine="635" w:firstLineChars="200"/>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rPr>
        <w:t xml:space="preserve">2．机构情况  </w:t>
      </w:r>
    </w:p>
    <w:p>
      <w:pPr>
        <w:numPr>
          <w:ilvl w:val="0"/>
          <w:numId w:val="0"/>
        </w:num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民政局（本级）</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根据国家、自治区关于民政工作的基本方针、政策、规章和法律、法规，研究提出塔什库尔干县民政事业发展规划；组织实施和监督检查塔什库尔干县民政系统执行国家、自治区民政工作有关政策法规。</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社团管理、民办非企业组织和基金会的法规，负责全县社团、民办非企业和基金会及其分支机构的登记和年度检查；监督他们的活动，查处他们的违法行为和未经登记而以社团、民办非企业和基金会名义开展活动的非法组织。</w:t>
      </w:r>
    </w:p>
    <w:p>
      <w:pPr>
        <w:autoSpaceDN w:val="0"/>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负责全县拥军优属、优待抚恤和革命烈士的初审申报工作；负责复员干部、退伍义务兵和转业士官的；</w:t>
      </w:r>
    </w:p>
    <w:p>
      <w:pPr>
        <w:autoSpaceDN w:val="0"/>
        <w:spacing w:line="460" w:lineRule="exact"/>
        <w:rPr>
          <w:rFonts w:hint="eastAsia" w:ascii="仿宋" w:hAnsi="仿宋" w:eastAsia="仿宋" w:cs="仿宋"/>
          <w:color w:val="auto"/>
          <w:sz w:val="32"/>
          <w:szCs w:val="32"/>
        </w:rPr>
      </w:pPr>
      <w:r>
        <w:rPr>
          <w:rFonts w:hint="eastAsia" w:ascii="仿宋" w:hAnsi="仿宋" w:eastAsia="仿宋" w:cs="仿宋"/>
          <w:color w:val="auto"/>
          <w:sz w:val="32"/>
          <w:szCs w:val="32"/>
        </w:rPr>
        <w:t>负责移交地方安置的军队离退休干部、士官和无军籍退休职工的接收安排工作。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负责全县救灾工作。组织核查灾情，统计汇总上报灾情，接收、管理和分配救灾款物并监督使用；组织指导救灾捐赠，指导灾区开展生产自救。</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组织和指导扶贫济困等社会互助活动；管理城乡社会救济、五保户的供应、社会福利院管理。</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指导全县基层政权和基层群众自治建设；指导村民委员会民主选举、民主决策、民主管理和民主监督工作，推动村务公开和基层民主政治建设；指导社区居委会建设，制定社区工作及社区服务管理办法，推动全县社区建设。</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负责全县婚姻登记和儿童收养工作，依法指导妇女儿童权益保护工作；积极倡导婚姻习俗改革；承办全县儿童收养业务；推行殡葬改革，负责全县的殡葬管理工作；负责县城内流浪乞讨人员的救助管理工作。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组织拟订和实施全县社会福利发展规划，推动社会化服务体系的建立和发展；会同有关部门研究拟订残疾人事业发展规划；负责全县社会福利有奖募捐工作。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编制社工规划，储备社工人才，建立社工队伍，探索自治县的社工工作。</w:t>
      </w:r>
    </w:p>
    <w:p>
      <w:pPr>
        <w:spacing w:line="460" w:lineRule="exact"/>
        <w:ind w:firstLine="640" w:firstLineChars="200"/>
        <w:rPr>
          <w:rFonts w:hint="eastAsia" w:ascii="仿宋" w:hAnsi="仿宋" w:eastAsia="仿宋" w:cs="仿宋"/>
          <w:color w:val="auto"/>
          <w:spacing w:val="-2"/>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城乡低保中心  主要负责组织和指导扶贫济困等社会互助活动；管理城乡社会救济、五保户的供应，和全县城乡居民第二次医疗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。审批城乡居民的医疗</w:t>
      </w:r>
      <w:r>
        <w:rPr>
          <w:rFonts w:hint="eastAsia" w:ascii="仿宋" w:hAnsi="仿宋" w:eastAsia="仿宋" w:cs="仿宋"/>
          <w:color w:val="auto"/>
          <w:sz w:val="32"/>
          <w:szCs w:val="32"/>
          <w:lang w:val="en-US" w:eastAsia="zh-CN"/>
        </w:rPr>
        <w:t>保险</w:t>
      </w:r>
      <w:bookmarkStart w:id="0" w:name="_GoBack"/>
      <w:bookmarkEnd w:id="0"/>
      <w:r>
        <w:rPr>
          <w:rFonts w:hint="eastAsia" w:ascii="仿宋" w:hAnsi="仿宋" w:eastAsia="仿宋" w:cs="仿宋"/>
          <w:color w:val="auto"/>
          <w:sz w:val="32"/>
          <w:szCs w:val="32"/>
        </w:rPr>
        <w:t>、建档工作，负责协医疗机构对全县的居民治病实行一站式服务，协助卫生行政部门对医疗机构的监管。</w:t>
      </w:r>
    </w:p>
    <w:p>
      <w:pPr>
        <w:pStyle w:val="16"/>
        <w:keepNext w:val="0"/>
        <w:keepLines w:val="0"/>
        <w:pageBreakBefore w:val="0"/>
        <w:widowControl/>
        <w:kinsoku/>
        <w:wordWrap/>
        <w:overflowPunct/>
        <w:topLinePunct w:val="0"/>
        <w:autoSpaceDE/>
        <w:autoSpaceDN/>
        <w:bidi w:val="0"/>
        <w:adjustRightInd/>
        <w:snapToGrid/>
        <w:spacing w:beforeAutospacing="0" w:afterAutospacing="0" w:line="560" w:lineRule="atLeast"/>
        <w:ind w:firstLine="472"/>
        <w:textAlignment w:val="auto"/>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rPr>
        <w:t>3．人员情况，包括当年变动情况及原因。</w:t>
      </w:r>
    </w:p>
    <w:p>
      <w:pPr>
        <w:keepNext w:val="0"/>
        <w:keepLines w:val="0"/>
        <w:pageBreakBefore w:val="0"/>
        <w:kinsoku/>
        <w:wordWrap/>
        <w:overflowPunct/>
        <w:topLinePunct w:val="0"/>
        <w:autoSpaceDE/>
        <w:autoSpaceDN/>
        <w:bidi w:val="0"/>
        <w:adjustRightInd/>
        <w:snapToGrid/>
        <w:spacing w:beforeAutospacing="0" w:afterAutospacing="0"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编制人数1</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人，其中：行政人员编制5人，参照公务员管理的事业单位人员编制0人，全额拨款事业单位人员编制</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人，工勤人员编制1人。实有在职人数</w:t>
      </w: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人，其中：行政在职7人，参照公务员管理的事业单位人员0人，事业在职</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人，工勤在职人数2人。离退休人员1人，其中：离休人员0人，退休人员1人。</w:t>
      </w:r>
    </w:p>
    <w:p>
      <w:pPr>
        <w:adjustRightInd w:val="0"/>
        <w:snapToGrid w:val="0"/>
        <w:spacing w:line="560" w:lineRule="exact"/>
        <w:ind w:firstLine="627" w:firstLineChars="20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（二）项目预算绩效目标设定情况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允分发挥中央统筹指导和支持作用, 完義救灾补助政策, 提高中央自然灾害生活补助标准, 加大防灾减灾救灾投入；全面加强灾害应急救助工作；按照有关制度规定, 灾害发生后，根据灾情及时启动国家救灾应急响应,及时安排下拨中央自然灾害生活社助资金,协助地方做好救灾应急和受灾群众生活救助各项工作,切实保障受灾群众基本生活；帮助灾区完成倒房恢复重建；按照有关制度规定, 帮助灾区及时完成倒房恢复重建工作,会同有关部门积极整合有关资源和支农惠民政策,努力帮助灾区减轻恢复</w:t>
      </w:r>
      <w:r>
        <w:rPr>
          <w:rFonts w:hint="eastAsia" w:ascii="仿宋" w:hAnsi="仿宋" w:eastAsia="仿宋" w:cs="仿宋"/>
          <w:bCs/>
          <w:color w:val="auto"/>
          <w:spacing w:val="-4"/>
          <w:sz w:val="32"/>
          <w:szCs w:val="32"/>
          <w:lang w:val="en-US" w:eastAsia="zh-CN"/>
        </w:rPr>
        <w:t>重建建房负担,减少因灾返贫、因灾致贫现象,确保灾区倒房恢复</w:t>
      </w:r>
      <w:r>
        <w:rPr>
          <w:rFonts w:hint="eastAsia" w:ascii="仿宋" w:hAnsi="仿宋" w:eastAsia="仿宋" w:cs="仿宋"/>
          <w:color w:val="auto"/>
          <w:sz w:val="32"/>
          <w:szCs w:val="32"/>
          <w:lang w:val="en-US" w:eastAsia="zh-CN"/>
        </w:rPr>
        <w:t>重建按期开工,如期完成。</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napToGrid w:val="0"/>
        <w:spacing w:line="560" w:lineRule="exact"/>
        <w:ind w:firstLine="624" w:firstLineChars="200"/>
        <w:rPr>
          <w:rFonts w:hint="eastAsia" w:ascii="仿宋" w:hAnsi="仿宋" w:eastAsia="仿宋" w:cs="仿宋"/>
          <w:b w:val="0"/>
          <w:bCs w:val="0"/>
          <w:color w:val="auto"/>
          <w:spacing w:val="-4"/>
          <w:sz w:val="32"/>
          <w:szCs w:val="32"/>
          <w:lang w:eastAsia="zh-CN"/>
        </w:rPr>
      </w:pPr>
      <w:r>
        <w:rPr>
          <w:rFonts w:hint="eastAsia" w:ascii="仿宋" w:hAnsi="仿宋" w:eastAsia="仿宋" w:cs="仿宋"/>
          <w:b w:val="0"/>
          <w:bCs w:val="0"/>
          <w:color w:val="auto"/>
          <w:spacing w:val="-4"/>
          <w:sz w:val="32"/>
          <w:szCs w:val="32"/>
          <w:lang w:eastAsia="zh-CN"/>
        </w:rPr>
        <w:t>本项目性质为延续性项目。</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此资金主要用于对遭受特大自然灾害地区的地方政府在安排受灾群众吃、穿、住和抢救、转移、安置、治病等支出和灾后重建资金支出。</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发放范围：“5.11”灾民</w:t>
      </w:r>
    </w:p>
    <w:p>
      <w:pPr>
        <w:ind w:firstLine="640" w:firstLineChars="200"/>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color w:val="auto"/>
          <w:sz w:val="32"/>
          <w:szCs w:val="32"/>
          <w:lang w:val="en-US" w:eastAsia="zh-CN"/>
        </w:rPr>
        <w:t>主要内容：发放生活补助粮、支付灾后重建工程款</w:t>
      </w:r>
      <w:r>
        <w:rPr>
          <w:rFonts w:hint="eastAsia" w:ascii="仿宋" w:hAnsi="仿宋" w:eastAsia="仿宋" w:cs="仿宋"/>
          <w:b w:val="0"/>
          <w:i w:val="0"/>
          <w:caps w:val="0"/>
          <w:color w:val="auto"/>
          <w:spacing w:val="0"/>
          <w:sz w:val="32"/>
          <w:szCs w:val="32"/>
          <w:shd w:val="clear" w:fill="FFFFFF"/>
          <w:lang w:eastAsia="zh-CN"/>
        </w:rPr>
        <w:t>。</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二、项目资金使用及管理情况</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（一）项目资金安排落实、总投入等情况分析</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自然灾害生活补助资金项目预算安排总额为8995万元，其中财政资金8995万元，自筹资金0万元，2018年实际收到预算资金8995万元。</w:t>
      </w:r>
    </w:p>
    <w:p>
      <w:pPr>
        <w:ind w:firstLine="627" w:firstLineChars="200"/>
        <w:rPr>
          <w:rFonts w:hint="eastAsia" w:ascii="仿宋" w:hAnsi="仿宋" w:eastAsia="仿宋" w:cs="仿宋"/>
          <w:color w:val="auto"/>
          <w:sz w:val="32"/>
          <w:szCs w:val="32"/>
          <w:lang w:val="en-US" w:eastAsia="zh-CN"/>
        </w:rPr>
      </w:pPr>
      <w:r>
        <w:rPr>
          <w:rStyle w:val="19"/>
          <w:rFonts w:hint="eastAsia" w:ascii="楷体" w:hAnsi="楷体" w:eastAsia="楷体" w:cs="楷体"/>
          <w:color w:val="auto"/>
          <w:spacing w:val="-4"/>
          <w:sz w:val="32"/>
          <w:szCs w:val="32"/>
          <w:lang w:val="en-US" w:eastAsia="zh-CN"/>
        </w:rPr>
        <w:t>（二）项目资金实际使用情况分析</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本项目实际支付资金8995万元，预算执行率100%，项目资金主要用于支付优抚对象、自然灾害生活补助资金8995万元。</w:t>
      </w:r>
    </w:p>
    <w:p>
      <w:pPr>
        <w:ind w:firstLine="627" w:firstLineChars="200"/>
        <w:rPr>
          <w:rStyle w:val="19"/>
          <w:rFonts w:hint="eastAsia" w:ascii="楷体" w:hAnsi="楷体" w:eastAsia="楷体" w:cs="楷体"/>
          <w:color w:val="auto"/>
          <w:spacing w:val="-4"/>
          <w:sz w:val="32"/>
          <w:szCs w:val="32"/>
          <w:lang w:val="en-US" w:eastAsia="zh-CN"/>
        </w:rPr>
      </w:pPr>
      <w:r>
        <w:rPr>
          <w:rStyle w:val="19"/>
          <w:rFonts w:hint="eastAsia" w:ascii="楷体" w:hAnsi="楷体" w:eastAsia="楷体" w:cs="楷体"/>
          <w:color w:val="auto"/>
          <w:spacing w:val="-4"/>
          <w:sz w:val="32"/>
          <w:szCs w:val="32"/>
          <w:lang w:val="en-US" w:eastAsia="zh-CN"/>
        </w:rPr>
        <w:t>（三）项目资金管理情况分析</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支出符合《自然灾害生活救助资金管理暂行办法》相关管理制度，会计人员集中核算工作管理制度、财务收支审批制度、财务稽核制度、财务牵制制度、会计主管岗位职责等制度规定，资金的拨付均有完整的审批程序和手续，不存在截留、挤占、挪用等情况。</w:t>
      </w:r>
    </w:p>
    <w:p>
      <w:pPr>
        <w:ind w:firstLine="627" w:firstLineChars="200"/>
        <w:rPr>
          <w:rStyle w:val="19"/>
          <w:rFonts w:hint="eastAsia" w:ascii="黑体" w:hAnsi="黑体" w:eastAsia="黑体" w:cs="黑体"/>
          <w:b/>
          <w:bCs w:val="0"/>
          <w:color w:val="auto"/>
          <w:spacing w:val="-4"/>
          <w:sz w:val="32"/>
          <w:szCs w:val="32"/>
          <w:lang w:val="en-US" w:eastAsia="zh-CN"/>
        </w:rPr>
      </w:pPr>
      <w:r>
        <w:rPr>
          <w:rStyle w:val="19"/>
          <w:rFonts w:hint="eastAsia" w:ascii="黑体" w:hAnsi="黑体" w:eastAsia="黑体" w:cs="黑体"/>
          <w:b/>
          <w:bCs w:val="0"/>
          <w:color w:val="auto"/>
          <w:spacing w:val="-4"/>
          <w:sz w:val="32"/>
          <w:szCs w:val="32"/>
          <w:lang w:val="en-US" w:eastAsia="zh-CN"/>
        </w:rPr>
        <w:t>三、项目组织实施情况</w:t>
      </w:r>
    </w:p>
    <w:p>
      <w:pPr>
        <w:ind w:firstLine="627" w:firstLineChars="200"/>
        <w:rPr>
          <w:rStyle w:val="19"/>
          <w:rFonts w:hint="eastAsia" w:ascii="楷体" w:hAnsi="楷体" w:eastAsia="楷体" w:cs="楷体"/>
          <w:color w:val="auto"/>
          <w:spacing w:val="-4"/>
          <w:sz w:val="32"/>
          <w:szCs w:val="32"/>
          <w:lang w:val="en-US" w:eastAsia="zh-CN"/>
        </w:rPr>
      </w:pPr>
      <w:r>
        <w:rPr>
          <w:rStyle w:val="19"/>
          <w:rFonts w:hint="eastAsia" w:ascii="楷体" w:hAnsi="楷体" w:eastAsia="楷体" w:cs="楷体"/>
          <w:color w:val="auto"/>
          <w:spacing w:val="-4"/>
          <w:sz w:val="32"/>
          <w:szCs w:val="32"/>
          <w:lang w:val="en-US" w:eastAsia="zh-CN"/>
        </w:rPr>
        <w:t>（一）项目组织情况分析</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该项目属于经常性项目,没有达到招投标限额,由本单位自行组织实施。实施过程均按照本单位制定的管理制度执行。</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本项目不存在调整情况。</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为保证项目质量项目实施完成后，由本项目相关人员于2018年12月31日完成下乡检查资金落实情况。</w:t>
      </w:r>
    </w:p>
    <w:p>
      <w:pPr>
        <w:ind w:firstLine="627" w:firstLineChars="200"/>
        <w:rPr>
          <w:rStyle w:val="19"/>
          <w:rFonts w:hint="eastAsia" w:ascii="楷体" w:hAnsi="楷体" w:eastAsia="楷体" w:cs="楷体"/>
          <w:color w:val="auto"/>
          <w:spacing w:val="-4"/>
          <w:sz w:val="32"/>
          <w:szCs w:val="32"/>
          <w:lang w:val="en-US" w:eastAsia="zh-CN"/>
        </w:rPr>
      </w:pPr>
      <w:r>
        <w:rPr>
          <w:rStyle w:val="19"/>
          <w:rFonts w:hint="eastAsia" w:ascii="楷体" w:hAnsi="楷体" w:eastAsia="楷体" w:cs="楷体"/>
          <w:color w:val="auto"/>
          <w:spacing w:val="-4"/>
          <w:sz w:val="32"/>
          <w:szCs w:val="32"/>
          <w:lang w:val="en-US" w:eastAsia="zh-CN"/>
        </w:rPr>
        <w:t>（二）项目管理情况分析</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实施过程中，塔什库尔干县民政局救灾科建立了《塔什库尔干塔吉克自治县应急救助管理办法》保障项目的顺利实施。项目的实施遵守相关法律法规和业务管理规定，项目资料齐全并及时归档。已建立《自然灾害生活补助资金日常检查监督机制》，不定期下乡检查专项资金发放情况，对检查过程中发现的问题及时督促整改，确保了专项资金专款专用。</w:t>
      </w:r>
    </w:p>
    <w:p>
      <w:pPr>
        <w:adjustRightInd w:val="0"/>
        <w:snapToGrid w:val="0"/>
        <w:spacing w:line="560" w:lineRule="exact"/>
        <w:ind w:firstLine="627" w:firstLineChars="200"/>
        <w:outlineLvl w:val="0"/>
        <w:rPr>
          <w:rStyle w:val="19"/>
          <w:rFonts w:hint="eastAsia" w:ascii="黑体" w:hAnsi="黑体" w:eastAsia="黑体" w:cs="黑体"/>
          <w:b/>
          <w:bCs w:val="0"/>
          <w:color w:val="auto"/>
          <w:sz w:val="32"/>
          <w:szCs w:val="32"/>
        </w:rPr>
      </w:pPr>
      <w:r>
        <w:rPr>
          <w:rStyle w:val="19"/>
          <w:rFonts w:hint="eastAsia" w:ascii="黑体" w:hAnsi="黑体" w:eastAsia="黑体" w:cs="黑体"/>
          <w:b/>
          <w:bCs w:val="0"/>
          <w:color w:val="auto"/>
          <w:spacing w:val="-4"/>
          <w:sz w:val="32"/>
          <w:szCs w:val="32"/>
        </w:rPr>
        <w:t>四、项目绩效情况</w:t>
      </w:r>
    </w:p>
    <w:p>
      <w:pPr>
        <w:adjustRightInd w:val="0"/>
        <w:snapToGrid w:val="0"/>
        <w:spacing w:line="560" w:lineRule="exact"/>
        <w:ind w:firstLine="627" w:firstLineChars="200"/>
        <w:outlineLvl w:val="0"/>
        <w:rPr>
          <w:rStyle w:val="19"/>
          <w:rFonts w:hint="eastAsia" w:ascii="楷体" w:hAnsi="楷体" w:eastAsia="楷体" w:cs="楷体"/>
          <w:bCs w:val="0"/>
          <w:color w:val="auto"/>
          <w:spacing w:val="-4"/>
          <w:sz w:val="32"/>
          <w:szCs w:val="32"/>
        </w:rPr>
      </w:pPr>
      <w:r>
        <w:rPr>
          <w:rFonts w:hint="eastAsia" w:ascii="楷体" w:hAnsi="楷体" w:eastAsia="楷体" w:cs="楷体"/>
          <w:b/>
          <w:color w:val="auto"/>
          <w:spacing w:val="-4"/>
          <w:sz w:val="32"/>
          <w:szCs w:val="32"/>
        </w:rPr>
        <w:t>（一）项目绩效目标完成情况分析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本项目共设置一级指标</w:t>
      </w: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个，二级指标</w:t>
      </w:r>
      <w:r>
        <w:rPr>
          <w:rFonts w:hint="eastAsia" w:ascii="仿宋" w:hAnsi="仿宋" w:eastAsia="仿宋" w:cs="仿宋"/>
          <w:bCs/>
          <w:color w:val="auto"/>
          <w:spacing w:val="-4"/>
          <w:sz w:val="32"/>
          <w:szCs w:val="32"/>
          <w:lang w:val="en-US" w:eastAsia="zh-CN"/>
        </w:rPr>
        <w:t>6</w:t>
      </w:r>
      <w:r>
        <w:rPr>
          <w:rFonts w:hint="eastAsia" w:ascii="仿宋" w:hAnsi="仿宋" w:eastAsia="仿宋" w:cs="仿宋"/>
          <w:bCs/>
          <w:color w:val="auto"/>
          <w:spacing w:val="-4"/>
          <w:sz w:val="32"/>
          <w:szCs w:val="32"/>
        </w:rPr>
        <w:t>个，三级指标</w:t>
      </w:r>
      <w:r>
        <w:rPr>
          <w:rFonts w:hint="eastAsia" w:ascii="仿宋" w:hAnsi="仿宋" w:eastAsia="仿宋" w:cs="仿宋"/>
          <w:bCs/>
          <w:color w:val="auto"/>
          <w:spacing w:val="-4"/>
          <w:sz w:val="32"/>
          <w:szCs w:val="32"/>
          <w:lang w:val="en-US" w:eastAsia="zh-CN"/>
        </w:rPr>
        <w:t>7</w:t>
      </w:r>
      <w:r>
        <w:rPr>
          <w:rFonts w:hint="eastAsia" w:ascii="仿宋" w:hAnsi="仿宋" w:eastAsia="仿宋" w:cs="仿宋"/>
          <w:bCs/>
          <w:color w:val="auto"/>
          <w:spacing w:val="-4"/>
          <w:sz w:val="32"/>
          <w:szCs w:val="32"/>
        </w:rPr>
        <w:t>个，其中已完成三级指标</w:t>
      </w:r>
      <w:r>
        <w:rPr>
          <w:rFonts w:hint="eastAsia" w:ascii="仿宋" w:hAnsi="仿宋" w:eastAsia="仿宋" w:cs="仿宋"/>
          <w:bCs/>
          <w:color w:val="auto"/>
          <w:spacing w:val="-4"/>
          <w:sz w:val="32"/>
          <w:szCs w:val="32"/>
          <w:lang w:val="en-US" w:eastAsia="zh-CN"/>
        </w:rPr>
        <w:t>7</w:t>
      </w:r>
      <w:r>
        <w:rPr>
          <w:rFonts w:hint="eastAsia" w:ascii="仿宋" w:hAnsi="仿宋" w:eastAsia="仿宋" w:cs="仿宋"/>
          <w:bCs/>
          <w:color w:val="auto"/>
          <w:spacing w:val="-4"/>
          <w:sz w:val="32"/>
          <w:szCs w:val="32"/>
        </w:rPr>
        <w:t>个，指标完成率为</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经济性：</w:t>
      </w:r>
      <w:r>
        <w:rPr>
          <w:rStyle w:val="19"/>
          <w:rFonts w:hint="eastAsia" w:ascii="仿宋" w:hAnsi="仿宋" w:eastAsia="仿宋" w:cs="仿宋"/>
          <w:b w:val="0"/>
          <w:color w:val="auto"/>
          <w:spacing w:val="-4"/>
          <w:sz w:val="32"/>
          <w:szCs w:val="32"/>
          <w:lang w:val="en-US" w:eastAsia="zh-CN"/>
        </w:rPr>
        <w:t>无</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效率性：</w:t>
      </w:r>
      <w:r>
        <w:rPr>
          <w:rStyle w:val="19"/>
          <w:rFonts w:hint="default" w:ascii="仿宋" w:hAnsi="仿宋" w:eastAsia="仿宋" w:cs="仿宋"/>
          <w:b w:val="0"/>
          <w:color w:val="auto"/>
          <w:spacing w:val="-4"/>
          <w:sz w:val="32"/>
          <w:szCs w:val="32"/>
          <w:lang w:val="en-US" w:eastAsia="zh-CN"/>
        </w:rPr>
        <w:t>”</w:t>
      </w:r>
      <w:r>
        <w:rPr>
          <w:rStyle w:val="19"/>
          <w:rFonts w:hint="eastAsia" w:ascii="仿宋" w:hAnsi="仿宋" w:eastAsia="仿宋" w:cs="仿宋"/>
          <w:b w:val="0"/>
          <w:color w:val="auto"/>
          <w:spacing w:val="-4"/>
          <w:sz w:val="32"/>
          <w:szCs w:val="32"/>
          <w:lang w:val="en-US" w:eastAsia="zh-CN"/>
        </w:rPr>
        <w:t>5.11</w:t>
      </w:r>
      <w:r>
        <w:rPr>
          <w:rStyle w:val="19"/>
          <w:rFonts w:hint="default" w:ascii="仿宋" w:hAnsi="仿宋" w:eastAsia="仿宋" w:cs="仿宋"/>
          <w:b w:val="0"/>
          <w:color w:val="auto"/>
          <w:spacing w:val="-4"/>
          <w:sz w:val="32"/>
          <w:szCs w:val="32"/>
          <w:lang w:val="en-US" w:eastAsia="zh-CN"/>
        </w:rPr>
        <w:t>”</w:t>
      </w:r>
      <w:r>
        <w:rPr>
          <w:rStyle w:val="19"/>
          <w:rFonts w:hint="eastAsia" w:ascii="仿宋" w:hAnsi="仿宋" w:eastAsia="仿宋" w:cs="仿宋"/>
          <w:b w:val="0"/>
          <w:color w:val="auto"/>
          <w:spacing w:val="-4"/>
          <w:sz w:val="32"/>
          <w:szCs w:val="32"/>
          <w:lang w:val="en-US" w:eastAsia="zh-CN"/>
        </w:rPr>
        <w:t>地震发生后，我县成立了应急救援部，灾后应急保障部等，在最快的时间内将灾害损失降到最低。。</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Style w:val="19"/>
          <w:rFonts w:hint="eastAsia" w:ascii="仿宋" w:hAnsi="仿宋" w:eastAsia="仿宋" w:cs="仿宋"/>
          <w:b w:val="0"/>
          <w:color w:val="auto"/>
          <w:spacing w:val="-4"/>
          <w:sz w:val="32"/>
          <w:szCs w:val="32"/>
        </w:rPr>
        <w:t>效益性：</w:t>
      </w:r>
      <w:r>
        <w:rPr>
          <w:rStyle w:val="19"/>
          <w:rFonts w:hint="eastAsia" w:ascii="仿宋" w:hAnsi="仿宋" w:eastAsia="仿宋" w:cs="仿宋"/>
          <w:b w:val="0"/>
          <w:color w:val="auto"/>
          <w:spacing w:val="-4"/>
          <w:sz w:val="32"/>
          <w:szCs w:val="32"/>
          <w:lang w:eastAsia="zh-CN"/>
        </w:rPr>
        <w:t>此次自然灾害救助受益人数达到</w:t>
      </w:r>
      <w:r>
        <w:rPr>
          <w:rStyle w:val="19"/>
          <w:rFonts w:hint="eastAsia" w:ascii="仿宋" w:hAnsi="仿宋" w:eastAsia="仿宋" w:cs="仿宋"/>
          <w:b w:val="0"/>
          <w:color w:val="auto"/>
          <w:spacing w:val="-4"/>
          <w:sz w:val="32"/>
          <w:szCs w:val="32"/>
          <w:lang w:val="en-US" w:eastAsia="zh-CN"/>
        </w:rPr>
        <w:t>42680人。在灾害发生后，最大限度的保障了受灾群众的利益。</w:t>
      </w:r>
    </w:p>
    <w:p>
      <w:pPr>
        <w:adjustRightInd w:val="0"/>
        <w:snapToGrid w:val="0"/>
        <w:spacing w:line="560" w:lineRule="exact"/>
        <w:ind w:firstLine="627" w:firstLineChars="200"/>
        <w:rPr>
          <w:rFonts w:hint="eastAsia" w:ascii="仿宋" w:hAnsi="仿宋" w:eastAsia="仿宋" w:cs="仿宋"/>
          <w:bCs/>
          <w:color w:val="auto"/>
          <w:spacing w:val="-4"/>
          <w:sz w:val="32"/>
          <w:szCs w:val="32"/>
        </w:rPr>
      </w:pPr>
      <w:r>
        <w:rPr>
          <w:rFonts w:hint="eastAsia" w:ascii="楷体" w:hAnsi="楷体" w:eastAsia="楷体" w:cs="楷体"/>
          <w:b/>
          <w:color w:val="auto"/>
          <w:spacing w:val="-4"/>
          <w:sz w:val="32"/>
          <w:szCs w:val="32"/>
        </w:rPr>
        <w:t>（二）项目绩效目标未完成原因分析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2018年本项目绩效目标全部达成，不存在未完成原因分析。</w:t>
      </w:r>
    </w:p>
    <w:p>
      <w:pPr>
        <w:adjustRightInd w:val="0"/>
        <w:snapToGrid w:val="0"/>
        <w:spacing w:line="560" w:lineRule="exact"/>
        <w:ind w:firstLine="627" w:firstLineChars="200"/>
        <w:rPr>
          <w:rFonts w:hint="eastAsia" w:ascii="仿宋" w:hAnsi="仿宋" w:eastAsia="仿宋" w:cs="仿宋"/>
          <w:bCs/>
          <w:color w:val="auto"/>
          <w:spacing w:val="-4"/>
          <w:sz w:val="32"/>
          <w:szCs w:val="32"/>
        </w:rPr>
      </w:pPr>
      <w:r>
        <w:rPr>
          <w:rStyle w:val="19"/>
          <w:rFonts w:hint="eastAsia" w:ascii="黑体" w:hAnsi="黑体" w:eastAsia="黑体" w:cs="黑体"/>
          <w:b/>
          <w:bCs w:val="0"/>
          <w:color w:val="auto"/>
          <w:spacing w:val="-4"/>
          <w:sz w:val="32"/>
          <w:szCs w:val="32"/>
        </w:rPr>
        <w:t>五、其他需要说明的问题</w:t>
      </w:r>
    </w:p>
    <w:p>
      <w:pPr>
        <w:adjustRightInd w:val="0"/>
        <w:snapToGrid w:val="0"/>
        <w:spacing w:line="560" w:lineRule="exact"/>
        <w:ind w:firstLine="627" w:firstLineChars="20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（一）后续工作计划</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继续按规定拨付灾害重建项目款。</w:t>
      </w:r>
    </w:p>
    <w:p>
      <w:pPr>
        <w:adjustRightInd w:val="0"/>
        <w:snapToGrid w:val="0"/>
        <w:spacing w:line="560" w:lineRule="exact"/>
        <w:ind w:firstLine="627" w:firstLineChars="20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（二）主要经验及做法、存在问题和建议</w:t>
      </w:r>
    </w:p>
    <w:p>
      <w:pPr>
        <w:adjustRightInd w:val="0"/>
        <w:snapToGrid w:val="0"/>
        <w:spacing w:line="560" w:lineRule="exact"/>
        <w:ind w:firstLine="627" w:firstLineChars="200"/>
        <w:rPr>
          <w:rFonts w:hint="eastAsia" w:ascii="仿宋" w:hAnsi="仿宋" w:eastAsia="仿宋" w:cs="仿宋"/>
          <w:bCs/>
          <w:color w:val="auto"/>
          <w:spacing w:val="-4"/>
          <w:sz w:val="32"/>
          <w:szCs w:val="32"/>
        </w:rPr>
      </w:pPr>
      <w:r>
        <w:rPr>
          <w:rFonts w:hint="eastAsia" w:ascii="楷体" w:hAnsi="楷体" w:eastAsia="楷体" w:cs="楷体"/>
          <w:b/>
          <w:bCs/>
          <w:color w:val="auto"/>
          <w:spacing w:val="-4"/>
          <w:sz w:val="32"/>
          <w:szCs w:val="32"/>
        </w:rPr>
        <w:t>1、主要经验及做法</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rPr>
        <w:t>充分尊重受灾群众的意愿，把为民、利民作为灾后重建工作的出发点和落脚点，进行重点实施。两个目标，即灾后重建工作要立足现实需要，兼顾长远利益，努力实现一要安居、二要脱贫致富的目标。为此，县民政局确定了“优先解决生存困难、同时谋划未来发展”的规划思路，力求满足灾民的正当要求，提高人民群众的生产生活水平。三个结合，即在规划实施中采取自愿投亲靠友与政府帮助安置，分散与集中、灾后重建与综合开发三结合的办法，分类指导，分步实施</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lang w:val="en-US" w:eastAsia="zh-CN"/>
        </w:rPr>
        <w:t>2、</w:t>
      </w:r>
      <w:r>
        <w:rPr>
          <w:rFonts w:hint="eastAsia" w:ascii="楷体" w:hAnsi="楷体" w:eastAsia="楷体" w:cs="楷体"/>
          <w:b/>
          <w:bCs/>
          <w:color w:val="auto"/>
          <w:spacing w:val="-4"/>
          <w:sz w:val="32"/>
          <w:szCs w:val="32"/>
        </w:rPr>
        <w:t>存在的问题</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lang w:val="en-US" w:eastAsia="zh-CN"/>
        </w:rPr>
        <w:t>一</w:t>
      </w:r>
      <w:r>
        <w:rPr>
          <w:rFonts w:hint="eastAsia" w:ascii="仿宋" w:hAnsi="仿宋" w:eastAsia="仿宋" w:cs="仿宋"/>
          <w:bCs/>
          <w:color w:val="auto"/>
          <w:spacing w:val="-4"/>
          <w:sz w:val="32"/>
          <w:szCs w:val="32"/>
        </w:rPr>
        <w:t>是基础设施差</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救灾工作信息硬件设备不足，乡镇缺乏专业的硬件设备。如录像、摄像机，减灾救灾信息化手段滞后。</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 xml:space="preserve"> </w:t>
      </w:r>
      <w:r>
        <w:rPr>
          <w:rFonts w:hint="eastAsia" w:ascii="仿宋" w:hAnsi="仿宋" w:eastAsia="仿宋" w:cs="仿宋"/>
          <w:bCs/>
          <w:color w:val="auto"/>
          <w:spacing w:val="-4"/>
          <w:sz w:val="32"/>
          <w:szCs w:val="32"/>
          <w:lang w:eastAsia="zh-CN"/>
        </w:rPr>
        <w:t>二</w:t>
      </w:r>
      <w:r>
        <w:rPr>
          <w:rFonts w:hint="eastAsia" w:ascii="仿宋" w:hAnsi="仿宋" w:eastAsia="仿宋" w:cs="仿宋"/>
          <w:bCs/>
          <w:color w:val="auto"/>
          <w:spacing w:val="-4"/>
          <w:sz w:val="32"/>
          <w:szCs w:val="32"/>
        </w:rPr>
        <w:t>是救灾工作人员专业化水平低。全</w:t>
      </w:r>
      <w:r>
        <w:rPr>
          <w:rFonts w:hint="eastAsia" w:ascii="仿宋" w:hAnsi="仿宋" w:eastAsia="仿宋" w:cs="仿宋"/>
          <w:bCs/>
          <w:color w:val="auto"/>
          <w:spacing w:val="-4"/>
          <w:sz w:val="32"/>
          <w:szCs w:val="32"/>
          <w:lang w:eastAsia="zh-CN"/>
        </w:rPr>
        <w:t>县</w:t>
      </w:r>
      <w:r>
        <w:rPr>
          <w:rFonts w:hint="eastAsia" w:ascii="仿宋" w:hAnsi="仿宋" w:eastAsia="仿宋" w:cs="仿宋"/>
          <w:bCs/>
          <w:color w:val="auto"/>
          <w:spacing w:val="-4"/>
          <w:sz w:val="32"/>
          <w:szCs w:val="32"/>
        </w:rPr>
        <w:t>的救灾信息员全部由民政</w:t>
      </w:r>
      <w:r>
        <w:rPr>
          <w:rFonts w:hint="eastAsia" w:ascii="仿宋" w:hAnsi="仿宋" w:eastAsia="仿宋" w:cs="仿宋"/>
          <w:bCs/>
          <w:color w:val="auto"/>
          <w:spacing w:val="-4"/>
          <w:sz w:val="32"/>
          <w:szCs w:val="32"/>
          <w:lang w:eastAsia="zh-CN"/>
        </w:rPr>
        <w:t>局工作人员</w:t>
      </w:r>
      <w:r>
        <w:rPr>
          <w:rFonts w:hint="eastAsia" w:ascii="仿宋" w:hAnsi="仿宋" w:eastAsia="仿宋" w:cs="仿宋"/>
          <w:bCs/>
          <w:color w:val="auto"/>
          <w:spacing w:val="-4"/>
          <w:sz w:val="32"/>
          <w:szCs w:val="32"/>
        </w:rPr>
        <w:t>兼任，没有专门的信息员，掌握信息网络化装备的能力等问题普遍存在，如遇重大突发性自然灾害难以应付。</w:t>
      </w:r>
    </w:p>
    <w:p>
      <w:pPr>
        <w:adjustRightInd w:val="0"/>
        <w:snapToGrid w:val="0"/>
        <w:spacing w:line="560" w:lineRule="exact"/>
        <w:ind w:firstLine="627" w:firstLineChars="200"/>
        <w:rPr>
          <w:rFonts w:hint="eastAsia" w:ascii="仿宋" w:hAnsi="仿宋" w:eastAsia="仿宋" w:cs="仿宋"/>
          <w:bCs/>
          <w:color w:val="auto"/>
          <w:spacing w:val="-4"/>
          <w:sz w:val="32"/>
          <w:szCs w:val="32"/>
        </w:rPr>
      </w:pPr>
      <w:r>
        <w:rPr>
          <w:rFonts w:hint="eastAsia" w:ascii="楷体" w:hAnsi="楷体" w:eastAsia="楷体" w:cs="楷体"/>
          <w:b/>
          <w:bCs/>
          <w:color w:val="auto"/>
          <w:spacing w:val="-4"/>
          <w:sz w:val="32"/>
          <w:szCs w:val="32"/>
          <w:lang w:val="en-US" w:eastAsia="zh-CN"/>
        </w:rPr>
        <w:t>3、建议：</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 </w:t>
      </w:r>
      <w:r>
        <w:rPr>
          <w:rFonts w:hint="eastAsia" w:ascii="仿宋" w:hAnsi="仿宋" w:eastAsia="仿宋" w:cs="仿宋"/>
          <w:bCs/>
          <w:color w:val="auto"/>
          <w:spacing w:val="-4"/>
          <w:sz w:val="32"/>
          <w:szCs w:val="32"/>
          <w:lang w:eastAsia="zh-CN"/>
        </w:rPr>
        <w:t>一</w:t>
      </w:r>
      <w:r>
        <w:rPr>
          <w:rFonts w:hint="eastAsia" w:ascii="仿宋" w:hAnsi="仿宋" w:eastAsia="仿宋" w:cs="仿宋"/>
          <w:bCs/>
          <w:color w:val="auto"/>
          <w:spacing w:val="-4"/>
          <w:sz w:val="32"/>
          <w:szCs w:val="32"/>
        </w:rPr>
        <w:t>是强化自身能力建设。配齐配强工作人员，有条件的乡镇配备专业的救灾信息员，配备必要的交通、通信、摄影摄像工作。开展多层次、多形式的培训教育，不断提高灾害信息员在灾害基础知识、信息管理等方面的业务知识和技能，积极推进乡镇民政灾情管理信息系统的普及应用。</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二</w:t>
      </w:r>
      <w:r>
        <w:rPr>
          <w:rFonts w:hint="eastAsia" w:ascii="仿宋" w:hAnsi="仿宋" w:eastAsia="仿宋" w:cs="仿宋"/>
          <w:bCs/>
          <w:color w:val="auto"/>
          <w:spacing w:val="-4"/>
          <w:sz w:val="32"/>
          <w:szCs w:val="32"/>
        </w:rPr>
        <w:t>是加大宣传力度。深入社区、学校、农村等基层单位和灾害易发地区，通过发放宣传彩页、模拟现场救灾等形式，重点普及防灾避灾、自救互救等基本技能，提高灾害防御能力。以防灾减灾日宣传教育活动为契机，开展防灾减灾宣传活动，组织应急演练，着力提高全社会防灾减灾意识。</w:t>
      </w:r>
    </w:p>
    <w:p>
      <w:pPr>
        <w:adjustRightInd w:val="0"/>
        <w:snapToGrid w:val="0"/>
        <w:spacing w:line="560" w:lineRule="exact"/>
        <w:ind w:firstLine="627" w:firstLineChars="200"/>
        <w:rPr>
          <w:rFonts w:hint="eastAsia" w:ascii="仿宋" w:hAnsi="仿宋" w:eastAsia="仿宋" w:cs="仿宋"/>
          <w:bCs/>
          <w:color w:val="auto"/>
          <w:spacing w:val="-4"/>
          <w:sz w:val="32"/>
          <w:szCs w:val="32"/>
        </w:rPr>
      </w:pPr>
      <w:r>
        <w:rPr>
          <w:rFonts w:hint="eastAsia" w:ascii="楷体" w:hAnsi="楷体" w:eastAsia="楷体" w:cs="楷体"/>
          <w:b/>
          <w:color w:val="auto"/>
          <w:spacing w:val="-4"/>
          <w:sz w:val="32"/>
          <w:szCs w:val="32"/>
        </w:rPr>
        <w:t>（三）其他</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rPr>
        <w:t>无其他说明内容</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六、项目评价工作情况</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本次评价通过文件研读、实地调研、数据分析等方式，全面了解</w:t>
      </w:r>
      <w:r>
        <w:rPr>
          <w:rFonts w:hint="eastAsia" w:ascii="仿宋" w:hAnsi="仿宋" w:eastAsia="仿宋" w:cs="仿宋"/>
          <w:bCs/>
          <w:color w:val="auto"/>
          <w:spacing w:val="-4"/>
          <w:sz w:val="32"/>
          <w:szCs w:val="32"/>
          <w:lang w:eastAsia="zh-CN"/>
        </w:rPr>
        <w:t>自然灾害生活补助资金</w:t>
      </w:r>
      <w:r>
        <w:rPr>
          <w:rFonts w:hint="eastAsia" w:ascii="仿宋" w:hAnsi="仿宋" w:eastAsia="仿宋" w:cs="仿宋"/>
          <w:bCs/>
          <w:color w:val="auto"/>
          <w:spacing w:val="-4"/>
          <w:sz w:val="32"/>
          <w:szCs w:val="32"/>
        </w:rPr>
        <w:t>项目资金的使用效率和效果，项目管理过程是规范，完成了预期绩效目标等。</w:t>
      </w:r>
    </w:p>
    <w:p>
      <w:pPr>
        <w:adjustRightInd w:val="0"/>
        <w:snapToGrid w:val="0"/>
        <w:spacing w:line="560" w:lineRule="exact"/>
        <w:ind w:firstLine="627" w:firstLineChars="20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七、附表</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《项目支出绩效目标自评表》</w:t>
      </w:r>
    </w:p>
    <w:p>
      <w:pPr>
        <w:adjustRightInd w:val="0"/>
        <w:snapToGrid w:val="0"/>
        <w:spacing w:line="560" w:lineRule="exact"/>
        <w:ind w:firstLine="624" w:firstLineChars="200"/>
        <w:rPr>
          <w:rFonts w:hint="eastAsia" w:ascii="仿宋" w:hAnsi="仿宋" w:eastAsia="仿宋" w:cs="仿宋"/>
          <w:bCs/>
          <w:color w:val="auto"/>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64E013B"/>
    <w:rsid w:val="12695183"/>
    <w:rsid w:val="1336109A"/>
    <w:rsid w:val="23D31CE5"/>
    <w:rsid w:val="400C56A2"/>
    <w:rsid w:val="43DC4119"/>
    <w:rsid w:val="48FB0D4A"/>
    <w:rsid w:val="4E314F86"/>
    <w:rsid w:val="568B6255"/>
    <w:rsid w:val="57387A5E"/>
    <w:rsid w:val="60F33BBE"/>
    <w:rsid w:val="62F25F05"/>
    <w:rsid w:val="68BD4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Subtle Emphasis"/>
    <w:qFormat/>
    <w:uiPriority w:val="19"/>
    <w:rPr>
      <w:i/>
      <w:color w:val="595959" w:themeColor="text1" w:themeTint="A5"/>
    </w:rPr>
  </w:style>
  <w:style w:type="character" w:customStyle="1" w:styleId="40">
    <w:name w:val="Intense Emphasis"/>
    <w:basedOn w:val="18"/>
    <w:qFormat/>
    <w:uiPriority w:val="21"/>
    <w:rPr>
      <w:b/>
      <w:i/>
      <w:sz w:val="24"/>
      <w:szCs w:val="24"/>
      <w:u w:val="single"/>
    </w:rPr>
  </w:style>
  <w:style w:type="character" w:customStyle="1" w:styleId="41">
    <w:name w:val="Subtle Reference"/>
    <w:basedOn w:val="18"/>
    <w:qFormat/>
    <w:uiPriority w:val="31"/>
    <w:rPr>
      <w:sz w:val="24"/>
      <w:szCs w:val="24"/>
      <w:u w:val="single"/>
    </w:rPr>
  </w:style>
  <w:style w:type="character" w:customStyle="1" w:styleId="42">
    <w:name w:val="Intense Reference"/>
    <w:basedOn w:val="18"/>
    <w:qFormat/>
    <w:uiPriority w:val="32"/>
    <w:rPr>
      <w:b/>
      <w:sz w:val="24"/>
      <w:u w:val="single"/>
    </w:rPr>
  </w:style>
  <w:style w:type="character" w:customStyle="1" w:styleId="43">
    <w:name w:val="Book Title"/>
    <w:basedOn w:val="18"/>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12</TotalTime>
  <ScaleCrop>false</ScaleCrop>
  <LinksUpToDate>false</LinksUpToDate>
  <CharactersWithSpaces>1916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2019-01-15T12:45:00Z</cp:lastPrinted>
  <dcterms:modified xsi:type="dcterms:W3CDTF">2019-09-22T09:39:46Z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