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700" w:lineRule="exact"/>
        <w:jc w:val="left"/>
        <w:rPr>
          <w:rFonts w:ascii="仿宋_GB2312" w:hAnsi="仿宋_GB2312" w:eastAsia="仿宋_GB2312" w:cs="仿宋_GB2312"/>
          <w:kern w:val="0"/>
          <w:sz w:val="36"/>
          <w:szCs w:val="36"/>
          <w:lang w:val="zh-TW"/>
        </w:rPr>
      </w:pPr>
    </w:p>
    <w:p>
      <w:pPr>
        <w:pStyle w:val="49"/>
        <w:spacing w:line="700" w:lineRule="exact"/>
        <w:jc w:val="left"/>
        <w:rPr>
          <w:rFonts w:hint="eastAsia" w:ascii="仿宋_GB2312" w:hAnsi="宋体" w:eastAsia="仿宋_GB2312" w:cs="宋体"/>
          <w:kern w:val="0"/>
          <w:sz w:val="36"/>
          <w:szCs w:val="36"/>
          <w:lang w:val="zh-TW"/>
        </w:rPr>
      </w:pPr>
      <w:r>
        <w:rPr>
          <w:rFonts w:ascii="仿宋_GB2312" w:hAnsi="仿宋_GB2312" w:eastAsia="仿宋_GB2312" w:cs="仿宋_GB2312"/>
          <w:kern w:val="0"/>
          <w:sz w:val="36"/>
          <w:szCs w:val="36"/>
          <w:lang w:val="zh-TW" w:eastAsia="zh-TW"/>
        </w:rPr>
        <w:t>项目名称：</w:t>
      </w:r>
      <w:r>
        <w:rPr>
          <w:rFonts w:hint="eastAsia" w:hAnsi="宋体" w:eastAsia="仿宋_GB2312" w:cs="宋体"/>
          <w:kern w:val="0"/>
          <w:sz w:val="36"/>
          <w:szCs w:val="36"/>
        </w:rPr>
        <w:t>纺织业项目</w:t>
      </w:r>
    </w:p>
    <w:p>
      <w:pPr>
        <w:spacing w:line="700" w:lineRule="exact"/>
        <w:jc w:val="left"/>
        <w:rPr>
          <w:rFonts w:ascii="仿宋" w:hAnsi="仿宋" w:eastAsia="仿宋" w:cs="仿宋"/>
          <w:kern w:val="0"/>
          <w:sz w:val="36"/>
          <w:szCs w:val="36"/>
          <w:lang w:val="zh-TW" w:eastAsia="zh-TW"/>
        </w:rPr>
      </w:pPr>
      <w:r>
        <w:rPr>
          <w:rFonts w:ascii="仿宋_GB2312" w:hAnsi="仿宋_GB2312" w:eastAsia="仿宋_GB2312" w:cs="仿宋_GB2312"/>
          <w:kern w:val="0"/>
          <w:sz w:val="36"/>
          <w:szCs w:val="36"/>
          <w:lang w:val="zh-TW" w:eastAsia="zh-TW"/>
        </w:rPr>
        <w:t>实施单位（公章）：</w:t>
      </w:r>
      <w:r>
        <w:rPr>
          <w:rFonts w:hint="eastAsia" w:ascii="仿宋" w:hAnsi="仿宋" w:eastAsia="仿宋" w:cs="仿宋"/>
          <w:kern w:val="0"/>
          <w:sz w:val="36"/>
          <w:szCs w:val="36"/>
          <w:lang w:val="zh-TW" w:eastAsia="zh-TW"/>
        </w:rPr>
        <w:t>塔什库尔干县人力资源和社会保障局</w:t>
      </w:r>
    </w:p>
    <w:p>
      <w:pPr>
        <w:spacing w:line="700" w:lineRule="exact"/>
        <w:jc w:val="left"/>
        <w:rPr>
          <w:rFonts w:ascii="仿宋" w:hAnsi="仿宋" w:eastAsia="仿宋" w:cs="仿宋"/>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 w:hAnsi="仿宋" w:eastAsia="仿宋" w:cs="仿宋"/>
          <w:kern w:val="0"/>
          <w:sz w:val="36"/>
          <w:szCs w:val="36"/>
          <w:lang w:val="zh-TW" w:eastAsia="zh-TW"/>
        </w:rPr>
        <w:t>塔什库尔干县人力资源和社会保障局</w:t>
      </w:r>
    </w:p>
    <w:p>
      <w:pPr>
        <w:pStyle w:val="49"/>
        <w:spacing w:line="700" w:lineRule="exact"/>
        <w:jc w:val="left"/>
        <w:rPr>
          <w:kern w:val="0"/>
          <w:sz w:val="36"/>
          <w:szCs w:val="36"/>
          <w:lang w:val="zh-TW" w:eastAsia="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袁春德</w:t>
      </w:r>
    </w:p>
    <w:p>
      <w:pPr>
        <w:pStyle w:val="49"/>
        <w:spacing w:line="700" w:lineRule="exact"/>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30 </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塔县人力资源和社会保障局是塔什库尔干县人民政府主管社会事务的重要部门，承担着全县就业培训补贴、职业技能鉴定补贴、社会保险补贴、公益性岗位补贴、就业见习补贴、求职创业补贴、就业援助金、自主创业补贴、岗位补贴、就业创业服务补助和高技能人才培养补助等支出。以促进就业和培养技能人才为目的、实现“培训一人、就业一人”和“就业一人、培训一人”为目标、服务就业和经济发展为宗旨，加强职业技能培训，大力培养适应产业发展的技能人才，自主择业军转干部安置、服务、管理等工作。</w:t>
      </w:r>
    </w:p>
    <w:p>
      <w:pPr>
        <w:autoSpaceDN w:val="0"/>
        <w:spacing w:line="460" w:lineRule="exact"/>
        <w:ind w:firstLine="635" w:firstLineChars="200"/>
        <w:rPr>
          <w:rFonts w:ascii="楷体" w:hAnsi="楷体" w:eastAsia="楷体" w:cs="楷体"/>
          <w:b/>
          <w:bCs/>
          <w:spacing w:val="-2"/>
          <w:sz w:val="32"/>
          <w:szCs w:val="32"/>
        </w:rPr>
      </w:pPr>
      <w:r>
        <w:rPr>
          <w:rFonts w:hint="eastAsia" w:ascii="楷体" w:hAnsi="楷体" w:eastAsia="楷体" w:cs="楷体"/>
          <w:b/>
          <w:bCs/>
          <w:spacing w:val="-2"/>
          <w:sz w:val="32"/>
          <w:szCs w:val="32"/>
        </w:rPr>
        <w:t xml:space="preserve">1、机构情况  </w:t>
      </w:r>
    </w:p>
    <w:p>
      <w:pPr>
        <w:numPr>
          <w:ilvl w:val="0"/>
          <w:numId w:val="1"/>
        </w:num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贯彻执行国家、自治区、地区人力资源和社会保障事业发展规划、政策；落实相关政策和措施并组织实施和监督检查</w:t>
      </w:r>
      <w:r>
        <w:rPr>
          <w:rFonts w:hint="eastAsia" w:ascii="仿宋" w:hAnsi="仿宋" w:eastAsia="仿宋" w:cs="仿宋"/>
          <w:sz w:val="30"/>
          <w:szCs w:val="30"/>
        </w:rPr>
        <w:t>。</w:t>
      </w:r>
    </w:p>
    <w:p>
      <w:pPr>
        <w:numPr>
          <w:ilvl w:val="0"/>
          <w:numId w:val="1"/>
        </w:num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组织实施县人力资源市场 发展规划和人力资源流动办法措施，指导和监督人力资源服务机构管理，促进人力资源合理流动，有效配合</w:t>
      </w:r>
      <w:r>
        <w:rPr>
          <w:rFonts w:hint="eastAsia" w:ascii="仿宋" w:hAnsi="仿宋" w:eastAsia="仿宋" w:cs="仿宋"/>
          <w:sz w:val="30"/>
          <w:szCs w:val="30"/>
        </w:rPr>
        <w:t>。</w:t>
      </w:r>
    </w:p>
    <w:p>
      <w:pPr>
        <w:numPr>
          <w:ilvl w:val="0"/>
          <w:numId w:val="1"/>
        </w:num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负责促进就业工作。贯彻落实自治区、地区统筹城乡就业政策，拟定县城乡就业发展规划，完善县公共就业服务体系；组织落实就业援助制度；落实职业资格制度相关措施办法，统筹建立面向城乡劳动者的就业培训制度；合同有关部门落实高校毕业生就业政策和高技能人才，农村实用人才培养和激励政策。</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4、承办覆盖城乡的社会保障体系建设工作。落实城乡社会保险及其补充保险政策和标准；落实机关企业事业单位基本养老保险政策；落实自治区、地区社会保障基金投资政策。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5、负责就业、失业、社会保障基金预测预警和信息引导；拟订应对预案，实施预防，调解和控制，保持就业形势</w:t>
      </w:r>
      <w:bookmarkStart w:id="0" w:name="_GoBack"/>
      <w:bookmarkEnd w:id="0"/>
      <w:r>
        <w:rPr>
          <w:rFonts w:hint="eastAsia" w:ascii="仿宋" w:hAnsi="仿宋" w:eastAsia="仿宋" w:cs="仿宋"/>
          <w:sz w:val="30"/>
          <w:szCs w:val="30"/>
        </w:rPr>
        <w:t>和社会保险基金总体收支平衡。</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6、落实企=企业事业单位人员工资收入分配制度，促进建立企业事业单位人员工资正常增长和支付保障机制；落实企业事业单位人员福利和离退休正常。</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7、会同有关部门推进事业单位人事制度改革，落实事业人员和机关工勤人员管理制度，参与人才管理工作，落实专业人员管理和继续教育政策;不断深化职称制度改革；负责县专业技术人才选拔和培养工作。</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8、落实农民工工作综合性政策的实施意见和规划，会同有关部门协调解决重点难点问题，维护农民工合法权益。    </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9、统筹实施劳动、人事争议调解仲裁制度;落实劳动有关政策， 完善劳动关系协调机制;监督落实消除非法使用童工政策和女工、未成年工的特殊劳动保护政策;组织实施劳动监察，协调劳动者维权工作，依法查处重大案件。</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10，受理塔什库尔干县人力资源和社会保障方面信访事项，拟订信访工作预案；会同有关部门协调处理有关劳动、人事方面的重大信访事件或突发事件。</w:t>
      </w:r>
    </w:p>
    <w:p>
      <w:pPr>
        <w:pStyle w:val="4"/>
        <w:spacing w:line="560" w:lineRule="exact"/>
        <w:ind w:firstLine="640" w:firstLineChars="200"/>
        <w:jc w:val="both"/>
      </w:pPr>
      <w:r>
        <w:rPr>
          <w:rFonts w:ascii="仿宋_GB2312" w:hAnsi="华文中宋" w:eastAsia="仿宋_GB2312" w:cstheme="minorBidi"/>
          <w:b w:val="0"/>
          <w:kern w:val="2"/>
          <w:sz w:val="32"/>
          <w:szCs w:val="32"/>
        </w:rPr>
        <w:t>11、承办县委、政府办公室交办的其他事项。</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贯彻落实自治区党政机构改革工作部署，本次无职能划入，划出职能自主择业军队转业干部管理职责。</w:t>
      </w:r>
    </w:p>
    <w:p>
      <w:pPr>
        <w:pStyle w:val="16"/>
        <w:widowControl/>
        <w:spacing w:line="448" w:lineRule="atLeast"/>
        <w:ind w:firstLine="472"/>
        <w:rPr>
          <w:rFonts w:ascii="楷体" w:hAnsi="楷体" w:eastAsia="楷体" w:cs="楷体"/>
          <w:b/>
          <w:bCs/>
          <w:spacing w:val="-2"/>
          <w:sz w:val="32"/>
          <w:szCs w:val="32"/>
        </w:rPr>
      </w:pPr>
      <w:r>
        <w:rPr>
          <w:rFonts w:hint="eastAsia" w:ascii="楷体" w:hAnsi="楷体" w:eastAsia="楷体" w:cs="楷体"/>
          <w:b/>
          <w:bCs/>
          <w:spacing w:val="-2"/>
          <w:sz w:val="32"/>
          <w:szCs w:val="32"/>
        </w:rPr>
        <w:t>2、人员情况，包括当年变动情况及原因。</w:t>
      </w:r>
    </w:p>
    <w:p>
      <w:pPr>
        <w:ind w:firstLine="640" w:firstLineChars="200"/>
        <w:rPr>
          <w:rStyle w:val="19"/>
          <w:rFonts w:ascii="仿宋" w:hAnsi="仿宋" w:eastAsia="仿宋" w:cs="仿宋"/>
          <w:b w:val="0"/>
          <w:bCs w:val="0"/>
          <w:sz w:val="32"/>
          <w:szCs w:val="32"/>
        </w:rPr>
      </w:pPr>
      <w:r>
        <w:rPr>
          <w:rFonts w:hint="eastAsia" w:ascii="仿宋" w:hAnsi="仿宋" w:eastAsia="仿宋" w:cs="仿宋"/>
          <w:sz w:val="32"/>
          <w:szCs w:val="32"/>
        </w:rPr>
        <w:t>编制人数76人，其中：行政人员编制6人，参照公务员管理的事业单位人员编制5人，全额拨款事业单位人员编制62人，工勤人员编制3人。实有在职人数74人，其中：行政在职6人，参照公务员管理的事业单位人员5人，事业在职60人，工勤在职人数3人。离退休人员9人，其中：离休人员0人，退休人员9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00" w:lineRule="exact"/>
        <w:ind w:firstLine="777" w:firstLineChars="243"/>
        <w:rPr>
          <w:rFonts w:ascii="宋体"/>
          <w:sz w:val="32"/>
          <w:szCs w:val="32"/>
        </w:rPr>
      </w:pPr>
      <w:r>
        <w:rPr>
          <w:rFonts w:hint="eastAsia" w:ascii="仿宋" w:hAnsi="仿宋" w:eastAsia="仿宋"/>
          <w:color w:val="000000" w:themeColor="text1"/>
          <w:sz w:val="32"/>
          <w:szCs w:val="32"/>
        </w:rPr>
        <w:t>项</w:t>
      </w:r>
      <w:r>
        <w:rPr>
          <w:rFonts w:hint="eastAsia" w:ascii="仿宋" w:hAnsi="仿宋" w:eastAsia="仿宋"/>
          <w:bCs/>
          <w:color w:val="000000" w:themeColor="text1"/>
          <w:spacing w:val="-4"/>
          <w:sz w:val="32"/>
          <w:szCs w:val="32"/>
        </w:rPr>
        <w:t>目资金主要用</w:t>
      </w:r>
      <w:r>
        <w:rPr>
          <w:rFonts w:hint="eastAsia" w:ascii="仿宋" w:hAnsi="仿宋" w:eastAsia="仿宋"/>
          <w:color w:val="000000" w:themeColor="text1"/>
          <w:sz w:val="32"/>
          <w:szCs w:val="32"/>
        </w:rPr>
        <w:t>于</w:t>
      </w:r>
      <w:r>
        <w:rPr>
          <w:rFonts w:hint="eastAsia" w:ascii="仿宋" w:hAnsi="仿宋" w:eastAsia="仿宋"/>
          <w:bCs/>
          <w:color w:val="000000" w:themeColor="text1"/>
          <w:spacing w:val="-4"/>
          <w:sz w:val="32"/>
          <w:szCs w:val="32"/>
        </w:rPr>
        <w:t>对县上两个纺织服装企业的员工进行社保补贴以及员工的岗前培训等补贴。</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本项目性质为延续性项目。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color w:val="000000" w:themeColor="text1"/>
          <w:spacing w:val="-4"/>
          <w:sz w:val="32"/>
          <w:szCs w:val="32"/>
        </w:rPr>
        <w:t>本项目资金主要对县上两个纺织服装企业的189人员工进行社保补贴以及员工的岗前培训等补贴≤2400元/人，提高纺织服装企业员工的水平。</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000000" w:themeColor="text1"/>
          <w:spacing w:val="-4"/>
          <w:sz w:val="32"/>
          <w:szCs w:val="32"/>
        </w:rPr>
      </w:pPr>
      <w:r>
        <w:rPr>
          <w:rFonts w:hint="eastAsia" w:ascii="仿宋" w:hAnsi="仿宋" w:eastAsia="仿宋"/>
          <w:color w:val="000000" w:themeColor="text1"/>
          <w:sz w:val="32"/>
          <w:szCs w:val="32"/>
        </w:rPr>
        <w:t>项目资金主要是财政拨款</w:t>
      </w:r>
      <w:r>
        <w:rPr>
          <w:rFonts w:hint="eastAsia" w:ascii="仿宋" w:hAnsi="仿宋" w:eastAsia="仿宋"/>
          <w:bCs/>
          <w:color w:val="000000" w:themeColor="text1"/>
          <w:spacing w:val="-4"/>
          <w:sz w:val="32"/>
          <w:szCs w:val="32"/>
        </w:rPr>
        <w:t>个纺织服装企业</w:t>
      </w:r>
      <w:r>
        <w:rPr>
          <w:rFonts w:hint="eastAsia" w:ascii="仿宋" w:hAnsi="仿宋" w:eastAsia="仿宋"/>
          <w:color w:val="000000" w:themeColor="text1"/>
          <w:sz w:val="32"/>
          <w:szCs w:val="32"/>
        </w:rPr>
        <w:t>资金，总计拨付</w:t>
      </w:r>
      <w:r>
        <w:rPr>
          <w:rFonts w:ascii="仿宋" w:hAnsi="仿宋" w:eastAsia="仿宋"/>
          <w:color w:val="000000" w:themeColor="text1"/>
          <w:sz w:val="32"/>
          <w:szCs w:val="32"/>
        </w:rPr>
        <w:t>90.9</w:t>
      </w:r>
      <w:r>
        <w:rPr>
          <w:rFonts w:hint="eastAsia" w:ascii="仿宋" w:hAnsi="仿宋" w:eastAsia="仿宋"/>
          <w:color w:val="000000" w:themeColor="text1"/>
          <w:sz w:val="32"/>
          <w:szCs w:val="32"/>
        </w:rPr>
        <w:t>万元</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纺织服装企业项目预算安排总额为90.9万元，其中财政资金90.9万元， 2018年实际收到预算资金90.9万元。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本项目实际支付资金90.9万元，预算执行率100</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。项目资金主要用于两个纺织服装企业的189人员工进行社保补贴以及员工的岗前支付培训费用90.9万元。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pStyle w:val="2"/>
        <w:keepNext w:val="0"/>
        <w:shd w:val="clear" w:color="auto" w:fill="FFFFFF"/>
        <w:spacing w:before="0" w:after="0" w:line="450" w:lineRule="atLeast"/>
        <w:ind w:firstLine="624" w:firstLineChars="200"/>
        <w:rPr>
          <w:rStyle w:val="19"/>
          <w:rFonts w:ascii="仿宋" w:hAnsi="仿宋" w:eastAsia="仿宋" w:cs="仿宋"/>
          <w:b w:val="0"/>
          <w:bCs w:val="0"/>
          <w:spacing w:val="-4"/>
        </w:rPr>
      </w:pPr>
      <w:r>
        <w:rPr>
          <w:rFonts w:hint="eastAsia" w:ascii="仿宋" w:hAnsi="仿宋" w:eastAsia="仿宋" w:cs="仿宋"/>
          <w:b w:val="0"/>
          <w:bCs w:val="0"/>
          <w:spacing w:val="-4"/>
        </w:rPr>
        <w:t>本项目支出符合塔什库尔干县人事局培训就业科纺织服装企业资金管理办法相关财务管理制度，会计人员集中核算工作管理制度、财务收支审批制度、财务稽核制度、财务牵制制度、会计主管岗位职责等制度规定，资金的拨付均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项目资金于</w:t>
      </w:r>
      <w:r>
        <w:rPr>
          <w:rFonts w:ascii="仿宋" w:hAnsi="仿宋" w:eastAsia="仿宋"/>
          <w:bCs/>
          <w:color w:val="000000" w:themeColor="text1"/>
          <w:sz w:val="32"/>
          <w:szCs w:val="32"/>
        </w:rPr>
        <w:t>9</w:t>
      </w:r>
      <w:r>
        <w:rPr>
          <w:rFonts w:hint="eastAsia" w:ascii="仿宋" w:hAnsi="仿宋" w:eastAsia="仿宋"/>
          <w:bCs/>
          <w:color w:val="000000" w:themeColor="text1"/>
          <w:sz w:val="32"/>
          <w:szCs w:val="32"/>
        </w:rPr>
        <w:t>月份左右到位后，立即开会确定实施方案及实施范围，并形成报告上报县财经领导小组批准使用。</w:t>
      </w:r>
    </w:p>
    <w:p>
      <w:pPr>
        <w:adjustRightInd w:val="0"/>
        <w:snapToGrid w:val="0"/>
        <w:spacing w:line="560" w:lineRule="exact"/>
        <w:ind w:firstLine="640" w:firstLineChars="200"/>
        <w:rPr>
          <w:color w:val="000000" w:themeColor="text1"/>
          <w:sz w:val="32"/>
          <w:szCs w:val="32"/>
        </w:rPr>
      </w:pPr>
      <w:r>
        <w:rPr>
          <w:rFonts w:hint="eastAsia" w:ascii="仿宋" w:hAnsi="仿宋" w:eastAsia="仿宋"/>
          <w:bCs/>
          <w:color w:val="000000" w:themeColor="text1"/>
          <w:sz w:val="32"/>
          <w:szCs w:val="32"/>
        </w:rPr>
        <w:t>为保证项目质量项目实施完成后，由本项目相关人员于2018年12月31日完成下乡核查任</w:t>
      </w:r>
      <w:r>
        <w:rPr>
          <w:rFonts w:hint="eastAsia"/>
          <w:color w:val="000000" w:themeColor="text1"/>
          <w:sz w:val="32"/>
          <w:szCs w:val="32"/>
        </w:rPr>
        <w:t>务。</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40" w:firstLineChars="200"/>
        <w:rPr>
          <w:color w:val="000000" w:themeColor="text1"/>
        </w:rPr>
      </w:pPr>
      <w:r>
        <w:rPr>
          <w:rFonts w:hint="eastAsia" w:ascii="仿宋" w:hAnsi="仿宋" w:eastAsia="仿宋"/>
          <w:bCs/>
          <w:color w:val="000000" w:themeColor="text1"/>
          <w:sz w:val="32"/>
          <w:szCs w:val="32"/>
        </w:rPr>
        <w:t>项目实施过程中，本单位就业科建立了《纺织服装企业资金申请审核业务手册》保障项目的顺利实施。项目的实施遵守相关法律法规和业务管理规定，项目资料齐全并及时归档。已建立《纺织服装企业资金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ascii="仿宋" w:hAnsi="仿宋" w:eastAsia="仿宋"/>
          <w:bCs/>
          <w:color w:val="000000" w:themeColor="text1"/>
          <w:spacing w:val="-4"/>
          <w:sz w:val="32"/>
          <w:szCs w:val="32"/>
        </w:rPr>
        <w:t>本项目共设置一级指标</w:t>
      </w:r>
      <w:r>
        <w:rPr>
          <w:rFonts w:hint="eastAsia" w:ascii="仿宋" w:hAnsi="仿宋" w:eastAsia="仿宋"/>
          <w:bCs/>
          <w:color w:val="000000" w:themeColor="text1"/>
          <w:spacing w:val="-4"/>
          <w:sz w:val="32"/>
          <w:szCs w:val="32"/>
        </w:rPr>
        <w:t>3</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二级指标</w:t>
      </w:r>
      <w:r>
        <w:rPr>
          <w:rFonts w:hint="eastAsia" w:ascii="仿宋" w:hAnsi="仿宋" w:eastAsia="仿宋"/>
          <w:bCs/>
          <w:color w:val="000000" w:themeColor="text1"/>
          <w:spacing w:val="-4"/>
          <w:sz w:val="32"/>
          <w:szCs w:val="32"/>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三级指标</w:t>
      </w:r>
      <w:r>
        <w:rPr>
          <w:rFonts w:hint="eastAsia" w:ascii="仿宋" w:hAnsi="仿宋" w:eastAsia="仿宋"/>
          <w:bCs/>
          <w:color w:val="000000" w:themeColor="text1"/>
          <w:spacing w:val="-4"/>
          <w:sz w:val="32"/>
          <w:szCs w:val="32"/>
        </w:rPr>
        <w:t>8</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，其中</w:t>
      </w:r>
      <w:r>
        <w:rPr>
          <w:rFonts w:ascii="仿宋" w:hAnsi="仿宋" w:eastAsia="仿宋"/>
          <w:bCs/>
          <w:color w:val="000000" w:themeColor="text1"/>
          <w:spacing w:val="-4"/>
          <w:sz w:val="32"/>
          <w:szCs w:val="32"/>
        </w:rPr>
        <w:t>已完成三级指标</w:t>
      </w:r>
      <w:r>
        <w:rPr>
          <w:rFonts w:hint="eastAsia" w:ascii="仿宋" w:hAnsi="仿宋" w:eastAsia="仿宋"/>
          <w:bCs/>
          <w:color w:val="000000" w:themeColor="text1"/>
          <w:spacing w:val="-4"/>
          <w:sz w:val="32"/>
          <w:szCs w:val="32"/>
        </w:rPr>
        <w:t>8</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，指标完成率为95%。</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经济性：无</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效率性：2018年按时将纺织服装企业的员工进行社保补贴以及员工的岗前培训手上，确保其资金无截留、挪用。</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效益性：劳动力就业，提高纺织服装企业的员工职业水平。</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加强相关培训，提高本县企业工作人员的工作能力水平。</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主要经验及做法</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随着纺织服装企业的员工进行社保补贴以及员工的岗前培训等补贴，需要确保纺织服装企业的员工发放一致，在保持一致的基础上，需要定期不定期下乡检查，查看资金是否发放到位。</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存在的问题</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该资金到位晚，影响后期工作经常顺利。</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left="624"/>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本次评价通过文件研读、实地调研、数据分析等方式，全面了解伤残抚恤项目资金的使用效率和效果，项目管理过程规范，完成了预期绩效目标等。</w:t>
      </w:r>
    </w:p>
    <w:p>
      <w:pPr>
        <w:adjustRightInd w:val="0"/>
        <w:snapToGrid w:val="0"/>
        <w:spacing w:line="560" w:lineRule="exact"/>
        <w:ind w:firstLine="468" w:firstLineChars="15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rPr>
          <w:rStyle w:val="19"/>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A0F08"/>
    <w:multiLevelType w:val="multilevel"/>
    <w:tmpl w:val="4E1A0F08"/>
    <w:lvl w:ilvl="0" w:tentative="0">
      <w:start w:val="1"/>
      <w:numFmt w:val="decimal"/>
      <w:lvlText w:val="%1、"/>
      <w:lvlJc w:val="left"/>
      <w:pPr>
        <w:ind w:left="1344" w:hanging="72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1">
    <w:nsid w:val="759BFE39"/>
    <w:multiLevelType w:val="singleLevel"/>
    <w:tmpl w:val="759BFE39"/>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45B92"/>
    <w:rsid w:val="0012208E"/>
    <w:rsid w:val="00135256"/>
    <w:rsid w:val="00172E6C"/>
    <w:rsid w:val="001A4E1F"/>
    <w:rsid w:val="001A57B9"/>
    <w:rsid w:val="001C3847"/>
    <w:rsid w:val="001F3031"/>
    <w:rsid w:val="00210A26"/>
    <w:rsid w:val="00265169"/>
    <w:rsid w:val="0028733C"/>
    <w:rsid w:val="002A2532"/>
    <w:rsid w:val="002A2D76"/>
    <w:rsid w:val="002A32F4"/>
    <w:rsid w:val="00365250"/>
    <w:rsid w:val="0036624C"/>
    <w:rsid w:val="00385849"/>
    <w:rsid w:val="00396DAB"/>
    <w:rsid w:val="003F1A98"/>
    <w:rsid w:val="00453B19"/>
    <w:rsid w:val="00492250"/>
    <w:rsid w:val="004B46E4"/>
    <w:rsid w:val="0050167F"/>
    <w:rsid w:val="00514506"/>
    <w:rsid w:val="005162F1"/>
    <w:rsid w:val="00516E80"/>
    <w:rsid w:val="00535153"/>
    <w:rsid w:val="00575CFE"/>
    <w:rsid w:val="00583AFC"/>
    <w:rsid w:val="00592D09"/>
    <w:rsid w:val="00611F89"/>
    <w:rsid w:val="00675D58"/>
    <w:rsid w:val="006E39D0"/>
    <w:rsid w:val="006F2E6D"/>
    <w:rsid w:val="00707446"/>
    <w:rsid w:val="007218B8"/>
    <w:rsid w:val="00755C6A"/>
    <w:rsid w:val="00785FDE"/>
    <w:rsid w:val="007A0351"/>
    <w:rsid w:val="007A14BC"/>
    <w:rsid w:val="007C1025"/>
    <w:rsid w:val="007E6845"/>
    <w:rsid w:val="007F5F8A"/>
    <w:rsid w:val="00826CA1"/>
    <w:rsid w:val="00835B7F"/>
    <w:rsid w:val="008517AD"/>
    <w:rsid w:val="00855E3A"/>
    <w:rsid w:val="00882985"/>
    <w:rsid w:val="008C6ED7"/>
    <w:rsid w:val="00922CB9"/>
    <w:rsid w:val="009350F7"/>
    <w:rsid w:val="009B526F"/>
    <w:rsid w:val="009C1AFD"/>
    <w:rsid w:val="009D4BFB"/>
    <w:rsid w:val="00A26421"/>
    <w:rsid w:val="00A4293B"/>
    <w:rsid w:val="00A73F28"/>
    <w:rsid w:val="00A83BD5"/>
    <w:rsid w:val="00A977DF"/>
    <w:rsid w:val="00AE6A23"/>
    <w:rsid w:val="00B0533C"/>
    <w:rsid w:val="00B06CA5"/>
    <w:rsid w:val="00B13FCF"/>
    <w:rsid w:val="00B41F61"/>
    <w:rsid w:val="00B55332"/>
    <w:rsid w:val="00B86E8C"/>
    <w:rsid w:val="00BE1A00"/>
    <w:rsid w:val="00C22CF0"/>
    <w:rsid w:val="00C56C72"/>
    <w:rsid w:val="00CA6457"/>
    <w:rsid w:val="00CC4442"/>
    <w:rsid w:val="00CC6E4D"/>
    <w:rsid w:val="00D17F2E"/>
    <w:rsid w:val="00D21CC7"/>
    <w:rsid w:val="00D46194"/>
    <w:rsid w:val="00DA2290"/>
    <w:rsid w:val="00DC4CBC"/>
    <w:rsid w:val="00E01293"/>
    <w:rsid w:val="00E027D1"/>
    <w:rsid w:val="00E769FE"/>
    <w:rsid w:val="00EA2CBE"/>
    <w:rsid w:val="00EA45EA"/>
    <w:rsid w:val="00EB462A"/>
    <w:rsid w:val="00EF3FFA"/>
    <w:rsid w:val="00F32FEE"/>
    <w:rsid w:val="00F53E69"/>
    <w:rsid w:val="0AB56CE2"/>
    <w:rsid w:val="0EB107EC"/>
    <w:rsid w:val="21405AFB"/>
    <w:rsid w:val="21454B50"/>
    <w:rsid w:val="275833BE"/>
    <w:rsid w:val="397F4FE8"/>
    <w:rsid w:val="4EFD6A38"/>
    <w:rsid w:val="589A12B8"/>
    <w:rsid w:val="5A7F0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0"/>
    <w:rPr>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qFormat/>
    <w:uiPriority w:val="0"/>
    <w:rPr>
      <w:rFonts w:hint="default" w:ascii="Times New Roman" w:hAnsi="Times New Roman" w:cs="Times New Roman"/>
      <w:color w:val="000000"/>
      <w:sz w:val="24"/>
      <w:szCs w:val="24"/>
      <w:u w:val="none"/>
    </w:rPr>
  </w:style>
  <w:style w:type="character" w:customStyle="1" w:styleId="51">
    <w:name w:val="font01"/>
    <w:basedOn w:val="18"/>
    <w:qFormat/>
    <w:uiPriority w:val="0"/>
    <w:rPr>
      <w:rFonts w:hint="eastAsia" w:ascii="宋体" w:hAnsi="宋体" w:eastAsia="宋体" w:cs="宋体"/>
      <w:color w:val="000000"/>
      <w:sz w:val="24"/>
      <w:szCs w:val="24"/>
      <w:u w:val="none"/>
    </w:rPr>
  </w:style>
  <w:style w:type="character" w:customStyle="1" w:styleId="52">
    <w:name w:val="font11"/>
    <w:basedOn w:val="18"/>
    <w:qFormat/>
    <w:uiPriority w:val="0"/>
    <w:rPr>
      <w:rFonts w:hint="eastAsia" w:ascii="宋体" w:hAnsi="宋体" w:eastAsia="宋体" w:cs="宋体"/>
      <w:color w:val="000000"/>
      <w:sz w:val="16"/>
      <w:szCs w:val="16"/>
      <w:u w:val="none"/>
    </w:rPr>
  </w:style>
  <w:style w:type="paragraph" w:customStyle="1" w:styleId="53">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5DF26C-5248-4519-BABC-97949C85F014}">
  <ds:schemaRefs/>
</ds:datastoreItem>
</file>

<file path=docProps/app.xml><?xml version="1.0" encoding="utf-8"?>
<Properties xmlns="http://schemas.openxmlformats.org/officeDocument/2006/extended-properties" xmlns:vt="http://schemas.openxmlformats.org/officeDocument/2006/docPropsVTypes">
  <Template>Normal</Template>
  <Pages>7</Pages>
  <Words>407</Words>
  <Characters>2322</Characters>
  <Lines>19</Lines>
  <Paragraphs>5</Paragraphs>
  <TotalTime>0</TotalTime>
  <ScaleCrop>false</ScaleCrop>
  <LinksUpToDate>false</LinksUpToDate>
  <CharactersWithSpaces>2724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2018-12-17T10:15:00Z</cp:lastPrinted>
  <dcterms:modified xsi:type="dcterms:W3CDTF">2019-09-22T09:48:58Z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