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2018年度新疆喀什地区塔什库尔干县人民医院部门决算公开说明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w:t>
      </w:r>
      <w:r>
        <w:rPr>
          <w:rFonts w:hint="eastAsia" w:ascii="黑体" w:hAnsi="黑体" w:eastAsia="黑体"/>
          <w:bCs/>
          <w:kern w:val="0"/>
          <w:sz w:val="32"/>
          <w:szCs w:val="32"/>
          <w:lang w:val="en-US" w:eastAsia="zh-CN"/>
        </w:rPr>
        <w:t xml:space="preserve"> </w:t>
      </w:r>
      <w:r>
        <w:rPr>
          <w:rFonts w:hint="eastAsia" w:ascii="黑体" w:hAnsi="黑体" w:eastAsia="黑体"/>
          <w:bCs/>
          <w:kern w:val="0"/>
          <w:sz w:val="32"/>
          <w:szCs w:val="32"/>
        </w:rPr>
        <w:t>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hint="eastAsia" w:ascii="黑体" w:hAnsi="黑体" w:eastAsia="仿宋_GB2312" w:cs="宋体"/>
          <w:bCs/>
          <w:kern w:val="0"/>
          <w:sz w:val="32"/>
          <w:szCs w:val="32"/>
          <w:lang w:eastAsia="zh-CN"/>
        </w:rPr>
      </w:pPr>
      <w:r>
        <w:rPr>
          <w:rFonts w:hint="eastAsia" w:ascii="仿宋_GB2312" w:eastAsia="仿宋_GB2312"/>
          <w:sz w:val="32"/>
          <w:szCs w:val="32"/>
        </w:rPr>
        <w:t>1、为人民群众提供科学的医疗、预防、保健、计划生育、康复等医疗卫生服务。</w:t>
      </w:r>
      <w:r>
        <w:rPr>
          <w:rFonts w:hint="eastAsia" w:ascii="仿宋_GB2312" w:eastAsia="仿宋_GB2312"/>
          <w:sz w:val="32"/>
          <w:szCs w:val="32"/>
        </w:rPr>
        <w:br w:type="textWrapping"/>
      </w:r>
      <w:r>
        <w:rPr>
          <w:rFonts w:hint="eastAsia" w:ascii="仿宋_GB2312" w:eastAsia="仿宋_GB2312"/>
          <w:sz w:val="32"/>
          <w:szCs w:val="32"/>
        </w:rPr>
        <w:t>2、确保全县人民医疗健康需求，建立与地方经济发展相适应的医疗环境。</w:t>
      </w:r>
      <w:r>
        <w:rPr>
          <w:rFonts w:hint="eastAsia" w:ascii="仿宋_GB2312" w:eastAsia="仿宋_GB2312"/>
          <w:sz w:val="32"/>
          <w:szCs w:val="32"/>
        </w:rPr>
        <w:br w:type="textWrapping"/>
      </w:r>
      <w:r>
        <w:rPr>
          <w:rFonts w:hint="eastAsia" w:ascii="仿宋_GB2312" w:eastAsia="仿宋_GB2312"/>
          <w:sz w:val="32"/>
          <w:szCs w:val="32"/>
        </w:rPr>
        <w:t>3、做好城镇职工基本医疗保险、城镇居民医疗保险等定点医疗机构的各项工作。</w:t>
      </w:r>
      <w:r>
        <w:rPr>
          <w:rFonts w:hint="eastAsia" w:ascii="仿宋_GB2312" w:eastAsia="仿宋_GB2312"/>
          <w:sz w:val="32"/>
          <w:szCs w:val="32"/>
        </w:rPr>
        <w:br w:type="textWrapping"/>
      </w:r>
      <w:r>
        <w:rPr>
          <w:rFonts w:hint="eastAsia" w:ascii="仿宋_GB2312" w:eastAsia="仿宋_GB2312"/>
          <w:sz w:val="32"/>
          <w:szCs w:val="32"/>
        </w:rPr>
        <w:t>4、承担意外灾害事故、疫情等突发公共卫生事件的医疗急救及社区预防、保健和康复医疗服务工作，开展各种医疗保健卫生知识宣传普及。</w:t>
      </w:r>
      <w:r>
        <w:rPr>
          <w:rFonts w:hint="eastAsia" w:ascii="仿宋_GB2312" w:eastAsia="仿宋_GB2312"/>
          <w:sz w:val="32"/>
          <w:szCs w:val="32"/>
        </w:rPr>
        <w:br w:type="textWrapping"/>
      </w:r>
      <w:r>
        <w:rPr>
          <w:rFonts w:hint="eastAsia" w:ascii="仿宋_GB2312" w:eastAsia="仿宋_GB2312"/>
          <w:sz w:val="32"/>
          <w:szCs w:val="32"/>
        </w:rPr>
        <w:t>5、承担县委政府及县卫生局交办的其他卫生工作。</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新疆喀什地区塔什库尔干县人民医院</w:t>
      </w:r>
      <w:r>
        <w:rPr>
          <w:rFonts w:hint="eastAsia" w:ascii="仿宋_GB2312" w:eastAsia="仿宋_GB2312"/>
          <w:sz w:val="32"/>
          <w:szCs w:val="32"/>
        </w:rPr>
        <w:t>部门决算包括：</w:t>
      </w:r>
      <w:r>
        <w:rPr>
          <w:rFonts w:ascii="仿宋_GB2312" w:eastAsia="仿宋_GB2312"/>
          <w:sz w:val="32"/>
          <w:szCs w:val="32"/>
        </w:rPr>
        <w:t>新疆喀什地区塔什库尔干县人民医院</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新疆喀什地区塔什库尔干县人民医院</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10"/>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6000"/>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612"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600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1852" w:type="dxa"/>
            <w:vAlign w:val="center"/>
          </w:tcPr>
          <w:p>
            <w:pPr>
              <w:spacing w:line="500" w:lineRule="exact"/>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12"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6000" w:type="dxa"/>
          </w:tcPr>
          <w:p>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新疆喀什地区塔什库尔干县人民医院</w:t>
            </w:r>
          </w:p>
        </w:tc>
        <w:tc>
          <w:tcPr>
            <w:tcW w:w="1852"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3,533</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，与上年相比，减少209.21万元，下降5.59%，减少的主要原因是：</w:t>
      </w:r>
      <w:r>
        <w:rPr>
          <w:rFonts w:hint="eastAsia" w:ascii="仿宋_GB2312" w:eastAsia="仿宋_GB2312"/>
          <w:color w:val="000000" w:themeColor="text1"/>
          <w:sz w:val="32"/>
          <w:szCs w:val="32"/>
        </w:rPr>
        <w:t>调整了医疗服务价格，取消了药品加成实行零差价销售，病人转院幅度增长；</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4,793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，与上年相比，增加2,310.79万元，增长93.09%，增加的主要原因是：</w:t>
      </w:r>
      <w:r>
        <w:rPr>
          <w:rFonts w:hint="eastAsia" w:ascii="仿宋_GB2312" w:eastAsia="仿宋_GB2312"/>
          <w:color w:val="000000" w:themeColor="text1"/>
          <w:sz w:val="32"/>
          <w:szCs w:val="32"/>
        </w:rPr>
        <w:t>本年度政策性调整基本工资，补发高海拔工龄工资和艰苦边远津贴，职工人数增加，药品零差价支出，购买了一批医疗设备；</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，与上年相比，减少1,260万元，下降100%，减少的主要原因是：</w:t>
      </w:r>
      <w:r>
        <w:rPr>
          <w:rFonts w:hint="eastAsia" w:ascii="仿宋_GB2312" w:eastAsia="仿宋_GB2312"/>
          <w:sz w:val="32"/>
          <w:szCs w:val="32"/>
          <w:lang w:val="en-US" w:eastAsia="zh-CN"/>
        </w:rPr>
        <w:t>2017年结转结余资金在2018年形成支出，2018年无结转结余资金</w:t>
      </w:r>
      <w:r>
        <w:rPr>
          <w:rFonts w:ascii="仿宋_GB2312" w:eastAsia="仿宋_GB2312"/>
          <w:color w:val="000000" w:themeColor="text1"/>
          <w:sz w:val="32"/>
          <w:szCs w:val="32"/>
        </w:rPr>
        <w:t>。</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3,533</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1,655.46</w:t>
      </w:r>
      <w:r>
        <w:rPr>
          <w:rFonts w:hint="eastAsia" w:ascii="仿宋_GB2312" w:eastAsia="仿宋_GB2312"/>
          <w:color w:val="000000" w:themeColor="text1"/>
          <w:sz w:val="32"/>
          <w:szCs w:val="32"/>
        </w:rPr>
        <w:t>万元，占</w:t>
      </w:r>
      <w:r>
        <w:rPr>
          <w:rFonts w:hint="eastAsia" w:ascii="仿宋_GB2312" w:eastAsia="仿宋_GB2312"/>
          <w:sz w:val="32"/>
          <w:szCs w:val="32"/>
        </w:rPr>
        <w:t>46.86%</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1,877.54</w:t>
      </w:r>
      <w:r>
        <w:rPr>
          <w:rFonts w:hint="eastAsia" w:ascii="仿宋_GB2312" w:eastAsia="仿宋_GB2312"/>
          <w:color w:val="000000" w:themeColor="text1"/>
          <w:sz w:val="32"/>
          <w:szCs w:val="32"/>
        </w:rPr>
        <w:t>万元，占</w:t>
      </w:r>
      <w:r>
        <w:rPr>
          <w:rFonts w:hint="eastAsia" w:ascii="仿宋_GB2312" w:eastAsia="仿宋_GB2312"/>
          <w:sz w:val="32"/>
          <w:szCs w:val="32"/>
        </w:rPr>
        <w:t>53.14%</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况：本年收入年初预算数1,528.36万元</w:t>
      </w:r>
      <w:r>
        <w:rPr>
          <w:rFonts w:hint="eastAsia" w:ascii="仿宋_GB2312" w:eastAsia="仿宋_GB2312"/>
          <w:sz w:val="32"/>
          <w:szCs w:val="32"/>
        </w:rPr>
        <w:t>，决算数3,533万元</w:t>
      </w:r>
      <w:r>
        <w:rPr>
          <w:rFonts w:ascii="仿宋_GB2312" w:eastAsia="仿宋_GB2312"/>
          <w:sz w:val="32"/>
          <w:szCs w:val="32"/>
        </w:rPr>
        <w:t>，预决算差异率131.16%，差异主要原因是年初预算数无事业收入，决算数含2018年事业收入和工资补助收入。</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4,793</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3,381.1</w:t>
      </w:r>
      <w:r>
        <w:rPr>
          <w:rFonts w:hint="eastAsia" w:ascii="仿宋_GB2312" w:eastAsia="仿宋_GB2312"/>
          <w:color w:val="000000" w:themeColor="text1"/>
          <w:sz w:val="32"/>
          <w:szCs w:val="32"/>
        </w:rPr>
        <w:t>万元，占</w:t>
      </w:r>
      <w:r>
        <w:rPr>
          <w:rFonts w:hint="eastAsia" w:ascii="仿宋_GB2312" w:eastAsia="仿宋_GB2312"/>
          <w:sz w:val="32"/>
          <w:szCs w:val="32"/>
        </w:rPr>
        <w:t>70.54%</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1,411.9</w:t>
      </w:r>
      <w:r>
        <w:rPr>
          <w:rFonts w:hint="eastAsia" w:ascii="仿宋_GB2312" w:eastAsia="仿宋_GB2312"/>
          <w:color w:val="000000" w:themeColor="text1"/>
          <w:sz w:val="32"/>
          <w:szCs w:val="32"/>
        </w:rPr>
        <w:t>万元，占</w:t>
      </w:r>
      <w:r>
        <w:rPr>
          <w:rFonts w:hint="eastAsia" w:ascii="仿宋_GB2312" w:eastAsia="仿宋_GB2312"/>
          <w:sz w:val="32"/>
          <w:szCs w:val="32"/>
        </w:rPr>
        <w:t>29.46%</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sz w:val="32"/>
          <w:szCs w:val="32"/>
          <w:lang w:eastAsia="zh-CN"/>
        </w:rPr>
        <w:t>。</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与年初预算数相比情况：本年支出年初预算数1,528.36万元，</w:t>
      </w:r>
      <w:r>
        <w:rPr>
          <w:rFonts w:hint="eastAsia" w:ascii="仿宋_GB2312" w:eastAsia="仿宋_GB2312"/>
          <w:sz w:val="32"/>
          <w:szCs w:val="32"/>
        </w:rPr>
        <w:t>决算数4,793万元</w:t>
      </w:r>
      <w:r>
        <w:rPr>
          <w:rFonts w:ascii="仿宋_GB2312" w:eastAsia="仿宋_GB2312"/>
          <w:sz w:val="32"/>
          <w:szCs w:val="32"/>
        </w:rPr>
        <w:t>，预决算差异率213.6%，差异主要原因是年初预算数无事业支出，决算数含2018年事业支出和工资补助支出。</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7"/>
      <w:bookmarkStart w:id="24" w:name="OLE_LINK58"/>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1,655.46</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，与上年相比，减少1,029.91万元，下降38.35%，减少的主要原因是：2017年等级医院评审，为租入的房屋购买了一批家具电器，本年度无此项支出。</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2,915.46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，与上年相比，增加1,490.09万元，增长104.54%，增加的主要原因是：</w:t>
      </w:r>
      <w:r>
        <w:rPr>
          <w:rFonts w:ascii="仿宋_GB2312" w:eastAsia="仿宋_GB2312"/>
          <w:sz w:val="32"/>
          <w:szCs w:val="32"/>
        </w:rPr>
        <w:t>建设补助资金用于院内医疗建筑维修加固和新建工程，补发了高海拔工龄工资和艰苦边远津贴，购买了一批医疗设备。</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1,503.56</w:t>
      </w:r>
      <w:r>
        <w:rPr>
          <w:rFonts w:hint="eastAsia" w:ascii="仿宋_GB2312" w:eastAsia="仿宋_GB2312"/>
          <w:color w:val="000000" w:themeColor="text1"/>
          <w:sz w:val="32"/>
          <w:szCs w:val="32"/>
        </w:rPr>
        <w:t>万元，项目支出</w:t>
      </w:r>
      <w:r>
        <w:rPr>
          <w:rFonts w:hint="eastAsia" w:ascii="仿宋_GB2312" w:eastAsia="仿宋_GB2312"/>
          <w:sz w:val="32"/>
          <w:szCs w:val="32"/>
        </w:rPr>
        <w:t>1,411.9</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，与上年相比，减少1,260万元，下降100%，减少的主要原因是：</w:t>
      </w:r>
      <w:r>
        <w:rPr>
          <w:rFonts w:hint="eastAsia" w:ascii="仿宋_GB2312" w:eastAsia="仿宋_GB2312"/>
          <w:sz w:val="32"/>
          <w:szCs w:val="32"/>
          <w:lang w:val="en-US" w:eastAsia="zh-CN"/>
        </w:rPr>
        <w:t>上年结余资金在本年形成支出，本年结余资金为零</w:t>
      </w:r>
      <w:bookmarkStart w:id="83" w:name="_GoBack"/>
      <w:bookmarkEnd w:id="83"/>
      <w:r>
        <w:rPr>
          <w:rFonts w:hint="eastAsia" w:ascii="仿宋_GB2312" w:eastAsia="仿宋_GB2312"/>
          <w:sz w:val="32"/>
          <w:szCs w:val="32"/>
        </w:rPr>
        <w:t>。</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1,528.36</w:t>
      </w:r>
      <w:r>
        <w:rPr>
          <w:rFonts w:hint="eastAsia" w:ascii="仿宋_GB2312" w:eastAsia="仿宋_GB2312"/>
          <w:color w:val="000000" w:themeColor="text1"/>
          <w:sz w:val="32"/>
          <w:szCs w:val="32"/>
        </w:rPr>
        <w:t>万元，决算数</w:t>
      </w:r>
      <w:r>
        <w:rPr>
          <w:rFonts w:hint="eastAsia" w:ascii="仿宋_GB2312" w:eastAsia="仿宋_GB2312"/>
          <w:sz w:val="32"/>
          <w:szCs w:val="32"/>
        </w:rPr>
        <w:t>1,655.46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，预决算差异率8.32%，差异主要原因是本年度政策性调整基本工资、补发高海拔工龄工资和艰苦边远津贴。</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1,528.36</w:t>
      </w:r>
      <w:r>
        <w:rPr>
          <w:rFonts w:hint="eastAsia" w:ascii="仿宋_GB2312" w:eastAsia="仿宋_GB2312"/>
          <w:color w:val="000000" w:themeColor="text1"/>
          <w:sz w:val="32"/>
          <w:szCs w:val="32"/>
        </w:rPr>
        <w:t>万元，决算数</w:t>
      </w:r>
      <w:r>
        <w:rPr>
          <w:rFonts w:hint="eastAsia" w:ascii="仿宋_GB2312" w:eastAsia="仿宋_GB2312"/>
          <w:sz w:val="32"/>
          <w:szCs w:val="32"/>
        </w:rPr>
        <w:t>2,915.46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，预决算差异率90.76%，差异主要原因是本年度政策性调整基本工资，补发高海拔工龄工资和艰苦边远津贴，职工人数增加，药品零差价支出，购买了一批医疗设备。</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1,655.46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，与上年相比，减少1,029.91万元，下降38.35%，减少的主要原因是：2017年等级医院评审，为租入的房屋购买了一批家具电器，2018年度无此项支出。</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2,915.46</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1,490.09万元，增长104.54%，增加的主要原因是：用于药品零差价补助、购买医疗设备、修缮医疗建筑、新建高原病防治中心以及人民医院血库建设工程项目支出，以及本年度政策性调整基本工资。</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医疗卫生与计划生育支出1,478.89万元,社会保障和就业支出1,436.57万元。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工资福利支出1,380.37万元,商品和服务支出183.36万元,对个人和家庭的补助91.73万元,资本性支出1,260万元。</w:t>
      </w:r>
    </w:p>
    <w:p>
      <w:pPr>
        <w:spacing w:line="540" w:lineRule="exact"/>
        <w:ind w:firstLine="640" w:firstLineChars="200"/>
        <w:rPr>
          <w:rFonts w:ascii="仿宋_GB2312" w:eastAsia="仿宋_GB2312"/>
          <w:color w:val="000000" w:themeColor="text1"/>
          <w:sz w:val="32"/>
          <w:szCs w:val="32"/>
        </w:rPr>
      </w:pPr>
      <w:bookmarkStart w:id="41" w:name="OLE_LINK66"/>
      <w:bookmarkStart w:id="42" w:name="OLE_LINK67"/>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1,528.36</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1,655.46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，预决算差异率8.32%，差异主要原因是本年度政策性调整基本工资、补发高海拔工龄工资和艰苦边远津贴。</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1,528.36</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2,915.46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，预决算差异率90.76%，差异主要原因是本年度政策性调整基本工资，补发高海拔工龄工资和艰苦边远津贴，职工人数增加，药品零差价支出，购买了一批医疗设备。</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，与上年相比，无变化。</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，与上年相比，无变化。</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5"/>
      <w:bookmarkStart w:id="53" w:name="OLE_LINK26"/>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。与上年相比，减少1,260万元，下降100%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8"/>
      <w:bookmarkStart w:id="55" w:name="OLE_LINK27"/>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。与上年相比，减少1,260万元，下降100%。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sz w:val="32"/>
          <w:szCs w:val="32"/>
        </w:rPr>
        <w:t>2018年度一般公共预算“三公”经费支出决算</w:t>
      </w:r>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hint="eastAsia" w:ascii="仿宋_GB2312" w:eastAsia="仿宋_GB2312"/>
          <w:sz w:val="32"/>
          <w:szCs w:val="32"/>
          <w:highlight w:val="none"/>
          <w:lang w:val="en-US" w:eastAsia="zh-CN"/>
        </w:rPr>
        <w:t>本单位无</w:t>
      </w:r>
      <w:r>
        <w:rPr>
          <w:rFonts w:hint="eastAsia" w:ascii="仿宋_GB2312" w:eastAsia="仿宋_GB2312"/>
          <w:color w:val="000000"/>
          <w:sz w:val="32"/>
          <w:szCs w:val="32"/>
        </w:rPr>
        <w:t>“三公”经费支出</w:t>
      </w:r>
      <w:r>
        <w:rPr>
          <w:rFonts w:hint="eastAsia" w:ascii="仿宋_GB2312" w:eastAsia="仿宋_GB2312"/>
          <w:sz w:val="32"/>
          <w:szCs w:val="32"/>
        </w:rPr>
        <w:t>。</w:t>
      </w:r>
      <w:r>
        <w:rPr>
          <w:rFonts w:hint="eastAsia" w:ascii="仿宋_GB2312" w:eastAsia="仿宋_GB2312"/>
          <w:color w:val="000000"/>
          <w:sz w:val="32"/>
          <w:szCs w:val="32"/>
        </w:rPr>
        <w:t>其中，因公出国（境）费支出</w:t>
      </w:r>
      <w:r>
        <w:rPr>
          <w:rFonts w:hint="eastAsia" w:ascii="仿宋_GB2312" w:eastAsia="仿宋_GB2312"/>
          <w:sz w:val="32"/>
          <w:szCs w:val="32"/>
        </w:rPr>
        <w:t>0</w:t>
      </w:r>
      <w:r>
        <w:rPr>
          <w:rFonts w:hint="eastAsia" w:ascii="仿宋_GB2312" w:eastAsia="仿宋_GB2312"/>
          <w:color w:val="000000"/>
          <w:sz w:val="32"/>
          <w:szCs w:val="32"/>
        </w:rPr>
        <w:t>万元，占</w:t>
      </w:r>
      <w:r>
        <w:rPr>
          <w:rFonts w:hint="eastAsia" w:ascii="仿宋_GB2312" w:eastAsia="仿宋_GB2312"/>
          <w:sz w:val="32"/>
          <w:szCs w:val="32"/>
        </w:rPr>
        <w:t>0%，与上年相比</w:t>
      </w:r>
      <w:r>
        <w:rPr>
          <w:rFonts w:hint="eastAsia" w:ascii="仿宋_GB2312" w:eastAsia="仿宋_GB2312"/>
          <w:sz w:val="32"/>
          <w:szCs w:val="32"/>
          <w:lang w:val="en-US"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ascii="仿宋_GB2312" w:eastAsia="仿宋_GB2312"/>
          <w:color w:val="000000"/>
          <w:sz w:val="32"/>
          <w:szCs w:val="32"/>
        </w:rPr>
        <w:t>本单位无因公出国（境）费支出</w:t>
      </w:r>
      <w:r>
        <w:rPr>
          <w:rFonts w:hint="eastAsia" w:ascii="仿宋_GB2312" w:eastAsia="仿宋_GB2312"/>
          <w:sz w:val="32"/>
          <w:szCs w:val="32"/>
        </w:rPr>
        <w:t>；</w:t>
      </w:r>
      <w:r>
        <w:rPr>
          <w:rFonts w:hint="eastAsia" w:ascii="仿宋_GB2312" w:eastAsia="仿宋_GB2312"/>
          <w:color w:val="000000"/>
          <w:sz w:val="32"/>
          <w:szCs w:val="32"/>
        </w:rPr>
        <w:t>公务用车购置及运行维护费支出</w:t>
      </w:r>
      <w:r>
        <w:rPr>
          <w:rFonts w:hint="eastAsia" w:ascii="仿宋_GB2312" w:eastAsia="仿宋_GB2312"/>
          <w:sz w:val="32"/>
          <w:szCs w:val="32"/>
        </w:rPr>
        <w:t>0</w:t>
      </w:r>
      <w:r>
        <w:rPr>
          <w:rFonts w:hint="eastAsia" w:ascii="仿宋_GB2312" w:eastAsia="仿宋_GB2312"/>
          <w:color w:val="000000"/>
          <w:sz w:val="32"/>
          <w:szCs w:val="32"/>
        </w:rPr>
        <w:t>万元，占</w:t>
      </w:r>
      <w:r>
        <w:rPr>
          <w:rFonts w:hint="eastAsia" w:ascii="仿宋_GB2312" w:eastAsia="仿宋_GB2312"/>
          <w:sz w:val="32"/>
          <w:szCs w:val="32"/>
        </w:rPr>
        <w:t>0%，与上年相比</w:t>
      </w:r>
      <w:r>
        <w:rPr>
          <w:rFonts w:hint="eastAsia" w:ascii="仿宋_GB2312" w:eastAsia="仿宋_GB2312"/>
          <w:sz w:val="32"/>
          <w:szCs w:val="32"/>
          <w:lang w:val="en-US"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的主要原因是：本单位无公务用车购置及维护</w:t>
      </w:r>
      <w:r>
        <w:rPr>
          <w:rFonts w:hint="eastAsia" w:ascii="仿宋_GB2312" w:eastAsia="仿宋_GB2312"/>
          <w:color w:val="000000"/>
          <w:sz w:val="32"/>
          <w:szCs w:val="32"/>
        </w:rPr>
        <w:t>费</w:t>
      </w:r>
      <w:r>
        <w:rPr>
          <w:rFonts w:hint="eastAsia" w:ascii="仿宋_GB2312" w:eastAsia="仿宋_GB2312"/>
          <w:sz w:val="32"/>
          <w:szCs w:val="32"/>
        </w:rPr>
        <w:t>支出；</w:t>
      </w:r>
      <w:r>
        <w:rPr>
          <w:rFonts w:hint="eastAsia" w:ascii="仿宋_GB2312" w:eastAsia="仿宋_GB2312"/>
          <w:color w:val="000000"/>
          <w:sz w:val="32"/>
          <w:szCs w:val="32"/>
        </w:rPr>
        <w:t>公务接待费支出</w:t>
      </w:r>
      <w:r>
        <w:rPr>
          <w:rFonts w:hint="eastAsia" w:ascii="仿宋_GB2312" w:eastAsia="仿宋_GB2312"/>
          <w:sz w:val="32"/>
          <w:szCs w:val="32"/>
        </w:rPr>
        <w:t>0</w:t>
      </w:r>
      <w:r>
        <w:rPr>
          <w:rFonts w:hint="eastAsia" w:ascii="仿宋_GB2312" w:eastAsia="仿宋_GB2312"/>
          <w:color w:val="000000"/>
          <w:sz w:val="32"/>
          <w:szCs w:val="32"/>
        </w:rPr>
        <w:t>万元，占</w:t>
      </w:r>
      <w:r>
        <w:rPr>
          <w:rFonts w:hint="eastAsia" w:ascii="仿宋_GB2312" w:eastAsia="仿宋_GB2312"/>
          <w:sz w:val="32"/>
          <w:szCs w:val="32"/>
        </w:rPr>
        <w:t>0%，与上年相比</w:t>
      </w: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的主要原因是：本单位无公务接待费支出。</w:t>
      </w:r>
      <w:r>
        <w:rPr>
          <w:rFonts w:hint="eastAsia" w:ascii="仿宋_GB2312" w:eastAsia="仿宋_GB2312"/>
          <w:color w:val="000000"/>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56" w:name="OLE_LINK79"/>
      <w:bookmarkStart w:id="57" w:name="OLE_LINK80"/>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新疆喀什地区塔什库尔干县人民医院</w:t>
      </w:r>
      <w:r>
        <w:rPr>
          <w:rFonts w:hint="eastAsia" w:ascii="仿宋_GB2312" w:eastAsia="仿宋_GB2312"/>
          <w:color w:val="000000" w:themeColor="text1"/>
          <w:sz w:val="32"/>
          <w:szCs w:val="32"/>
        </w:rPr>
        <w:t>单位</w:t>
      </w:r>
      <w:bookmarkStart w:id="58" w:name="OLE_LINK33"/>
      <w:r>
        <w:rPr>
          <w:rFonts w:hint="eastAsia" w:ascii="仿宋_GB2312" w:eastAsia="仿宋_GB2312"/>
          <w:color w:val="000000" w:themeColor="text1"/>
          <w:sz w:val="32"/>
          <w:szCs w:val="32"/>
        </w:rPr>
        <w:t>全年</w:t>
      </w:r>
      <w:bookmarkStart w:id="59" w:name="OLE_LINK35"/>
      <w:bookmarkStart w:id="60" w:name="OLE_LINK34"/>
      <w:bookmarkStart w:id="61" w:name="OLE_LINK36"/>
      <w:r>
        <w:rPr>
          <w:rFonts w:hint="eastAsia" w:ascii="仿宋_GB2312" w:eastAsia="仿宋_GB2312"/>
          <w:color w:val="000000" w:themeColor="text1"/>
          <w:sz w:val="32"/>
          <w:szCs w:val="32"/>
        </w:rPr>
        <w:t>使用一般公共预算财政拨款安排的出国（境）团组</w:t>
      </w:r>
      <w:bookmarkEnd w:id="58"/>
      <w:bookmarkEnd w:id="59"/>
      <w:bookmarkEnd w:id="60"/>
      <w:r>
        <w:rPr>
          <w:rFonts w:hint="eastAsia" w:ascii="仿宋_GB2312" w:eastAsia="仿宋_GB2312"/>
          <w:sz w:val="32"/>
          <w:szCs w:val="32"/>
        </w:rPr>
        <w:t>0</w:t>
      </w:r>
      <w:r>
        <w:rPr>
          <w:rFonts w:hint="eastAsia" w:ascii="仿宋_GB2312" w:eastAsia="仿宋_GB2312"/>
          <w:color w:val="000000" w:themeColor="text1"/>
          <w:sz w:val="32"/>
          <w:szCs w:val="32"/>
        </w:rPr>
        <w:t>个</w:t>
      </w:r>
      <w:bookmarkEnd w:id="61"/>
      <w:r>
        <w:rPr>
          <w:rFonts w:hint="eastAsia" w:ascii="仿宋_GB2312" w:eastAsia="仿宋_GB2312"/>
          <w:color w:val="000000" w:themeColor="text1"/>
          <w:sz w:val="32"/>
          <w:szCs w:val="32"/>
        </w:rPr>
        <w:t>，</w:t>
      </w:r>
      <w:bookmarkStart w:id="62"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62"/>
      <w:r>
        <w:rPr>
          <w:rFonts w:hint="eastAsia" w:ascii="仿宋_GB2312" w:eastAsia="仿宋_GB2312"/>
          <w:color w:val="000000" w:themeColor="text1"/>
          <w:sz w:val="32"/>
          <w:szCs w:val="32"/>
        </w:rPr>
        <w:t>。</w:t>
      </w:r>
      <w:bookmarkStart w:id="63" w:name="OLE_LINK38"/>
      <w:r>
        <w:rPr>
          <w:rFonts w:hint="eastAsia" w:ascii="仿宋_GB2312" w:eastAsia="仿宋_GB2312"/>
          <w:color w:val="000000" w:themeColor="text1"/>
          <w:sz w:val="32"/>
          <w:szCs w:val="32"/>
        </w:rPr>
        <w:t>开支内容包括：</w:t>
      </w:r>
      <w:r>
        <w:rPr>
          <w:rFonts w:ascii="仿宋_GB2312" w:eastAsia="仿宋_GB2312"/>
          <w:color w:val="000000"/>
          <w:sz w:val="32"/>
          <w:szCs w:val="32"/>
        </w:rPr>
        <w:t>本单位无因公出国（境）费支出</w:t>
      </w:r>
      <w:r>
        <w:rPr>
          <w:rFonts w:ascii="仿宋_GB2312" w:eastAsia="仿宋_GB2312"/>
          <w:color w:val="000000" w:themeColor="text1"/>
          <w:sz w:val="32"/>
          <w:szCs w:val="32"/>
        </w:rPr>
        <w:t>。</w:t>
      </w:r>
      <w:bookmarkEnd w:id="56"/>
      <w:bookmarkEnd w:id="57"/>
      <w:bookmarkEnd w:id="63"/>
    </w:p>
    <w:p>
      <w:pPr>
        <w:spacing w:line="540" w:lineRule="exact"/>
        <w:ind w:firstLine="640" w:firstLineChars="200"/>
        <w:rPr>
          <w:rFonts w:ascii="仿宋_GB2312" w:eastAsia="仿宋_GB2312"/>
          <w:color w:val="000000" w:themeColor="text1"/>
          <w:sz w:val="32"/>
          <w:szCs w:val="32"/>
        </w:rPr>
      </w:pPr>
      <w:bookmarkStart w:id="64"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0</w:t>
      </w:r>
      <w:r>
        <w:rPr>
          <w:rFonts w:hint="eastAsia" w:ascii="仿宋_GB2312" w:eastAsia="仿宋_GB2312"/>
          <w:color w:val="000000" w:themeColor="text1"/>
          <w:sz w:val="32"/>
          <w:szCs w:val="32"/>
        </w:rPr>
        <w:t>万元,其中，</w:t>
      </w:r>
      <w:bookmarkStart w:id="65"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65"/>
      <w:r>
        <w:rPr>
          <w:rFonts w:hint="eastAsia" w:ascii="仿宋_GB2312" w:eastAsia="仿宋_GB2312"/>
          <w:color w:val="000000" w:themeColor="text1"/>
          <w:sz w:val="32"/>
          <w:szCs w:val="32"/>
        </w:rPr>
        <w:t>，</w:t>
      </w:r>
      <w:bookmarkStart w:id="66" w:name="OLE_LINK41"/>
      <w:bookmarkStart w:id="67"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66"/>
      <w:bookmarkEnd w:id="67"/>
      <w:r>
        <w:rPr>
          <w:rFonts w:hint="eastAsia" w:ascii="仿宋_GB2312" w:eastAsia="仿宋_GB2312"/>
          <w:color w:val="000000" w:themeColor="text1"/>
          <w:sz w:val="32"/>
          <w:szCs w:val="32"/>
        </w:rPr>
        <w:t>。主要用于</w:t>
      </w:r>
      <w:r>
        <w:rPr>
          <w:rFonts w:hint="eastAsia" w:ascii="仿宋_GB2312" w:eastAsia="仿宋_GB2312"/>
          <w:sz w:val="32"/>
          <w:szCs w:val="32"/>
        </w:rPr>
        <w:t>本单位无公务用车购置及维护</w:t>
      </w:r>
      <w:r>
        <w:rPr>
          <w:rFonts w:hint="eastAsia" w:ascii="仿宋_GB2312" w:eastAsia="仿宋_GB2312"/>
          <w:color w:val="000000"/>
          <w:sz w:val="32"/>
          <w:szCs w:val="32"/>
        </w:rPr>
        <w:t>费</w:t>
      </w:r>
      <w:r>
        <w:rPr>
          <w:rFonts w:hint="eastAsia" w:ascii="仿宋_GB2312" w:eastAsia="仿宋_GB2312"/>
          <w:sz w:val="32"/>
          <w:szCs w:val="32"/>
        </w:rPr>
        <w:t>支出</w:t>
      </w:r>
      <w:r>
        <w:rPr>
          <w:rFonts w:hint="eastAsia" w:ascii="仿宋_GB2312" w:eastAsia="仿宋_GB2312"/>
          <w:color w:val="000000" w:themeColor="text1"/>
          <w:sz w:val="32"/>
          <w:szCs w:val="32"/>
        </w:rPr>
        <w:t>等。</w:t>
      </w:r>
      <w:bookmarkEnd w:id="64"/>
      <w:bookmarkStart w:id="68"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lang w:val="en-US" w:eastAsia="zh-CN"/>
        </w:rPr>
        <w:t>6</w:t>
      </w:r>
      <w:r>
        <w:rPr>
          <w:rFonts w:hint="eastAsia" w:ascii="仿宋_GB2312" w:eastAsia="仿宋_GB2312"/>
          <w:color w:val="000000" w:themeColor="text1"/>
          <w:sz w:val="32"/>
          <w:szCs w:val="32"/>
        </w:rPr>
        <w:t>辆。</w:t>
      </w:r>
      <w:bookmarkEnd w:id="68"/>
    </w:p>
    <w:p>
      <w:pPr>
        <w:spacing w:line="540" w:lineRule="exact"/>
        <w:ind w:firstLine="640" w:firstLineChars="200"/>
        <w:rPr>
          <w:rFonts w:ascii="仿宋_GB2312" w:eastAsia="仿宋_GB2312"/>
          <w:color w:val="000000" w:themeColor="text1"/>
          <w:sz w:val="32"/>
          <w:szCs w:val="32"/>
        </w:rPr>
      </w:pPr>
      <w:bookmarkStart w:id="69"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本单位无公务接待费支出</w:t>
      </w:r>
      <w:r>
        <w:rPr>
          <w:rFonts w:hint="eastAsia" w:ascii="仿宋_GB2312" w:eastAsia="仿宋_GB2312"/>
          <w:color w:val="000000" w:themeColor="text1"/>
          <w:sz w:val="32"/>
          <w:szCs w:val="32"/>
        </w:rPr>
        <w:t>等。</w:t>
      </w:r>
      <w:bookmarkEnd w:id="69"/>
      <w:bookmarkStart w:id="70" w:name="OLE_LINK84"/>
      <w:r>
        <w:rPr>
          <w:rFonts w:hint="eastAsia" w:ascii="仿宋_GB2312" w:eastAsia="仿宋_GB2312"/>
          <w:sz w:val="32"/>
          <w:szCs w:val="32"/>
        </w:rPr>
        <w:t>新疆喀什地区塔什库尔干县人民医院</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0"/>
    </w:p>
    <w:p>
      <w:pPr>
        <w:spacing w:line="540" w:lineRule="exact"/>
        <w:ind w:firstLine="640" w:firstLineChars="200"/>
        <w:rPr>
          <w:rFonts w:ascii="仿宋_GB2312" w:hAnsi="宋体" w:eastAsia="仿宋_GB2312" w:cs="宋体"/>
          <w:color w:val="000000" w:themeColor="text1"/>
          <w:kern w:val="0"/>
          <w:sz w:val="32"/>
          <w:szCs w:val="32"/>
        </w:rPr>
      </w:pPr>
      <w:bookmarkStart w:id="71"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r>
        <w:rPr>
          <w:rFonts w:hint="eastAsia" w:ascii="仿宋_GB2312" w:eastAsia="仿宋_GB2312"/>
          <w:color w:val="000000" w:themeColor="text1"/>
          <w:sz w:val="32"/>
          <w:szCs w:val="32"/>
          <w:lang w:eastAsia="zh-CN"/>
        </w:rPr>
        <w:t>本单位</w:t>
      </w:r>
      <w:r>
        <w:rPr>
          <w:rFonts w:ascii="仿宋_GB2312" w:eastAsia="仿宋_GB2312"/>
          <w:color w:val="000000" w:themeColor="text1"/>
          <w:sz w:val="32"/>
          <w:szCs w:val="32"/>
        </w:rPr>
        <w:t>无</w:t>
      </w:r>
      <w:r>
        <w:rPr>
          <w:rFonts w:hint="eastAsia" w:ascii="仿宋_GB2312" w:eastAsia="仿宋_GB2312"/>
          <w:color w:val="000000" w:themeColor="text1"/>
          <w:sz w:val="32"/>
          <w:szCs w:val="32"/>
        </w:rPr>
        <w:t>一般公共预算“三公”经费支出</w:t>
      </w:r>
      <w:r>
        <w:rPr>
          <w:rFonts w:ascii="仿宋_GB2312" w:eastAsia="仿宋_GB2312"/>
          <w:color w:val="000000" w:themeColor="text1"/>
          <w:sz w:val="32"/>
          <w:szCs w:val="32"/>
        </w:rPr>
        <w:t>。</w:t>
      </w:r>
      <w:bookmarkEnd w:id="71"/>
      <w:bookmarkStart w:id="72" w:name="OLE_LINK87"/>
      <w:bookmarkStart w:id="73"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r>
        <w:rPr>
          <w:rFonts w:ascii="仿宋_GB2312" w:eastAsia="仿宋_GB2312"/>
          <w:color w:val="000000"/>
          <w:sz w:val="32"/>
          <w:szCs w:val="32"/>
        </w:rPr>
        <w:t>本单位无因公出国（境）费支出</w:t>
      </w:r>
      <w:r>
        <w:rPr>
          <w:rFonts w:ascii="仿宋_GB2312" w:eastAsia="仿宋_GB2312"/>
          <w:color w:val="000000" w:themeColor="text1"/>
          <w:sz w:val="32"/>
          <w:szCs w:val="32"/>
        </w:rPr>
        <w:t>；</w:t>
      </w:r>
      <w:bookmarkEnd w:id="72"/>
      <w:bookmarkEnd w:id="73"/>
      <w:bookmarkStart w:id="74" w:name="OLE_LINK88"/>
      <w:bookmarkStart w:id="75" w:name="OLE_LINK89"/>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w:t>
      </w:r>
      <w:r>
        <w:rPr>
          <w:rFonts w:hint="eastAsia" w:ascii="仿宋_GB2312" w:eastAsia="仿宋_GB2312"/>
          <w:color w:val="000000" w:themeColor="text1"/>
          <w:sz w:val="32"/>
          <w:szCs w:val="32"/>
          <w:lang w:eastAsia="zh-CN"/>
        </w:rPr>
        <w:t>本单位</w:t>
      </w:r>
      <w:r>
        <w:rPr>
          <w:rFonts w:ascii="仿宋_GB2312" w:eastAsia="仿宋_GB2312"/>
          <w:color w:val="000000" w:themeColor="text1"/>
          <w:sz w:val="32"/>
          <w:szCs w:val="32"/>
        </w:rPr>
        <w:t>无</w:t>
      </w:r>
      <w:r>
        <w:rPr>
          <w:rFonts w:hint="eastAsia" w:ascii="仿宋_GB2312" w:eastAsia="仿宋_GB2312"/>
          <w:color w:val="000000" w:themeColor="text1"/>
          <w:sz w:val="32"/>
          <w:szCs w:val="32"/>
          <w:lang w:eastAsia="zh-CN"/>
        </w:rPr>
        <w:t>公务用车购置支出</w:t>
      </w:r>
      <w:r>
        <w:rPr>
          <w:rFonts w:ascii="仿宋_GB2312" w:eastAsia="仿宋_GB2312"/>
          <w:color w:val="000000" w:themeColor="text1"/>
          <w:sz w:val="32"/>
          <w:szCs w:val="32"/>
        </w:rPr>
        <w:t>；</w:t>
      </w:r>
      <w:bookmarkEnd w:id="74"/>
      <w:bookmarkEnd w:id="75"/>
      <w:bookmarkStart w:id="76"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w:t>
      </w:r>
      <w:r>
        <w:rPr>
          <w:rFonts w:hint="eastAsia" w:ascii="仿宋_GB2312" w:eastAsia="仿宋_GB2312"/>
          <w:color w:val="000000" w:themeColor="text1"/>
          <w:sz w:val="32"/>
          <w:szCs w:val="32"/>
          <w:lang w:eastAsia="zh-CN"/>
        </w:rPr>
        <w:t>本单位</w:t>
      </w:r>
      <w:r>
        <w:rPr>
          <w:rFonts w:ascii="仿宋_GB2312" w:eastAsia="仿宋_GB2312"/>
          <w:color w:val="000000" w:themeColor="text1"/>
          <w:sz w:val="32"/>
          <w:szCs w:val="32"/>
        </w:rPr>
        <w:t>无</w:t>
      </w:r>
      <w:r>
        <w:rPr>
          <w:rFonts w:hint="eastAsia" w:ascii="仿宋_GB2312" w:eastAsia="仿宋_GB2312"/>
          <w:color w:val="000000" w:themeColor="text1"/>
          <w:sz w:val="32"/>
          <w:szCs w:val="32"/>
          <w:lang w:eastAsia="zh-CN"/>
        </w:rPr>
        <w:t>公务用车运行费支出</w:t>
      </w:r>
      <w:r>
        <w:rPr>
          <w:rFonts w:ascii="仿宋_GB2312" w:eastAsia="仿宋_GB2312"/>
          <w:color w:val="000000" w:themeColor="text1"/>
          <w:sz w:val="32"/>
          <w:szCs w:val="32"/>
        </w:rPr>
        <w:t>；</w:t>
      </w:r>
      <w:bookmarkEnd w:id="76"/>
      <w:bookmarkStart w:id="77"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77"/>
      <w:r>
        <w:rPr>
          <w:rFonts w:hint="eastAsia" w:ascii="仿宋_GB2312" w:eastAsia="仿宋_GB2312"/>
          <w:color w:val="000000" w:themeColor="text1"/>
          <w:sz w:val="32"/>
          <w:szCs w:val="32"/>
          <w:lang w:eastAsia="zh-CN"/>
        </w:rPr>
        <w:t>本单位</w:t>
      </w:r>
      <w:r>
        <w:rPr>
          <w:rFonts w:ascii="仿宋_GB2312" w:eastAsia="仿宋_GB2312"/>
          <w:color w:val="000000" w:themeColor="text1"/>
          <w:sz w:val="32"/>
          <w:szCs w:val="32"/>
        </w:rPr>
        <w:t>无</w:t>
      </w:r>
      <w:r>
        <w:rPr>
          <w:rFonts w:hint="eastAsia" w:ascii="仿宋_GB2312" w:hAnsi="宋体" w:eastAsia="仿宋_GB2312" w:cs="宋体"/>
          <w:color w:val="000000" w:themeColor="text1"/>
          <w:kern w:val="0"/>
          <w:sz w:val="32"/>
          <w:szCs w:val="32"/>
        </w:rPr>
        <w:t>公务接待费</w:t>
      </w:r>
      <w:r>
        <w:rPr>
          <w:rFonts w:hint="eastAsia" w:ascii="仿宋_GB2312" w:hAnsi="宋体" w:eastAsia="仿宋_GB2312" w:cs="宋体"/>
          <w:color w:val="000000" w:themeColor="text1"/>
          <w:kern w:val="0"/>
          <w:sz w:val="32"/>
          <w:szCs w:val="32"/>
          <w:lang w:eastAsia="zh-CN"/>
        </w:rPr>
        <w:t>支出</w:t>
      </w:r>
      <w:r>
        <w:rPr>
          <w:rFonts w:ascii="仿宋_GB2312" w:eastAsia="仿宋_GB2312"/>
          <w:color w:val="000000" w:themeColor="text1"/>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新疆喀什地区塔什库尔干县人民医院日常公用经费31.46万元，与上年相比，增加31.46万元，增长100%，增加的主要原因是：2018年增加机关运行经费支出拨款，主要用于单位日常差旅、办公用品支出。</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78" w:name="OLE_LINK45"/>
      <w:r>
        <w:rPr>
          <w:rFonts w:hint="eastAsia" w:ascii="仿宋_GB2312" w:eastAsia="仿宋_GB2312"/>
          <w:color w:val="000000" w:themeColor="text1"/>
          <w:sz w:val="32"/>
          <w:szCs w:val="32"/>
        </w:rPr>
        <w:t>政府采购支出总额</w:t>
      </w:r>
      <w:bookmarkEnd w:id="78"/>
      <w:r>
        <w:rPr>
          <w:rFonts w:hint="eastAsia" w:ascii="仿宋_GB2312" w:eastAsia="仿宋_GB2312"/>
          <w:sz w:val="32"/>
          <w:szCs w:val="32"/>
        </w:rPr>
        <w:t>409.49</w:t>
      </w:r>
      <w:r>
        <w:rPr>
          <w:rFonts w:hint="eastAsia" w:ascii="仿宋_GB2312" w:eastAsia="仿宋_GB2312"/>
          <w:color w:val="000000" w:themeColor="text1"/>
          <w:sz w:val="32"/>
          <w:szCs w:val="32"/>
        </w:rPr>
        <w:t>万元，其中：</w:t>
      </w:r>
      <w:bookmarkStart w:id="79" w:name="OLE_LINK46"/>
      <w:r>
        <w:rPr>
          <w:rFonts w:hint="eastAsia" w:ascii="仿宋_GB2312" w:eastAsia="仿宋_GB2312"/>
          <w:color w:val="000000" w:themeColor="text1"/>
          <w:sz w:val="32"/>
          <w:szCs w:val="32"/>
        </w:rPr>
        <w:t>政府采购货物支出</w:t>
      </w:r>
      <w:bookmarkEnd w:id="79"/>
      <w:r>
        <w:rPr>
          <w:rFonts w:hint="eastAsia" w:ascii="仿宋_GB2312" w:eastAsia="仿宋_GB2312"/>
          <w:sz w:val="32"/>
          <w:szCs w:val="32"/>
        </w:rPr>
        <w:t>354.98</w:t>
      </w:r>
      <w:r>
        <w:rPr>
          <w:rFonts w:hint="eastAsia" w:ascii="仿宋_GB2312" w:eastAsia="仿宋_GB2312"/>
          <w:color w:val="000000" w:themeColor="text1"/>
          <w:sz w:val="32"/>
          <w:szCs w:val="32"/>
        </w:rPr>
        <w:t>万元、</w:t>
      </w:r>
      <w:bookmarkStart w:id="80" w:name="OLE_LINK47"/>
      <w:r>
        <w:rPr>
          <w:rFonts w:hint="eastAsia" w:ascii="仿宋_GB2312" w:eastAsia="仿宋_GB2312"/>
          <w:color w:val="000000" w:themeColor="text1"/>
          <w:sz w:val="32"/>
          <w:szCs w:val="32"/>
        </w:rPr>
        <w:t>政府采购工程支出</w:t>
      </w:r>
      <w:bookmarkEnd w:id="80"/>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81" w:name="OLE_LINK48"/>
      <w:r>
        <w:rPr>
          <w:rFonts w:hint="eastAsia" w:ascii="仿宋_GB2312" w:eastAsia="仿宋_GB2312"/>
          <w:color w:val="000000" w:themeColor="text1"/>
          <w:sz w:val="32"/>
          <w:szCs w:val="32"/>
        </w:rPr>
        <w:t>政府采购服务支出</w:t>
      </w:r>
      <w:bookmarkEnd w:id="81"/>
      <w:r>
        <w:rPr>
          <w:rFonts w:hint="eastAsia" w:ascii="仿宋_GB2312" w:eastAsia="仿宋_GB2312"/>
          <w:sz w:val="32"/>
          <w:szCs w:val="32"/>
        </w:rPr>
        <w:t>54.51</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82"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6</w:t>
      </w:r>
      <w:r>
        <w:rPr>
          <w:rFonts w:hint="eastAsia" w:ascii="仿宋_GB2312" w:eastAsia="仿宋_GB2312"/>
          <w:color w:val="000000" w:themeColor="text1"/>
          <w:sz w:val="32"/>
          <w:szCs w:val="32"/>
        </w:rPr>
        <w:t>辆，价值</w:t>
      </w:r>
      <w:r>
        <w:rPr>
          <w:rFonts w:hint="eastAsia" w:ascii="仿宋_GB2312" w:eastAsia="仿宋_GB2312"/>
          <w:sz w:val="32"/>
          <w:szCs w:val="32"/>
        </w:rPr>
        <w:t>172.69</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1</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5</w:t>
      </w:r>
      <w:r>
        <w:rPr>
          <w:rFonts w:hint="eastAsia" w:ascii="仿宋_GB2312" w:eastAsia="仿宋_GB2312"/>
          <w:color w:val="000000" w:themeColor="text1"/>
          <w:sz w:val="32"/>
          <w:szCs w:val="32"/>
        </w:rPr>
        <w:t>辆，其他用车主要是：</w:t>
      </w:r>
      <w:r>
        <w:rPr>
          <w:rFonts w:hint="eastAsia" w:ascii="仿宋_GB2312" w:eastAsia="仿宋_GB2312"/>
          <w:color w:val="000000" w:themeColor="text1"/>
          <w:sz w:val="32"/>
          <w:szCs w:val="32"/>
          <w:lang w:val="en-US" w:eastAsia="zh-CN"/>
        </w:rPr>
        <w:t>5辆车</w:t>
      </w:r>
      <w:r>
        <w:rPr>
          <w:rFonts w:hint="eastAsia" w:ascii="仿宋_GB2312" w:eastAsia="仿宋_GB2312"/>
          <w:color w:val="000000" w:themeColor="text1"/>
          <w:sz w:val="32"/>
          <w:szCs w:val="32"/>
          <w:lang w:eastAsia="zh-CN"/>
        </w:rPr>
        <w:t>均为</w:t>
      </w:r>
      <w:r>
        <w:rPr>
          <w:rFonts w:ascii="仿宋_GB2312" w:eastAsia="仿宋_GB2312"/>
          <w:color w:val="000000" w:themeColor="text1"/>
          <w:sz w:val="32"/>
          <w:szCs w:val="32"/>
        </w:rPr>
        <w:t>救护车</w:t>
      </w:r>
      <w:r>
        <w:rPr>
          <w:rFonts w:hint="eastAsia" w:ascii="仿宋_GB2312" w:eastAsia="仿宋_GB2312"/>
          <w:color w:val="000000" w:themeColor="text1"/>
          <w:sz w:val="32"/>
          <w:szCs w:val="32"/>
          <w:lang w:eastAsia="zh-CN"/>
        </w:rPr>
        <w:t>专用车辆</w:t>
      </w:r>
      <w:r>
        <w:rPr>
          <w:rFonts w:ascii="仿宋_GB2312" w:eastAsia="仿宋_GB2312"/>
          <w:color w:val="000000" w:themeColor="text1"/>
          <w:sz w:val="32"/>
          <w:szCs w:val="32"/>
        </w:rPr>
        <w:t>；</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6</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3</w:t>
      </w:r>
      <w:r>
        <w:rPr>
          <w:rFonts w:hint="eastAsia" w:ascii="仿宋_GB2312" w:eastAsia="仿宋_GB2312"/>
          <w:color w:val="000000" w:themeColor="text1"/>
          <w:sz w:val="32"/>
          <w:szCs w:val="32"/>
        </w:rPr>
        <w:t>台（套）。</w:t>
      </w:r>
      <w:bookmarkEnd w:id="82"/>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为完善绩效管理，医院领导班子组成“绩效管理小组”针对绩效收支进行管控，对各项目支出和基本支出的进度进行考核。</w:t>
      </w:r>
    </w:p>
    <w:p>
      <w:pPr>
        <w:spacing w:line="540" w:lineRule="exact"/>
        <w:ind w:left="-1" w:right="-1" w:firstLine="646"/>
        <w:jc w:val="left"/>
      </w:pPr>
      <w:r>
        <w:rPr>
          <w:rFonts w:ascii="仿宋_GB2312" w:hAnsi="仿宋_GB2312" w:eastAsia="仿宋_GB2312" w:cs="仿宋_GB2312"/>
          <w:b w:val="0"/>
          <w:color w:val="auto"/>
          <w:sz w:val="32"/>
          <w:u w:val="none"/>
        </w:rPr>
        <w:t>1、塔什库尔干县“灾后重建”人民医院高原病防治研究中心重建项目绩效自评综述：根据年初设定的绩效目标，该项目绩效自评得分为95分。项目全年预算数为420万元，执行数为420万元，完成预算的100%。主要产出和效果：塔什库尔干县“灾后重建”人民医院高原病防治研究中心重建项目面积1200平方米，确保高原病医疗环境得到保障</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pPr>
      <w:r>
        <w:rPr>
          <w:rFonts w:ascii="仿宋_GB2312" w:hAnsi="仿宋_GB2312" w:eastAsia="仿宋_GB2312" w:cs="仿宋_GB2312"/>
          <w:b w:val="0"/>
          <w:color w:val="auto"/>
          <w:sz w:val="32"/>
          <w:u w:val="none"/>
        </w:rPr>
        <w:t>2、塔什库尔干县“灾后重建”人民医院血库重建项目绩效自评综述：根据年初设定的绩效目标，该项目绩效自评得分为90分。项目全年预算数为140万元，执行数为140万元，完成预算的100%。主要产出和效果：塔什库尔干县“灾后重建”人民医院血库重建项目建筑面积400平方米，保障了医疗采血、用血的卫生安全</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发现的问题及原因：建设初期因经验不足，没有专门人员对施工进度及情况进行监督</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下一步改进措施：及时成立督查小组，定期对工程质量及进度进行检查督促</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pPr>
      <w:r>
        <w:rPr>
          <w:rFonts w:ascii="仿宋_GB2312" w:hAnsi="仿宋_GB2312" w:eastAsia="仿宋_GB2312" w:cs="仿宋_GB2312"/>
          <w:b w:val="0"/>
          <w:color w:val="auto"/>
          <w:sz w:val="32"/>
          <w:u w:val="none"/>
        </w:rPr>
        <w:t>3、塔什库尔干县“灾后应急建设”人民医院维修加固建设项目绩效自评综述：根据年初设定的绩效目标，该项目绩效自评得分为100分。项目全年预算数为700万元，执行数为700万元，完成预算的100%。主要产出和效果：塔什库尔干县“灾后应急建设”人民医院维修加固建设项目维修加固了院内医疗建筑，面积7000平方米，提高了医疗服务水平，保证院内人员设备安全</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pPr>
      <w:r>
        <w:rPr>
          <w:rFonts w:ascii="仿宋_GB2312" w:hAnsi="仿宋_GB2312" w:eastAsia="仿宋_GB2312" w:cs="仿宋_GB2312"/>
          <w:b w:val="0"/>
          <w:color w:val="auto"/>
          <w:sz w:val="32"/>
          <w:u w:val="none"/>
        </w:rPr>
        <w:t>4、医疗服务能力提升补助资金（公立医院改革资金）项目绩效自评综述：根据年初设定的绩效目标，该项目绩效自评得分为89分。项目全年预算数为151.9万元，执行数为151.9万元，完成预算的100%。主要产出和效果：推动了公立医院改革工作，在管理体制补偿机制，综合方面取得突破，有效破除了以药补医机制，建立了维护公益性，调动积极性，可持续的运行机制，有效解决了部分群众看病就医问题。专业技术人员交流培训，培养了一批重症科，儿科，急诊科需紧缺专业为重点的住院医师，提高了临床医师执业能力和服务水平。购买医疗设备，提高了医疗技术水平</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发现的问题及原因：专业技术人才交流培训人次目标设置较少</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下一步改进措施：鼓励职工多参加专业培训会议，提高医院医疗水平</w:t>
      </w:r>
      <w:r>
        <w:rPr>
          <w:rFonts w:hint="eastAsia" w:ascii="仿宋_GB2312" w:hAnsi="仿宋_GB2312" w:eastAsia="仿宋_GB2312" w:cs="仿宋_GB2312"/>
          <w:b w:val="0"/>
          <w:color w:val="auto"/>
          <w:sz w:val="32"/>
          <w:u w:val="none"/>
          <w:lang w:eastAsia="zh-CN"/>
        </w:rPr>
        <w: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210（类）02（款）99（项）指：其他公立医院支出。210（类）02（款）01（项）指：综合医院。208（类）15（款）03（项）指：自然灾害灾后重建补助。208（类）05（款）06（项）指：机关事业单位职业年金缴费支出。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9631" w:y="37"/>
      <w:jc w:val="right"/>
      <w:rPr>
        <w:rStyle w:val="8"/>
        <w:rFonts w:hint="eastAsia" w:ascii="宋体" w:hAnsi="宋体" w:eastAsia="宋体"/>
        <w:sz w:val="28"/>
        <w:lang w:eastAsia="zh-CN"/>
      </w:rPr>
    </w:pPr>
    <w:r>
      <w:rPr>
        <w:rStyle w:val="8"/>
        <w:rFonts w:ascii="宋体" w:hAnsi="宋体" w:eastAsia="宋体"/>
        <w:sz w:val="28"/>
      </w:rPr>
      <w:fldChar w:fldCharType="begin"/>
    </w:r>
    <w:r>
      <w:rPr>
        <w:rStyle w:val="8"/>
        <w:rFonts w:ascii="宋体" w:hAnsi="宋体" w:eastAsia="宋体"/>
        <w:sz w:val="28"/>
      </w:rPr>
      <w:instrText xml:space="preserve"> PAGE </w:instrText>
    </w:r>
    <w:r>
      <w:rPr>
        <w:rStyle w:val="8"/>
        <w:rFonts w:ascii="宋体" w:hAnsi="宋体" w:eastAsia="宋体"/>
        <w:sz w:val="28"/>
      </w:rPr>
      <w:fldChar w:fldCharType="separate"/>
    </w:r>
    <w:r>
      <w:rPr>
        <w:rStyle w:val="8"/>
        <w:rFonts w:ascii="宋体" w:hAnsi="宋体" w:eastAsia="宋体"/>
        <w:sz w:val="28"/>
      </w:rPr>
      <w:t>- 1 -</w:t>
    </w:r>
    <w:r>
      <w:rPr>
        <w:rStyle w:val="8"/>
        <w:rFonts w:ascii="宋体" w:hAnsi="宋体" w:eastAsia="宋体"/>
        <w:sz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1756" w:y="37"/>
      <w:rPr>
        <w:rStyle w:val="8"/>
        <w:rFonts w:ascii="宋体" w:hAnsi="宋体" w:eastAsia="宋体"/>
        <w:sz w:val="28"/>
        <w:szCs w:val="28"/>
      </w:rPr>
    </w:pPr>
    <w:r>
      <w:rPr>
        <w:rStyle w:val="8"/>
        <w:rFonts w:ascii="宋体" w:hAnsi="宋体" w:eastAsia="宋体"/>
        <w:sz w:val="28"/>
        <w:szCs w:val="28"/>
      </w:rPr>
      <w:fldChar w:fldCharType="begin"/>
    </w:r>
    <w:r>
      <w:rPr>
        <w:rStyle w:val="8"/>
        <w:rFonts w:ascii="宋体" w:hAnsi="宋体" w:eastAsia="宋体"/>
        <w:sz w:val="28"/>
        <w:szCs w:val="28"/>
      </w:rPr>
      <w:instrText xml:space="preserve">PAGE  </w:instrText>
    </w:r>
    <w:r>
      <w:rPr>
        <w:rStyle w:val="8"/>
        <w:rFonts w:ascii="宋体" w:hAnsi="宋体" w:eastAsia="宋体"/>
        <w:sz w:val="28"/>
        <w:szCs w:val="28"/>
      </w:rPr>
      <w:fldChar w:fldCharType="separate"/>
    </w:r>
    <w:r>
      <w:rPr>
        <w:rStyle w:val="8"/>
        <w:rFonts w:ascii="宋体" w:hAnsi="宋体" w:eastAsia="宋体"/>
        <w:sz w:val="28"/>
        <w:szCs w:val="28"/>
      </w:rPr>
      <w:t>-12-</w:t>
    </w:r>
    <w:r>
      <w:rPr>
        <w:rStyle w:val="8"/>
        <w:rFonts w:ascii="宋体" w:hAnsi="宋体" w:eastAsia="宋体"/>
        <w:sz w:val="28"/>
        <w:szCs w:val="28"/>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71228"/>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160"/>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49640A"/>
    <w:rsid w:val="04741FE5"/>
    <w:rsid w:val="04B319D2"/>
    <w:rsid w:val="04DB02C7"/>
    <w:rsid w:val="06AD214A"/>
    <w:rsid w:val="06B856EE"/>
    <w:rsid w:val="07FE5938"/>
    <w:rsid w:val="084604BC"/>
    <w:rsid w:val="0886234D"/>
    <w:rsid w:val="08883825"/>
    <w:rsid w:val="08F661A1"/>
    <w:rsid w:val="09725983"/>
    <w:rsid w:val="0A382BB5"/>
    <w:rsid w:val="0AA4543A"/>
    <w:rsid w:val="0AB46B1F"/>
    <w:rsid w:val="0BE61132"/>
    <w:rsid w:val="0C2905D9"/>
    <w:rsid w:val="0C9B0DD6"/>
    <w:rsid w:val="0CAE1C3F"/>
    <w:rsid w:val="0CE4791C"/>
    <w:rsid w:val="0E063C64"/>
    <w:rsid w:val="0E240627"/>
    <w:rsid w:val="0EAF5F09"/>
    <w:rsid w:val="0EDC0863"/>
    <w:rsid w:val="0F4C7B96"/>
    <w:rsid w:val="0FFB575E"/>
    <w:rsid w:val="104F44F7"/>
    <w:rsid w:val="10845F1B"/>
    <w:rsid w:val="11463A00"/>
    <w:rsid w:val="11600918"/>
    <w:rsid w:val="11B0398F"/>
    <w:rsid w:val="125249DF"/>
    <w:rsid w:val="1305790F"/>
    <w:rsid w:val="135D5F18"/>
    <w:rsid w:val="13B960C5"/>
    <w:rsid w:val="152777F4"/>
    <w:rsid w:val="15C674B6"/>
    <w:rsid w:val="174B2ED1"/>
    <w:rsid w:val="178B62C2"/>
    <w:rsid w:val="17F911EC"/>
    <w:rsid w:val="18D54A0D"/>
    <w:rsid w:val="19F36F0C"/>
    <w:rsid w:val="1A4106A0"/>
    <w:rsid w:val="1A4F5437"/>
    <w:rsid w:val="1AB77CD0"/>
    <w:rsid w:val="1D9654CA"/>
    <w:rsid w:val="1E807156"/>
    <w:rsid w:val="1EA657F6"/>
    <w:rsid w:val="1EE778EC"/>
    <w:rsid w:val="1F097CB6"/>
    <w:rsid w:val="204E45D0"/>
    <w:rsid w:val="2166156B"/>
    <w:rsid w:val="21B02D83"/>
    <w:rsid w:val="22A236F5"/>
    <w:rsid w:val="22C40240"/>
    <w:rsid w:val="23995975"/>
    <w:rsid w:val="2432220E"/>
    <w:rsid w:val="248303BA"/>
    <w:rsid w:val="24837E47"/>
    <w:rsid w:val="252E01AA"/>
    <w:rsid w:val="25AB2ED4"/>
    <w:rsid w:val="261C4186"/>
    <w:rsid w:val="2680023E"/>
    <w:rsid w:val="29680352"/>
    <w:rsid w:val="29CA2E7B"/>
    <w:rsid w:val="2A020F75"/>
    <w:rsid w:val="2AE75300"/>
    <w:rsid w:val="2B007AEE"/>
    <w:rsid w:val="2B3F57F8"/>
    <w:rsid w:val="2BC14C56"/>
    <w:rsid w:val="2C1B026F"/>
    <w:rsid w:val="2C6D480D"/>
    <w:rsid w:val="2CC61F55"/>
    <w:rsid w:val="2EF7452F"/>
    <w:rsid w:val="2F1D13B4"/>
    <w:rsid w:val="2FAA3DA6"/>
    <w:rsid w:val="30682E1F"/>
    <w:rsid w:val="30E210D2"/>
    <w:rsid w:val="311371D6"/>
    <w:rsid w:val="31EB64C9"/>
    <w:rsid w:val="336D0D6F"/>
    <w:rsid w:val="33EE159E"/>
    <w:rsid w:val="3474590A"/>
    <w:rsid w:val="352E4BEC"/>
    <w:rsid w:val="369E1934"/>
    <w:rsid w:val="37DD5594"/>
    <w:rsid w:val="37FC1C95"/>
    <w:rsid w:val="38F24FA8"/>
    <w:rsid w:val="3A98342A"/>
    <w:rsid w:val="3AB6780E"/>
    <w:rsid w:val="3AC346A6"/>
    <w:rsid w:val="3AD56D70"/>
    <w:rsid w:val="3B2920C2"/>
    <w:rsid w:val="3BC279DF"/>
    <w:rsid w:val="3BE41ABD"/>
    <w:rsid w:val="3C5421A9"/>
    <w:rsid w:val="3D903B21"/>
    <w:rsid w:val="3F1408FA"/>
    <w:rsid w:val="3F440741"/>
    <w:rsid w:val="40A17EF7"/>
    <w:rsid w:val="40D025DC"/>
    <w:rsid w:val="411D426A"/>
    <w:rsid w:val="41FC306C"/>
    <w:rsid w:val="426A4EDC"/>
    <w:rsid w:val="44BE5554"/>
    <w:rsid w:val="451E0908"/>
    <w:rsid w:val="4523392B"/>
    <w:rsid w:val="452C2D31"/>
    <w:rsid w:val="453450CC"/>
    <w:rsid w:val="45D26E14"/>
    <w:rsid w:val="46A541B1"/>
    <w:rsid w:val="47B72028"/>
    <w:rsid w:val="48C57772"/>
    <w:rsid w:val="49782886"/>
    <w:rsid w:val="4A6F0D28"/>
    <w:rsid w:val="4AA36B39"/>
    <w:rsid w:val="4AAF085C"/>
    <w:rsid w:val="4AEB7E60"/>
    <w:rsid w:val="4B4B135B"/>
    <w:rsid w:val="4BC7055F"/>
    <w:rsid w:val="4CFC7DB2"/>
    <w:rsid w:val="4E7C187D"/>
    <w:rsid w:val="4EB84ADE"/>
    <w:rsid w:val="4FA46BF6"/>
    <w:rsid w:val="508941AD"/>
    <w:rsid w:val="50E65530"/>
    <w:rsid w:val="51457139"/>
    <w:rsid w:val="51574DBD"/>
    <w:rsid w:val="51EC1DA8"/>
    <w:rsid w:val="52750484"/>
    <w:rsid w:val="52FC5524"/>
    <w:rsid w:val="53074067"/>
    <w:rsid w:val="532D7A17"/>
    <w:rsid w:val="537776E2"/>
    <w:rsid w:val="54AF4562"/>
    <w:rsid w:val="54C9674B"/>
    <w:rsid w:val="556318EA"/>
    <w:rsid w:val="55A60AA1"/>
    <w:rsid w:val="56451615"/>
    <w:rsid w:val="56ED1576"/>
    <w:rsid w:val="57362B42"/>
    <w:rsid w:val="57FC5774"/>
    <w:rsid w:val="59B332C9"/>
    <w:rsid w:val="5A44758A"/>
    <w:rsid w:val="5A571E69"/>
    <w:rsid w:val="5BBD4F1C"/>
    <w:rsid w:val="5BEC4BB3"/>
    <w:rsid w:val="5C070B55"/>
    <w:rsid w:val="5CB96DCE"/>
    <w:rsid w:val="5CE61580"/>
    <w:rsid w:val="5CF20D25"/>
    <w:rsid w:val="5D175666"/>
    <w:rsid w:val="5D556A3C"/>
    <w:rsid w:val="5D7B25C9"/>
    <w:rsid w:val="5ECB44B4"/>
    <w:rsid w:val="5EE2043C"/>
    <w:rsid w:val="5F226EFA"/>
    <w:rsid w:val="5FDC7F49"/>
    <w:rsid w:val="601E31DB"/>
    <w:rsid w:val="602D2E37"/>
    <w:rsid w:val="604A4001"/>
    <w:rsid w:val="61460FBE"/>
    <w:rsid w:val="62775810"/>
    <w:rsid w:val="62D83744"/>
    <w:rsid w:val="630F4048"/>
    <w:rsid w:val="63AA02E5"/>
    <w:rsid w:val="64700DE9"/>
    <w:rsid w:val="64E66091"/>
    <w:rsid w:val="65C613BD"/>
    <w:rsid w:val="65FD118C"/>
    <w:rsid w:val="66B03299"/>
    <w:rsid w:val="66E265CC"/>
    <w:rsid w:val="677D22BC"/>
    <w:rsid w:val="682C3D89"/>
    <w:rsid w:val="683E4130"/>
    <w:rsid w:val="68611305"/>
    <w:rsid w:val="68DE0D8C"/>
    <w:rsid w:val="6A162DE0"/>
    <w:rsid w:val="6A331428"/>
    <w:rsid w:val="6A9B0989"/>
    <w:rsid w:val="6B2E5CB6"/>
    <w:rsid w:val="6B3D4886"/>
    <w:rsid w:val="6DF8675E"/>
    <w:rsid w:val="6E1D6F83"/>
    <w:rsid w:val="6E533296"/>
    <w:rsid w:val="6EA80098"/>
    <w:rsid w:val="6EDE34CF"/>
    <w:rsid w:val="6F8D70FF"/>
    <w:rsid w:val="6FFE5011"/>
    <w:rsid w:val="7178734D"/>
    <w:rsid w:val="71791096"/>
    <w:rsid w:val="717B0C34"/>
    <w:rsid w:val="71FB78FD"/>
    <w:rsid w:val="7275064A"/>
    <w:rsid w:val="72856200"/>
    <w:rsid w:val="733F750B"/>
    <w:rsid w:val="735702E2"/>
    <w:rsid w:val="735F5516"/>
    <w:rsid w:val="7390641F"/>
    <w:rsid w:val="765F635A"/>
    <w:rsid w:val="76B73454"/>
    <w:rsid w:val="76D254BD"/>
    <w:rsid w:val="77727ACD"/>
    <w:rsid w:val="78071142"/>
    <w:rsid w:val="78C86F26"/>
    <w:rsid w:val="78EA1CAD"/>
    <w:rsid w:val="79296B37"/>
    <w:rsid w:val="7A4C4C40"/>
    <w:rsid w:val="7A5846F8"/>
    <w:rsid w:val="7A604177"/>
    <w:rsid w:val="7AA0518E"/>
    <w:rsid w:val="7B041636"/>
    <w:rsid w:val="7C12588E"/>
    <w:rsid w:val="7CA86749"/>
    <w:rsid w:val="7DD05AC0"/>
    <w:rsid w:val="7E476C34"/>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3"/>
    <w:unhideWhenUsed/>
    <w:qFormat/>
    <w:uiPriority w:val="99"/>
    <w:rPr>
      <w:b/>
      <w:bCs/>
    </w:rPr>
  </w:style>
  <w:style w:type="paragraph" w:styleId="3">
    <w:name w:val="annotation text"/>
    <w:basedOn w:val="1"/>
    <w:link w:val="12"/>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annotation reference"/>
    <w:basedOn w:val="7"/>
    <w:unhideWhenUsed/>
    <w:qFormat/>
    <w:uiPriority w:val="99"/>
    <w:rPr>
      <w:sz w:val="21"/>
      <w:szCs w:val="21"/>
    </w:rPr>
  </w:style>
  <w:style w:type="character" w:customStyle="1" w:styleId="11">
    <w:name w:val="页脚 字符"/>
    <w:basedOn w:val="7"/>
    <w:link w:val="5"/>
    <w:qFormat/>
    <w:uiPriority w:val="0"/>
    <w:rPr>
      <w:rFonts w:ascii="Times New Roman" w:hAnsi="Times New Roman" w:eastAsia="黑体" w:cs="Times New Roman"/>
      <w:snapToGrid w:val="0"/>
      <w:kern w:val="0"/>
      <w:sz w:val="18"/>
      <w:szCs w:val="18"/>
    </w:rPr>
  </w:style>
  <w:style w:type="character" w:customStyle="1" w:styleId="12">
    <w:name w:val="批注文字 字符"/>
    <w:basedOn w:val="7"/>
    <w:link w:val="3"/>
    <w:semiHidden/>
    <w:qFormat/>
    <w:uiPriority w:val="99"/>
    <w:rPr>
      <w:rFonts w:ascii="Times New Roman" w:hAnsi="Times New Roman" w:eastAsia="宋体" w:cs="Times New Roman"/>
      <w:szCs w:val="24"/>
    </w:rPr>
  </w:style>
  <w:style w:type="character" w:customStyle="1" w:styleId="13">
    <w:name w:val="批注主题 字符"/>
    <w:basedOn w:val="12"/>
    <w:link w:val="2"/>
    <w:semiHidden/>
    <w:qFormat/>
    <w:uiPriority w:val="99"/>
    <w:rPr>
      <w:rFonts w:ascii="Times New Roman" w:hAnsi="Times New Roman" w:eastAsia="宋体" w:cs="Times New Roman"/>
      <w:b/>
      <w:bCs/>
      <w:szCs w:val="24"/>
    </w:rPr>
  </w:style>
  <w:style w:type="character" w:customStyle="1" w:styleId="14">
    <w:name w:val="批注框文本 字符"/>
    <w:basedOn w:val="7"/>
    <w:link w:val="4"/>
    <w:semiHidden/>
    <w:qFormat/>
    <w:uiPriority w:val="99"/>
    <w:rPr>
      <w:rFonts w:ascii="Times New Roman" w:hAnsi="Times New Roman" w:eastAsia="宋体" w:cs="Times New Roman"/>
      <w:sz w:val="18"/>
      <w:szCs w:val="18"/>
    </w:rPr>
  </w:style>
  <w:style w:type="character" w:customStyle="1" w:styleId="15">
    <w:name w:val="页眉 字符"/>
    <w:basedOn w:val="7"/>
    <w:link w:val="6"/>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1150</Words>
  <Characters>6560</Characters>
  <Lines>54</Lines>
  <Paragraphs>15</Paragraphs>
  <TotalTime>8</TotalTime>
  <ScaleCrop>false</ScaleCrop>
  <LinksUpToDate>false</LinksUpToDate>
  <CharactersWithSpaces>7695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Lenovo</cp:lastModifiedBy>
  <dcterms:modified xsi:type="dcterms:W3CDTF">2020-04-04T14:56:16Z</dcterms:modified>
  <cp:revision>810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