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2018年度新疆喀什地区塔什库尔干县卫生局部门决算公开说明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卫生局是主管全县卫生工作的县政府组成部门。主要职责。</w:t>
      </w:r>
      <w:r>
        <w:rPr>
          <w:rFonts w:hint="eastAsia" w:ascii="仿宋_GB2312" w:eastAsia="仿宋_GB2312"/>
          <w:sz w:val="32"/>
          <w:szCs w:val="32"/>
        </w:rPr>
        <w:br w:type="textWrapping"/>
      </w:r>
      <w:r>
        <w:rPr>
          <w:rFonts w:hint="eastAsia" w:ascii="仿宋_GB2312" w:eastAsia="仿宋_GB2312"/>
          <w:sz w:val="32"/>
          <w:szCs w:val="32"/>
        </w:rPr>
        <w:t>1、贯彻党和国家卫生工作的方针、政策，制定全县卫生事业发展规划，并监督实施。</w:t>
      </w:r>
      <w:r>
        <w:rPr>
          <w:rFonts w:hint="eastAsia" w:ascii="仿宋_GB2312" w:eastAsia="仿宋_GB2312"/>
          <w:sz w:val="32"/>
          <w:szCs w:val="32"/>
        </w:rPr>
        <w:br w:type="textWrapping"/>
      </w:r>
      <w:r>
        <w:rPr>
          <w:rFonts w:hint="eastAsia" w:ascii="仿宋_GB2312" w:eastAsia="仿宋_GB2312"/>
          <w:sz w:val="32"/>
          <w:szCs w:val="32"/>
        </w:rPr>
        <w:t>2、研究制定全县区域卫生规划，编制全县社区卫生服务发展规划和服务标准，组织实施卫生规划和医疗卫生行业服务要素准入制度，协调卫生资源的配置。</w:t>
      </w:r>
      <w:r>
        <w:rPr>
          <w:rFonts w:hint="eastAsia" w:ascii="仿宋_GB2312" w:eastAsia="仿宋_GB2312"/>
          <w:sz w:val="32"/>
          <w:szCs w:val="32"/>
        </w:rPr>
        <w:br w:type="textWrapping"/>
      </w:r>
      <w:r>
        <w:rPr>
          <w:rFonts w:hint="eastAsia" w:ascii="仿宋_GB2312" w:eastAsia="仿宋_GB2312"/>
          <w:sz w:val="32"/>
          <w:szCs w:val="32"/>
        </w:rPr>
        <w:t>3、研究制定全县农村卫生、妇幼卫生工作规划，指导制定初级卫生保健规划，依法监督母婴保健专项技术的实施。</w:t>
      </w:r>
      <w:r>
        <w:rPr>
          <w:rFonts w:hint="eastAsia" w:ascii="仿宋_GB2312" w:eastAsia="仿宋_GB2312"/>
          <w:sz w:val="32"/>
          <w:szCs w:val="32"/>
        </w:rPr>
        <w:br w:type="textWrapping"/>
      </w:r>
      <w:r>
        <w:rPr>
          <w:rFonts w:hint="eastAsia" w:ascii="仿宋_GB2312" w:eastAsia="仿宋_GB2312"/>
          <w:sz w:val="32"/>
          <w:szCs w:val="32"/>
        </w:rPr>
        <w:t>4、贯彻预防为主的方针，开展全民健康教育制订全县对人群健康危害疾病的防治规划，组织对重大疾病的综合防治，负责传染病、地方病和其它常见病、多发病的监测防治。</w:t>
      </w:r>
      <w:r>
        <w:rPr>
          <w:rFonts w:hint="eastAsia" w:ascii="仿宋_GB2312" w:eastAsia="仿宋_GB2312"/>
          <w:sz w:val="32"/>
          <w:szCs w:val="32"/>
        </w:rPr>
        <w:br w:type="textWrapping"/>
      </w:r>
      <w:r>
        <w:rPr>
          <w:rFonts w:hint="eastAsia" w:ascii="仿宋_GB2312" w:eastAsia="仿宋_GB2312"/>
          <w:sz w:val="32"/>
          <w:szCs w:val="32"/>
        </w:rPr>
        <w:t>5、组织调度全县的卫生技术力量，协助县政府和有关部门，对重大疫情、病情、灾情、突发事件，实施紧急处置，防止和控制疫情、疾病的发生、蔓延。</w:t>
      </w:r>
      <w:r>
        <w:rPr>
          <w:rFonts w:hint="eastAsia" w:ascii="仿宋_GB2312" w:eastAsia="仿宋_GB2312"/>
          <w:sz w:val="32"/>
          <w:szCs w:val="32"/>
        </w:rPr>
        <w:br w:type="textWrapping"/>
      </w:r>
      <w:r>
        <w:rPr>
          <w:rFonts w:hint="eastAsia" w:ascii="仿宋_GB2312" w:eastAsia="仿宋_GB2312"/>
          <w:sz w:val="32"/>
          <w:szCs w:val="32"/>
        </w:rPr>
        <w:t>6、依法对全县医疗卫生机构及其业务实行全行业监督管理，组织指导医疗机构改革，实施医疗机构和卫生技术人员执业标准、医疗质量标准和服务规范，并监督实施。</w:t>
      </w:r>
      <w:r>
        <w:rPr>
          <w:rFonts w:hint="eastAsia" w:ascii="仿宋_GB2312" w:eastAsia="仿宋_GB2312"/>
          <w:sz w:val="32"/>
          <w:szCs w:val="32"/>
        </w:rPr>
        <w:br w:type="textWrapping"/>
      </w:r>
      <w:r>
        <w:rPr>
          <w:rFonts w:hint="eastAsia" w:ascii="仿宋_GB2312" w:eastAsia="仿宋_GB2312"/>
          <w:sz w:val="32"/>
          <w:szCs w:val="32"/>
        </w:rPr>
        <w:t>7、依法监督管理中心血站的采供血及临床用血质量，组织开展无偿献血活动。</w:t>
      </w:r>
      <w:r>
        <w:rPr>
          <w:rFonts w:hint="eastAsia" w:ascii="仿宋_GB2312" w:eastAsia="仿宋_GB2312"/>
          <w:sz w:val="32"/>
          <w:szCs w:val="32"/>
        </w:rPr>
        <w:br w:type="textWrapping"/>
      </w:r>
      <w:r>
        <w:rPr>
          <w:rFonts w:hint="eastAsia" w:ascii="仿宋_GB2312" w:eastAsia="仿宋_GB2312"/>
          <w:sz w:val="32"/>
          <w:szCs w:val="32"/>
        </w:rPr>
        <w:t>8、制定全县医学科技、教育发展规划，组织医药卫生科研攻关，指导医学科技成果的普及应用工作；负责医药科技领域和重点学科建设；负责医学教育，进行质量监督检查。</w:t>
      </w:r>
      <w:r>
        <w:rPr>
          <w:rFonts w:hint="eastAsia" w:ascii="仿宋_GB2312" w:eastAsia="仿宋_GB2312"/>
          <w:sz w:val="32"/>
          <w:szCs w:val="32"/>
        </w:rPr>
        <w:br w:type="textWrapping"/>
      </w:r>
      <w:r>
        <w:rPr>
          <w:rFonts w:hint="eastAsia" w:ascii="仿宋_GB2312" w:eastAsia="仿宋_GB2312"/>
          <w:sz w:val="32"/>
          <w:szCs w:val="32"/>
        </w:rPr>
        <w:t>9、监督管理全县传染病防治和食品、职业、环境、放射、学校卫生等，依照国家食品、化妆品、消毒产品、保健用品等与健康有关产品的管理规范，负责论证工作。</w:t>
      </w:r>
      <w:r>
        <w:rPr>
          <w:rFonts w:hint="eastAsia" w:ascii="仿宋_GB2312" w:eastAsia="仿宋_GB2312"/>
          <w:sz w:val="32"/>
          <w:szCs w:val="32"/>
        </w:rPr>
        <w:br w:type="textWrapping"/>
      </w:r>
      <w:r>
        <w:rPr>
          <w:rFonts w:hint="eastAsia" w:ascii="仿宋_GB2312" w:eastAsia="仿宋_GB2312"/>
          <w:sz w:val="32"/>
          <w:szCs w:val="32"/>
        </w:rPr>
        <w:t>10、制定全县卫生人才发展规划和卫生人员职业道德规范，执行国家、省、地卫生机构编制标准；组织实施卫生技术人员资格认定，专业技术职称晋升工资福利和卫生行业人才交流工作。</w:t>
      </w:r>
      <w:r>
        <w:rPr>
          <w:rFonts w:hint="eastAsia" w:ascii="仿宋_GB2312" w:eastAsia="仿宋_GB2312"/>
          <w:sz w:val="32"/>
          <w:szCs w:val="32"/>
        </w:rPr>
        <w:br w:type="textWrapping"/>
      </w:r>
      <w:r>
        <w:rPr>
          <w:rFonts w:hint="eastAsia" w:ascii="仿宋_GB2312" w:eastAsia="仿宋_GB2312"/>
          <w:sz w:val="32"/>
          <w:szCs w:val="32"/>
        </w:rPr>
        <w:t>11、贯彻党的中医政策，坚持中西医并重方针制定全县中医事业发展规划，负责全县中医医疗、教学、科研工作，推进中医药的继承、创新与开发。</w:t>
      </w:r>
      <w:r>
        <w:rPr>
          <w:rFonts w:hint="eastAsia" w:ascii="仿宋_GB2312" w:eastAsia="仿宋_GB2312"/>
          <w:sz w:val="32"/>
          <w:szCs w:val="32"/>
        </w:rPr>
        <w:br w:type="textWrapping"/>
      </w:r>
      <w:r>
        <w:rPr>
          <w:rFonts w:hint="eastAsia" w:ascii="仿宋_GB2312" w:eastAsia="仿宋_GB2312"/>
          <w:sz w:val="32"/>
          <w:szCs w:val="32"/>
        </w:rPr>
        <w:t>12、承担县爱国卫生运动委员会、县地方病防治领导小组办公室日常工作。指导医药学会、协会、专业防治机构等学术团体、机构的工作。</w:t>
      </w:r>
      <w:r>
        <w:rPr>
          <w:rFonts w:hint="eastAsia" w:ascii="仿宋_GB2312" w:eastAsia="仿宋_GB2312"/>
          <w:sz w:val="32"/>
          <w:szCs w:val="32"/>
        </w:rPr>
        <w:br w:type="textWrapping"/>
      </w:r>
      <w:r>
        <w:rPr>
          <w:rFonts w:hint="eastAsia" w:ascii="仿宋_GB2312" w:eastAsia="仿宋_GB2312"/>
          <w:sz w:val="32"/>
          <w:szCs w:val="32"/>
        </w:rPr>
        <w:t>13、负责管理政府和民意渠道开展医疗卫生对外交流与合作活动，组织协调全县医疗卫生机构基础设施建设和外援项目的落实，负责卫生援外工作。</w:t>
      </w:r>
      <w:r>
        <w:rPr>
          <w:rFonts w:hint="eastAsia" w:ascii="仿宋_GB2312" w:eastAsia="仿宋_GB2312"/>
          <w:sz w:val="32"/>
          <w:szCs w:val="32"/>
        </w:rPr>
        <w:br w:type="textWrapping"/>
      </w:r>
      <w:r>
        <w:rPr>
          <w:rFonts w:hint="eastAsia" w:ascii="仿宋_GB2312" w:eastAsia="仿宋_GB2312"/>
          <w:sz w:val="32"/>
          <w:szCs w:val="32"/>
        </w:rPr>
        <w:t>14、负责卫生法制建设、监督检查和卫生行政复议工作。</w:t>
      </w:r>
      <w:r>
        <w:rPr>
          <w:rFonts w:hint="eastAsia" w:ascii="仿宋_GB2312" w:eastAsia="仿宋_GB2312"/>
          <w:sz w:val="32"/>
          <w:szCs w:val="32"/>
        </w:rPr>
        <w:br w:type="textWrapping"/>
      </w:r>
      <w:r>
        <w:rPr>
          <w:rFonts w:hint="eastAsia" w:ascii="仿宋_GB2312" w:eastAsia="仿宋_GB2312"/>
          <w:sz w:val="32"/>
          <w:szCs w:val="32"/>
        </w:rPr>
        <w:t>15、承办县政府和上级业务部门交办的其他工作。</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新疆喀什地区塔什库尔干县卫生局</w:t>
      </w:r>
      <w:r>
        <w:rPr>
          <w:rFonts w:hint="eastAsia" w:ascii="仿宋_GB2312" w:eastAsia="仿宋_GB2312"/>
          <w:sz w:val="32"/>
          <w:szCs w:val="32"/>
        </w:rPr>
        <w:t>部门决算包括：</w:t>
      </w:r>
      <w:r>
        <w:rPr>
          <w:rFonts w:ascii="仿宋_GB2312" w:eastAsia="仿宋_GB2312"/>
          <w:sz w:val="32"/>
          <w:szCs w:val="32"/>
        </w:rPr>
        <w:t>新疆喀什地区塔什库尔干县卫生局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新疆喀什地区塔什库尔干县卫生局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5348"/>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78" w:type="dxa"/>
            <w:vAlign w:val="center"/>
          </w:tcPr>
          <w:p>
            <w:pPr>
              <w:spacing w:line="50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5348"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78"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5348"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新疆喀什地区塔什库尔干县卫生局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6,683.71</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，与上年相比，增加2,587.61万元，增长63.17%，增加的主要原因是：</w:t>
      </w:r>
      <w:r>
        <w:rPr>
          <w:rFonts w:hint="eastAsia" w:ascii="仿宋_GB2312" w:eastAsia="仿宋_GB2312"/>
          <w:color w:val="000000" w:themeColor="text1"/>
          <w:sz w:val="32"/>
          <w:szCs w:val="32"/>
        </w:rPr>
        <w:t>政策性调整基本工资、津贴补贴、</w:t>
      </w:r>
      <w:r>
        <w:rPr>
          <w:rFonts w:hint="eastAsia" w:ascii="仿宋_GB2312" w:eastAsia="仿宋_GB2312"/>
          <w:color w:val="000000" w:themeColor="text1"/>
          <w:sz w:val="32"/>
          <w:szCs w:val="32"/>
          <w:lang w:val="en-US" w:eastAsia="zh-CN"/>
        </w:rPr>
        <w:t>高</w:t>
      </w:r>
      <w:r>
        <w:rPr>
          <w:rFonts w:hint="eastAsia" w:ascii="仿宋_GB2312" w:eastAsia="仿宋_GB2312"/>
          <w:color w:val="000000" w:themeColor="text1"/>
          <w:sz w:val="32"/>
          <w:szCs w:val="32"/>
        </w:rPr>
        <w:t>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工资、增加基建项目资金和行政事业项目资金，主要增加阿巴提镇等十二个乡镇场全民健康体检中心建设项目；</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6,879.71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，与上年相比，增加2,979.61万元，增长76.4%，增加的主要原因是：</w:t>
      </w:r>
      <w:r>
        <w:rPr>
          <w:rFonts w:hint="eastAsia" w:ascii="仿宋_GB2312" w:eastAsia="仿宋_GB2312"/>
          <w:color w:val="000000" w:themeColor="text1"/>
          <w:sz w:val="32"/>
          <w:szCs w:val="32"/>
        </w:rPr>
        <w:t>政策性调整基本工资、津贴补贴、</w:t>
      </w:r>
      <w:r>
        <w:rPr>
          <w:rFonts w:hint="eastAsia" w:ascii="仿宋_GB2312" w:eastAsia="仿宋_GB2312"/>
          <w:color w:val="000000" w:themeColor="text1"/>
          <w:sz w:val="32"/>
          <w:szCs w:val="32"/>
          <w:lang w:val="en-US" w:eastAsia="zh-CN"/>
        </w:rPr>
        <w:t>高</w:t>
      </w:r>
      <w:r>
        <w:rPr>
          <w:rFonts w:hint="eastAsia" w:ascii="仿宋_GB2312" w:eastAsia="仿宋_GB2312"/>
          <w:color w:val="000000" w:themeColor="text1"/>
          <w:sz w:val="32"/>
          <w:szCs w:val="32"/>
        </w:rPr>
        <w:t>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工资，增加基建项目资金和行政事业项目资金，主要增加阿巴提镇等十二个乡镇场全民健康体检中心建设项目和2017年结转结余项目自然灾害灾后重建补助</w:t>
      </w:r>
      <w:r>
        <w:rPr>
          <w:rFonts w:hint="eastAsia" w:ascii="仿宋_GB2312" w:eastAsia="仿宋_GB2312"/>
          <w:color w:val="000000" w:themeColor="text1"/>
          <w:sz w:val="32"/>
          <w:szCs w:val="32"/>
          <w:lang w:val="en-US" w:eastAsia="zh-CN"/>
        </w:rPr>
        <w:t>资金在2018年</w:t>
      </w:r>
      <w:r>
        <w:rPr>
          <w:rFonts w:hint="eastAsia" w:ascii="仿宋_GB2312" w:eastAsia="仿宋_GB2312"/>
          <w:color w:val="000000" w:themeColor="text1"/>
          <w:sz w:val="32"/>
          <w:szCs w:val="32"/>
        </w:rPr>
        <w:t>支出；</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，与上年相比，减少196万元，下降100%，减少的主要原因是：</w:t>
      </w:r>
      <w:r>
        <w:rPr>
          <w:rFonts w:hint="eastAsia" w:ascii="仿宋_GB2312" w:eastAsia="仿宋_GB2312"/>
          <w:sz w:val="32"/>
          <w:szCs w:val="32"/>
          <w:lang w:val="en-US" w:eastAsia="zh-CN"/>
        </w:rPr>
        <w:t>2017年结转结余资金在2018年实际形成之出，2018年结转结余资金为零</w:t>
      </w:r>
      <w:r>
        <w:rPr>
          <w:rFonts w:ascii="仿宋_GB2312" w:eastAsia="仿宋_GB2312"/>
          <w:color w:val="000000" w:themeColor="text1"/>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6,683.71</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6,573.46</w:t>
      </w:r>
      <w:r>
        <w:rPr>
          <w:rFonts w:hint="eastAsia" w:ascii="仿宋_GB2312" w:eastAsia="仿宋_GB2312"/>
          <w:color w:val="000000" w:themeColor="text1"/>
          <w:sz w:val="32"/>
          <w:szCs w:val="32"/>
        </w:rPr>
        <w:t>万元，占</w:t>
      </w:r>
      <w:r>
        <w:rPr>
          <w:rFonts w:hint="eastAsia" w:ascii="仿宋_GB2312" w:eastAsia="仿宋_GB2312"/>
          <w:sz w:val="32"/>
          <w:szCs w:val="32"/>
        </w:rPr>
        <w:t>98.35%</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107.27</w:t>
      </w:r>
      <w:r>
        <w:rPr>
          <w:rFonts w:hint="eastAsia" w:ascii="仿宋_GB2312" w:eastAsia="仿宋_GB2312"/>
          <w:color w:val="000000" w:themeColor="text1"/>
          <w:sz w:val="32"/>
          <w:szCs w:val="32"/>
        </w:rPr>
        <w:t>万元，占</w:t>
      </w:r>
      <w:r>
        <w:rPr>
          <w:rFonts w:hint="eastAsia" w:ascii="仿宋_GB2312" w:eastAsia="仿宋_GB2312"/>
          <w:sz w:val="32"/>
          <w:szCs w:val="32"/>
        </w:rPr>
        <w:t>1.6%</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2.98</w:t>
      </w:r>
      <w:r>
        <w:rPr>
          <w:rFonts w:hint="eastAsia" w:ascii="仿宋_GB2312" w:eastAsia="仿宋_GB2312"/>
          <w:color w:val="000000" w:themeColor="text1"/>
          <w:sz w:val="32"/>
          <w:szCs w:val="32"/>
        </w:rPr>
        <w:t>万元，占</w:t>
      </w:r>
      <w:r>
        <w:rPr>
          <w:rFonts w:hint="eastAsia" w:ascii="仿宋_GB2312" w:eastAsia="仿宋_GB2312"/>
          <w:sz w:val="32"/>
          <w:szCs w:val="32"/>
        </w:rPr>
        <w:t>0.04%</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况：本年收入年初预算数4,813.73万元</w:t>
      </w:r>
      <w:r>
        <w:rPr>
          <w:rFonts w:hint="eastAsia" w:ascii="仿宋_GB2312" w:eastAsia="仿宋_GB2312"/>
          <w:sz w:val="32"/>
          <w:szCs w:val="32"/>
        </w:rPr>
        <w:t>，决算数6,683.71万元</w:t>
      </w:r>
      <w:r>
        <w:rPr>
          <w:rFonts w:ascii="仿宋_GB2312" w:eastAsia="仿宋_GB2312"/>
          <w:sz w:val="32"/>
          <w:szCs w:val="32"/>
        </w:rPr>
        <w:t>，预决算差异率38.85%，差异主要原因是政策性调整基本工资、津贴补贴、</w:t>
      </w:r>
      <w:r>
        <w:rPr>
          <w:rFonts w:hint="eastAsia" w:ascii="仿宋_GB2312" w:eastAsia="仿宋_GB2312"/>
          <w:color w:val="000000" w:themeColor="text1"/>
          <w:sz w:val="32"/>
          <w:szCs w:val="32"/>
          <w:lang w:val="en-US" w:eastAsia="zh-CN"/>
        </w:rPr>
        <w:t>高</w:t>
      </w:r>
      <w:r>
        <w:rPr>
          <w:rFonts w:hint="eastAsia" w:ascii="仿宋_GB2312" w:eastAsia="仿宋_GB2312"/>
          <w:color w:val="000000" w:themeColor="text1"/>
          <w:sz w:val="32"/>
          <w:szCs w:val="32"/>
        </w:rPr>
        <w:t>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工</w:t>
      </w:r>
      <w:r>
        <w:rPr>
          <w:rFonts w:ascii="仿宋_GB2312" w:eastAsia="仿宋_GB2312"/>
          <w:sz w:val="32"/>
          <w:szCs w:val="32"/>
        </w:rPr>
        <w:t>资，阿巴提镇等十二个乡镇场全民健康体检中心建设项目和行政事业项目资金未列入年初预算。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6,879.71</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3,642.48</w:t>
      </w:r>
      <w:r>
        <w:rPr>
          <w:rFonts w:hint="eastAsia" w:ascii="仿宋_GB2312" w:eastAsia="仿宋_GB2312"/>
          <w:color w:val="000000" w:themeColor="text1"/>
          <w:sz w:val="32"/>
          <w:szCs w:val="32"/>
        </w:rPr>
        <w:t>万元，占</w:t>
      </w:r>
      <w:r>
        <w:rPr>
          <w:rFonts w:hint="eastAsia" w:ascii="仿宋_GB2312" w:eastAsia="仿宋_GB2312"/>
          <w:sz w:val="32"/>
          <w:szCs w:val="32"/>
        </w:rPr>
        <w:t>52.95%</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3,237.23</w:t>
      </w:r>
      <w:r>
        <w:rPr>
          <w:rFonts w:hint="eastAsia" w:ascii="仿宋_GB2312" w:eastAsia="仿宋_GB2312"/>
          <w:color w:val="000000" w:themeColor="text1"/>
          <w:sz w:val="32"/>
          <w:szCs w:val="32"/>
        </w:rPr>
        <w:t>万元，占</w:t>
      </w:r>
      <w:r>
        <w:rPr>
          <w:rFonts w:hint="eastAsia" w:ascii="仿宋_GB2312" w:eastAsia="仿宋_GB2312"/>
          <w:sz w:val="32"/>
          <w:szCs w:val="32"/>
        </w:rPr>
        <w:t>47.05%</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hint="eastAsia" w:ascii="仿宋_GB2312" w:eastAsia="仿宋_GB2312"/>
          <w:sz w:val="32"/>
          <w:szCs w:val="32"/>
          <w:lang w:eastAsia="zh-CN"/>
        </w:rPr>
      </w:pPr>
      <w:bookmarkStart w:id="22" w:name="OLE_LINK56"/>
      <w:r>
        <w:rPr>
          <w:rFonts w:hint="eastAsia" w:ascii="仿宋_GB2312" w:eastAsia="仿宋_GB2312"/>
          <w:color w:val="000000" w:themeColor="text1"/>
          <w:sz w:val="32"/>
          <w:szCs w:val="32"/>
        </w:rPr>
        <w:t>与年初预算数相比情况：本年支出年初预算数4,813.73万元，</w:t>
      </w:r>
      <w:r>
        <w:rPr>
          <w:rFonts w:hint="eastAsia" w:ascii="仿宋_GB2312" w:eastAsia="仿宋_GB2312"/>
          <w:sz w:val="32"/>
          <w:szCs w:val="32"/>
        </w:rPr>
        <w:t>决算数6,879.71万元</w:t>
      </w:r>
      <w:r>
        <w:rPr>
          <w:rFonts w:ascii="仿宋_GB2312" w:eastAsia="仿宋_GB2312"/>
          <w:sz w:val="32"/>
          <w:szCs w:val="32"/>
        </w:rPr>
        <w:t>，预决算差异率42.92%，差异主要原因是</w:t>
      </w:r>
      <w:bookmarkEnd w:id="22"/>
      <w:r>
        <w:rPr>
          <w:rFonts w:ascii="仿宋_GB2312" w:eastAsia="仿宋_GB2312"/>
          <w:sz w:val="32"/>
          <w:szCs w:val="32"/>
        </w:rPr>
        <w:t>政策性调整基本工资、津贴补贴、</w:t>
      </w:r>
      <w:r>
        <w:rPr>
          <w:rFonts w:hint="eastAsia" w:ascii="仿宋_GB2312" w:eastAsia="仿宋_GB2312"/>
          <w:color w:val="000000" w:themeColor="text1"/>
          <w:sz w:val="32"/>
          <w:szCs w:val="32"/>
          <w:lang w:val="en-US" w:eastAsia="zh-CN"/>
        </w:rPr>
        <w:t>高</w:t>
      </w:r>
      <w:r>
        <w:rPr>
          <w:rFonts w:hint="eastAsia" w:ascii="仿宋_GB2312" w:eastAsia="仿宋_GB2312"/>
          <w:color w:val="000000" w:themeColor="text1"/>
          <w:sz w:val="32"/>
          <w:szCs w:val="32"/>
        </w:rPr>
        <w:t>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工</w:t>
      </w:r>
      <w:r>
        <w:rPr>
          <w:rFonts w:ascii="仿宋_GB2312" w:eastAsia="仿宋_GB2312"/>
          <w:sz w:val="32"/>
          <w:szCs w:val="32"/>
        </w:rPr>
        <w:t>资，阿巴提镇等十二个乡镇场全民健康体检中心建设项目和行政事业项目资金未列入年初预算</w:t>
      </w:r>
      <w:r>
        <w:rPr>
          <w:rFonts w:hint="eastAsia" w:ascii="仿宋_GB2312" w:eastAsia="仿宋_GB2312"/>
          <w:sz w:val="32"/>
          <w:szCs w:val="32"/>
          <w:lang w:eastAsia="zh-CN"/>
        </w:rPr>
        <w:t>，</w:t>
      </w:r>
      <w:r>
        <w:rPr>
          <w:rFonts w:ascii="仿宋_GB2312" w:eastAsia="仿宋_GB2312"/>
          <w:color w:val="000000" w:themeColor="text1"/>
          <w:sz w:val="32"/>
          <w:szCs w:val="32"/>
        </w:rPr>
        <w:t>以及2017年结转结余项目自然灾害灾后重建补助</w:t>
      </w:r>
      <w:r>
        <w:rPr>
          <w:rFonts w:hint="eastAsia" w:ascii="仿宋_GB2312" w:eastAsia="仿宋_GB2312"/>
          <w:color w:val="000000" w:themeColor="text1"/>
          <w:sz w:val="32"/>
          <w:szCs w:val="32"/>
          <w:lang w:val="en-US" w:eastAsia="zh-CN"/>
        </w:rPr>
        <w:t>资金在本年</w:t>
      </w:r>
      <w:r>
        <w:rPr>
          <w:rFonts w:ascii="仿宋_GB2312" w:eastAsia="仿宋_GB2312"/>
          <w:color w:val="000000" w:themeColor="text1"/>
          <w:sz w:val="32"/>
          <w:szCs w:val="32"/>
        </w:rPr>
        <w:t>支出。</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6,573.46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，与上年相比，增加3,071.97万元，增长87.73%，增加的主要原因是：政策性调整基本工资、津贴补贴、海拔工资、增加阿巴提镇等十二个乡镇场全民健康体检中心建设项目和行政事业项目资金。</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6,769.46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，与上年相比，增加3,463.97万元，增长104.79%，增加的主要原因是：</w:t>
      </w:r>
      <w:r>
        <w:rPr>
          <w:rFonts w:ascii="仿宋_GB2312" w:eastAsia="仿宋_GB2312"/>
          <w:sz w:val="32"/>
          <w:szCs w:val="32"/>
        </w:rPr>
        <w:t>政策性调整基本工资、津贴补贴、海拔工资、增加阿巴提镇等十二个乡镇场全民健康体检中心建设项目和行政事业项目资金，以及2017年结转结余项目自然灾害灾后重建补助</w:t>
      </w:r>
      <w:r>
        <w:rPr>
          <w:rFonts w:hint="eastAsia" w:ascii="仿宋_GB2312" w:eastAsia="仿宋_GB2312"/>
          <w:sz w:val="32"/>
          <w:szCs w:val="32"/>
          <w:lang w:val="en-US" w:eastAsia="zh-CN"/>
        </w:rPr>
        <w:t>资金在本年</w:t>
      </w:r>
      <w:r>
        <w:rPr>
          <w:rFonts w:ascii="仿宋_GB2312" w:eastAsia="仿宋_GB2312"/>
          <w:sz w:val="32"/>
          <w:szCs w:val="32"/>
        </w:rPr>
        <w:t>支出。</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3,532.23</w:t>
      </w:r>
      <w:r>
        <w:rPr>
          <w:rFonts w:hint="eastAsia" w:ascii="仿宋_GB2312" w:eastAsia="仿宋_GB2312"/>
          <w:color w:val="000000" w:themeColor="text1"/>
          <w:sz w:val="32"/>
          <w:szCs w:val="32"/>
        </w:rPr>
        <w:t>万元，项目支出</w:t>
      </w:r>
      <w:r>
        <w:rPr>
          <w:rFonts w:hint="eastAsia" w:ascii="仿宋_GB2312" w:eastAsia="仿宋_GB2312"/>
          <w:sz w:val="32"/>
          <w:szCs w:val="32"/>
        </w:rPr>
        <w:t>3,237.23</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，与上年相比，减少196万元，下降100%，减少的主要原因是：</w:t>
      </w:r>
      <w:r>
        <w:rPr>
          <w:rFonts w:hint="eastAsia" w:ascii="仿宋_GB2312" w:eastAsia="仿宋_GB2312"/>
          <w:sz w:val="32"/>
          <w:szCs w:val="32"/>
          <w:lang w:val="en-US" w:eastAsia="zh-CN"/>
        </w:rPr>
        <w:t>2017年结转结余资金在2018年形成支出，</w:t>
      </w:r>
      <w:r>
        <w:rPr>
          <w:rFonts w:hint="eastAsia" w:ascii="仿宋_GB2312" w:eastAsia="仿宋_GB2312"/>
          <w:sz w:val="32"/>
          <w:szCs w:val="32"/>
        </w:rPr>
        <w:t>本年无结余。</w:t>
      </w:r>
      <w:bookmarkEnd w:id="29"/>
    </w:p>
    <w:p>
      <w:pPr>
        <w:spacing w:line="540" w:lineRule="exact"/>
        <w:ind w:firstLine="640" w:firstLineChars="200"/>
        <w:rPr>
          <w:rFonts w:hint="eastAsia" w:ascii="仿宋_GB2312" w:eastAsia="仿宋_GB2312"/>
          <w:color w:val="000000" w:themeColor="text1"/>
          <w:sz w:val="32"/>
          <w:szCs w:val="32"/>
          <w:lang w:eastAsia="zh-CN"/>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4,813.73</w:t>
      </w:r>
      <w:r>
        <w:rPr>
          <w:rFonts w:hint="eastAsia" w:ascii="仿宋_GB2312" w:eastAsia="仿宋_GB2312"/>
          <w:color w:val="000000" w:themeColor="text1"/>
          <w:sz w:val="32"/>
          <w:szCs w:val="32"/>
        </w:rPr>
        <w:t>万元，决算数</w:t>
      </w:r>
      <w:r>
        <w:rPr>
          <w:rFonts w:hint="eastAsia" w:ascii="仿宋_GB2312" w:eastAsia="仿宋_GB2312"/>
          <w:sz w:val="32"/>
          <w:szCs w:val="32"/>
        </w:rPr>
        <w:t>6,573.46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，预决算差异率36.56%，差异主要原因是</w:t>
      </w:r>
      <w:r>
        <w:rPr>
          <w:rFonts w:ascii="仿宋_GB2312" w:eastAsia="仿宋_GB2312"/>
          <w:sz w:val="32"/>
          <w:szCs w:val="32"/>
        </w:rPr>
        <w:t>政策性调整基本工资、津贴补贴、</w:t>
      </w:r>
      <w:r>
        <w:rPr>
          <w:rFonts w:hint="eastAsia" w:ascii="仿宋_GB2312" w:eastAsia="仿宋_GB2312"/>
          <w:color w:val="000000" w:themeColor="text1"/>
          <w:sz w:val="32"/>
          <w:szCs w:val="32"/>
          <w:lang w:val="en-US" w:eastAsia="zh-CN"/>
        </w:rPr>
        <w:t>高</w:t>
      </w:r>
      <w:r>
        <w:rPr>
          <w:rFonts w:hint="eastAsia" w:ascii="仿宋_GB2312" w:eastAsia="仿宋_GB2312"/>
          <w:color w:val="000000" w:themeColor="text1"/>
          <w:sz w:val="32"/>
          <w:szCs w:val="32"/>
        </w:rPr>
        <w:t>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工</w:t>
      </w:r>
      <w:r>
        <w:rPr>
          <w:rFonts w:ascii="仿宋_GB2312" w:eastAsia="仿宋_GB2312"/>
          <w:sz w:val="32"/>
          <w:szCs w:val="32"/>
        </w:rPr>
        <w:t>资，阿巴提镇等十二个乡镇场全民健康体检中心建设项目和行政事业项目资金未列入年初预算</w:t>
      </w:r>
      <w:r>
        <w:rPr>
          <w:rFonts w:ascii="仿宋_GB2312" w:eastAsia="仿宋_GB2312"/>
          <w:color w:val="000000" w:themeColor="text1"/>
          <w:sz w:val="32"/>
          <w:szCs w:val="32"/>
        </w:rPr>
        <w:t>。</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4,813.73</w:t>
      </w:r>
      <w:r>
        <w:rPr>
          <w:rFonts w:hint="eastAsia" w:ascii="仿宋_GB2312" w:eastAsia="仿宋_GB2312"/>
          <w:color w:val="000000" w:themeColor="text1"/>
          <w:sz w:val="32"/>
          <w:szCs w:val="32"/>
        </w:rPr>
        <w:t>万元，决算数</w:t>
      </w:r>
      <w:r>
        <w:rPr>
          <w:rFonts w:hint="eastAsia" w:ascii="仿宋_GB2312" w:eastAsia="仿宋_GB2312"/>
          <w:sz w:val="32"/>
          <w:szCs w:val="32"/>
        </w:rPr>
        <w:t>6,769.46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，预决算差异率40.63%，差异主要原因是</w:t>
      </w:r>
      <w:bookmarkEnd w:id="33"/>
      <w:r>
        <w:rPr>
          <w:rFonts w:ascii="仿宋_GB2312" w:eastAsia="仿宋_GB2312"/>
          <w:sz w:val="32"/>
          <w:szCs w:val="32"/>
        </w:rPr>
        <w:t>政策性调整基本工资、津贴补贴、</w:t>
      </w:r>
      <w:r>
        <w:rPr>
          <w:rFonts w:hint="eastAsia" w:ascii="仿宋_GB2312" w:eastAsia="仿宋_GB2312"/>
          <w:color w:val="000000" w:themeColor="text1"/>
          <w:sz w:val="32"/>
          <w:szCs w:val="32"/>
          <w:lang w:val="en-US" w:eastAsia="zh-CN"/>
        </w:rPr>
        <w:t>高</w:t>
      </w:r>
      <w:r>
        <w:rPr>
          <w:rFonts w:hint="eastAsia" w:ascii="仿宋_GB2312" w:eastAsia="仿宋_GB2312"/>
          <w:color w:val="000000" w:themeColor="text1"/>
          <w:sz w:val="32"/>
          <w:szCs w:val="32"/>
        </w:rPr>
        <w:t>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工</w:t>
      </w:r>
      <w:r>
        <w:rPr>
          <w:rFonts w:ascii="仿宋_GB2312" w:eastAsia="仿宋_GB2312"/>
          <w:sz w:val="32"/>
          <w:szCs w:val="32"/>
        </w:rPr>
        <w:t>资，阿巴提镇等十二个乡镇场全民健康体检中心建设项目和行政事业项目资金未列入年初预算</w:t>
      </w:r>
      <w:r>
        <w:rPr>
          <w:rFonts w:hint="eastAsia" w:ascii="仿宋_GB2312" w:eastAsia="仿宋_GB2312"/>
          <w:sz w:val="32"/>
          <w:szCs w:val="32"/>
          <w:lang w:eastAsia="zh-CN"/>
        </w:rPr>
        <w:t>，</w:t>
      </w:r>
      <w:r>
        <w:rPr>
          <w:rFonts w:ascii="仿宋_GB2312" w:eastAsia="仿宋_GB2312"/>
          <w:color w:val="000000" w:themeColor="text1"/>
          <w:sz w:val="32"/>
          <w:szCs w:val="32"/>
        </w:rPr>
        <w:t>以及2017年结转结余项目自然灾害灾后重建补助</w:t>
      </w:r>
      <w:r>
        <w:rPr>
          <w:rFonts w:hint="eastAsia" w:ascii="仿宋_GB2312" w:eastAsia="仿宋_GB2312"/>
          <w:color w:val="000000" w:themeColor="text1"/>
          <w:sz w:val="32"/>
          <w:szCs w:val="32"/>
          <w:lang w:val="en-US" w:eastAsia="zh-CN"/>
        </w:rPr>
        <w:t>资金在本年</w:t>
      </w:r>
      <w:r>
        <w:rPr>
          <w:rFonts w:ascii="仿宋_GB2312" w:eastAsia="仿宋_GB2312"/>
          <w:color w:val="000000" w:themeColor="text1"/>
          <w:sz w:val="32"/>
          <w:szCs w:val="32"/>
        </w:rPr>
        <w:t>支出。</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6,527.46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3,025.97万元，增长86.42%，增加的主要原因是：政策性调整基本工资、津贴补贴、海拔工资、增加基建项目资金和行政事业项目资金，主要增加阿巴提镇等十二个乡镇场全民健康体检中心建设项目。</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6,723.46</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3,417.97万元，增长103.4%，增加的主要原因是：政策性调整基本工资、津贴补贴、海拔工资、增加阿巴提镇等十二个乡镇场全民健康体检中心建设项目和行政事业项目资金，以及2017年结转结余项目自然灾害灾后重建补助</w:t>
      </w:r>
      <w:r>
        <w:rPr>
          <w:rFonts w:hint="eastAsia" w:ascii="仿宋_GB2312" w:eastAsia="仿宋_GB2312"/>
          <w:sz w:val="32"/>
          <w:szCs w:val="32"/>
          <w:lang w:val="en-US" w:eastAsia="zh-CN"/>
        </w:rPr>
        <w:t>资金在本年</w:t>
      </w:r>
      <w:r>
        <w:rPr>
          <w:rFonts w:hint="eastAsia" w:ascii="仿宋_GB2312" w:eastAsia="仿宋_GB2312"/>
          <w:sz w:val="32"/>
          <w:szCs w:val="32"/>
        </w:rPr>
        <w:t>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医疗卫生与计划生育支出4,193.67万元,住房保障支出6.59万元,农林水支出2,036万元,社会保障和就业支出487.2万元。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工资福利支出3,095.16万元,商品和</w:t>
      </w:r>
      <w:bookmarkStart w:id="92" w:name="_GoBack"/>
      <w:bookmarkEnd w:id="92"/>
      <w:r>
        <w:rPr>
          <w:rFonts w:hint="eastAsia" w:ascii="仿宋_GB2312" w:eastAsia="仿宋_GB2312"/>
          <w:sz w:val="32"/>
          <w:szCs w:val="32"/>
        </w:rPr>
        <w:t>服务支出1,284.37万元,</w:t>
      </w:r>
      <w:r>
        <w:rPr>
          <w:rFonts w:hint="eastAsia" w:ascii="仿宋_GB2312" w:eastAsia="仿宋_GB2312"/>
          <w:sz w:val="32"/>
          <w:szCs w:val="32"/>
          <w:lang w:eastAsia="zh-CN"/>
        </w:rPr>
        <w:t>对个人和家庭的补助支出</w:t>
      </w:r>
      <w:r>
        <w:rPr>
          <w:rFonts w:hint="eastAsia" w:ascii="仿宋_GB2312" w:eastAsia="仿宋_GB2312"/>
          <w:sz w:val="32"/>
          <w:szCs w:val="32"/>
          <w:lang w:val="en-US" w:eastAsia="zh-CN"/>
        </w:rPr>
        <w:t>111.93</w:t>
      </w:r>
      <w:r>
        <w:rPr>
          <w:rFonts w:hint="eastAsia" w:ascii="仿宋_GB2312" w:eastAsia="仿宋_GB2312"/>
          <w:sz w:val="32"/>
          <w:szCs w:val="32"/>
          <w:lang w:eastAsia="zh-CN"/>
        </w:rPr>
        <w:t>万元</w:t>
      </w:r>
      <w:r>
        <w:rPr>
          <w:rFonts w:hint="default" w:ascii="仿宋_GB2312" w:eastAsia="仿宋_GB2312"/>
          <w:sz w:val="32"/>
          <w:szCs w:val="32"/>
          <w:lang w:val="en-US"/>
        </w:rPr>
        <w:t>,</w:t>
      </w:r>
      <w:r>
        <w:rPr>
          <w:rFonts w:hint="eastAsia" w:ascii="仿宋_GB2312" w:eastAsia="仿宋_GB2312"/>
          <w:sz w:val="32"/>
          <w:szCs w:val="32"/>
        </w:rPr>
        <w:t>资本性支出（基本建设）2,232万元。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4,813.73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6,527.46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，预决算差异率35.6%，差异主要原因是</w:t>
      </w:r>
      <w:r>
        <w:rPr>
          <w:rFonts w:ascii="仿宋_GB2312" w:eastAsia="仿宋_GB2312"/>
          <w:sz w:val="32"/>
          <w:szCs w:val="32"/>
        </w:rPr>
        <w:t>政策性调整基本工资、津贴补贴、</w:t>
      </w:r>
      <w:r>
        <w:rPr>
          <w:rFonts w:hint="eastAsia" w:ascii="仿宋_GB2312" w:eastAsia="仿宋_GB2312"/>
          <w:color w:val="000000" w:themeColor="text1"/>
          <w:sz w:val="32"/>
          <w:szCs w:val="32"/>
          <w:lang w:val="en-US" w:eastAsia="zh-CN"/>
        </w:rPr>
        <w:t>高</w:t>
      </w:r>
      <w:r>
        <w:rPr>
          <w:rFonts w:hint="eastAsia" w:ascii="仿宋_GB2312" w:eastAsia="仿宋_GB2312"/>
          <w:color w:val="000000" w:themeColor="text1"/>
          <w:sz w:val="32"/>
          <w:szCs w:val="32"/>
        </w:rPr>
        <w:t>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工</w:t>
      </w:r>
      <w:r>
        <w:rPr>
          <w:rFonts w:ascii="仿宋_GB2312" w:eastAsia="仿宋_GB2312"/>
          <w:sz w:val="32"/>
          <w:szCs w:val="32"/>
        </w:rPr>
        <w:t>资，阿巴提镇等十二个乡镇场全民健康体检中心建设项目和行政事业项目资金未列入年初预算</w:t>
      </w:r>
      <w:r>
        <w:rPr>
          <w:rFonts w:ascii="仿宋_GB2312" w:eastAsia="仿宋_GB2312"/>
          <w:color w:val="000000" w:themeColor="text1"/>
          <w:sz w:val="32"/>
          <w:szCs w:val="32"/>
        </w:rPr>
        <w:t>。</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4,813.73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6,723.46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，预决算差异率39.67%，差异主要原因是</w:t>
      </w:r>
      <w:r>
        <w:rPr>
          <w:rFonts w:ascii="仿宋_GB2312" w:eastAsia="仿宋_GB2312"/>
          <w:sz w:val="32"/>
          <w:szCs w:val="32"/>
        </w:rPr>
        <w:t>政策性调整基本工资、津贴补贴、</w:t>
      </w:r>
      <w:r>
        <w:rPr>
          <w:rFonts w:hint="eastAsia" w:ascii="仿宋_GB2312" w:eastAsia="仿宋_GB2312"/>
          <w:color w:val="000000" w:themeColor="text1"/>
          <w:sz w:val="32"/>
          <w:szCs w:val="32"/>
          <w:lang w:val="en-US" w:eastAsia="zh-CN"/>
        </w:rPr>
        <w:t>高</w:t>
      </w:r>
      <w:r>
        <w:rPr>
          <w:rFonts w:hint="eastAsia" w:ascii="仿宋_GB2312" w:eastAsia="仿宋_GB2312"/>
          <w:color w:val="000000" w:themeColor="text1"/>
          <w:sz w:val="32"/>
          <w:szCs w:val="32"/>
        </w:rPr>
        <w:t>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工</w:t>
      </w:r>
      <w:r>
        <w:rPr>
          <w:rFonts w:ascii="仿宋_GB2312" w:eastAsia="仿宋_GB2312"/>
          <w:sz w:val="32"/>
          <w:szCs w:val="32"/>
        </w:rPr>
        <w:t>资，阿巴提镇等十二个乡镇场全民健康体检中心建设项目和行政事业项目资金未列入年初预算</w:t>
      </w:r>
      <w:r>
        <w:rPr>
          <w:rFonts w:hint="eastAsia" w:ascii="仿宋_GB2312" w:eastAsia="仿宋_GB2312"/>
          <w:sz w:val="32"/>
          <w:szCs w:val="32"/>
          <w:lang w:eastAsia="zh-CN"/>
        </w:rPr>
        <w:t>，</w:t>
      </w:r>
      <w:r>
        <w:rPr>
          <w:rFonts w:ascii="仿宋_GB2312" w:eastAsia="仿宋_GB2312"/>
          <w:color w:val="000000" w:themeColor="text1"/>
          <w:sz w:val="32"/>
          <w:szCs w:val="32"/>
        </w:rPr>
        <w:t>以及2017年结转结余项目自然灾害灾后重建补助</w:t>
      </w:r>
      <w:r>
        <w:rPr>
          <w:rFonts w:hint="eastAsia" w:ascii="仿宋_GB2312" w:eastAsia="仿宋_GB2312"/>
          <w:color w:val="000000" w:themeColor="text1"/>
          <w:sz w:val="32"/>
          <w:szCs w:val="32"/>
          <w:lang w:val="en-US" w:eastAsia="zh-CN"/>
        </w:rPr>
        <w:t>资金在本年</w:t>
      </w:r>
      <w:r>
        <w:rPr>
          <w:rFonts w:ascii="仿宋_GB2312" w:eastAsia="仿宋_GB2312"/>
          <w:color w:val="000000" w:themeColor="text1"/>
          <w:sz w:val="32"/>
          <w:szCs w:val="32"/>
        </w:rPr>
        <w:t>支出。</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46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，与上年相比，增加46万元，增长100%，增加的主要原因是：增加全民健康体检补助费。</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46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，与上年相比，增加46万元，增长100%，增加的主要原因是：增加全民健康体检补助费。</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，其他支出46万元。按经济分类科目（按类级科目公开），对个人和家庭的补助46万元。</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0%，差异主要原因是2017年无政府性基金拨款收入，遂2018</w:t>
      </w:r>
      <w:r>
        <w:rPr>
          <w:rFonts w:hint="eastAsia" w:ascii="仿宋_GB2312" w:eastAsia="仿宋_GB2312"/>
          <w:color w:val="000000" w:themeColor="text1"/>
          <w:sz w:val="32"/>
          <w:szCs w:val="32"/>
          <w:lang w:eastAsia="zh-CN"/>
        </w:rPr>
        <w:t>年</w:t>
      </w:r>
      <w:r>
        <w:rPr>
          <w:rFonts w:ascii="仿宋_GB2312" w:eastAsia="仿宋_GB2312"/>
          <w:color w:val="000000" w:themeColor="text1"/>
          <w:sz w:val="32"/>
          <w:szCs w:val="32"/>
        </w:rPr>
        <w:t>未做政府性基金预算。</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46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0%，差异主要原因是2017年无政府性基金政拨款支出，遂2018年未做政府性基金预算。</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。与上年相比，减少196万元，下降100%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。与上年相比，减少196万元，下降100%。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0.5</w:t>
      </w:r>
      <w:r>
        <w:rPr>
          <w:rFonts w:hint="eastAsia" w:ascii="仿宋_GB2312" w:eastAsia="仿宋_GB2312"/>
          <w:color w:val="000000" w:themeColor="text1"/>
          <w:sz w:val="32"/>
          <w:szCs w:val="32"/>
        </w:rPr>
        <w:t>万元</w:t>
      </w:r>
      <w:r>
        <w:rPr>
          <w:rFonts w:hint="eastAsia" w:ascii="仿宋_GB2312" w:eastAsia="仿宋_GB2312"/>
          <w:sz w:val="32"/>
          <w:szCs w:val="32"/>
        </w:rPr>
        <w:t>，</w:t>
      </w:r>
      <w:r>
        <w:rPr>
          <w:rFonts w:hint="eastAsia" w:ascii="仿宋_GB2312" w:eastAsia="仿宋_GB2312"/>
          <w:sz w:val="32"/>
          <w:szCs w:val="32"/>
          <w:highlight w:val="none"/>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rPr>
        <w:t>。</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0.5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rPr>
        <w:t>；</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新疆喀什地区塔什库尔干县卫生局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0.5</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0.5</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车辆加油</w:t>
      </w:r>
      <w:r>
        <w:rPr>
          <w:rFonts w:hint="eastAsia" w:ascii="仿宋_GB2312" w:eastAsia="仿宋_GB2312"/>
          <w:sz w:val="32"/>
          <w:szCs w:val="32"/>
          <w:lang w:eastAsia="zh-CN"/>
        </w:rPr>
        <w:t>、保险</w:t>
      </w:r>
      <w:r>
        <w:rPr>
          <w:rFonts w:hint="eastAsia" w:ascii="仿宋_GB2312" w:eastAsia="仿宋_GB2312"/>
          <w:sz w:val="32"/>
          <w:szCs w:val="32"/>
        </w:rPr>
        <w:t>及公务用车运行维护费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3</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新疆喀什地区塔什库尔干县卫生局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4</w:t>
      </w:r>
      <w:r>
        <w:rPr>
          <w:rFonts w:hint="eastAsia" w:ascii="仿宋_GB2312" w:eastAsia="仿宋_GB2312"/>
          <w:color w:val="000000" w:themeColor="text1"/>
          <w:sz w:val="32"/>
          <w:szCs w:val="32"/>
        </w:rPr>
        <w:t>万元，决算数0.5万元</w:t>
      </w:r>
      <w:r>
        <w:rPr>
          <w:rFonts w:ascii="仿宋_GB2312" w:eastAsia="仿宋_GB2312"/>
          <w:color w:val="000000" w:themeColor="text1"/>
          <w:sz w:val="32"/>
          <w:szCs w:val="32"/>
        </w:rPr>
        <w:t>，预决算差异率-87.5%，差异主要原因是严格控制公务用车外出次数及运行维护费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，压减“三公”经费支出。</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hAnsi="宋体" w:eastAsia="仿宋_GB2312" w:cs="宋体"/>
          <w:color w:val="000000" w:themeColor="text1"/>
          <w:kern w:val="0"/>
          <w:sz w:val="32"/>
          <w:szCs w:val="32"/>
        </w:rPr>
        <w:t>公务用车购置</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，预决算差异率-87.5%，差异主要原因是严格控制公务用车外出次数及运行维护费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hAnsi="宋体" w:eastAsia="仿宋_GB2312" w:cs="宋体"/>
          <w:color w:val="000000" w:themeColor="text1"/>
          <w:kern w:val="0"/>
          <w:sz w:val="32"/>
          <w:szCs w:val="32"/>
        </w:rPr>
        <w:t>公务接待费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2018年度新疆喀什地区塔什库尔干县卫生局机关运行经费支出15.29万元，与上年相比，减少41.22万元，下降72.94%，减少的主要原因是：减少差旅费、维修费、会议费、培训费。</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286.59</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280.9</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5.69</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3</w:t>
      </w:r>
      <w:r>
        <w:rPr>
          <w:rFonts w:hint="eastAsia" w:ascii="仿宋_GB2312" w:eastAsia="仿宋_GB2312"/>
          <w:color w:val="000000" w:themeColor="text1"/>
          <w:sz w:val="32"/>
          <w:szCs w:val="32"/>
        </w:rPr>
        <w:t>辆，价值</w:t>
      </w:r>
      <w:r>
        <w:rPr>
          <w:rFonts w:hint="eastAsia" w:ascii="仿宋_GB2312" w:eastAsia="仿宋_GB2312"/>
          <w:sz w:val="32"/>
          <w:szCs w:val="32"/>
        </w:rPr>
        <w:t>49.52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3</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本部门实行绩效管理的项目8个，涉及预算数365.93万元、决算数3237.23万元、执行率100%。本单位项目2018年严格执行预算绩效管理工作要求，成立绩效管理领导小组，对项目严格进行事前、事中、事后全过程监控，按时申报项目绩效目标表、监控表、自评表、自评报告、总结经验，发现不足，及时进行整改，确保各项目如期完成。</w:t>
      </w:r>
    </w:p>
    <w:p>
      <w:pPr>
        <w:spacing w:line="540" w:lineRule="exact"/>
        <w:ind w:left="-1" w:right="-1" w:firstLine="646"/>
        <w:jc w:val="left"/>
      </w:pPr>
      <w:r>
        <w:rPr>
          <w:rFonts w:ascii="仿宋_GB2312" w:hAnsi="仿宋_GB2312" w:eastAsia="仿宋_GB2312" w:cs="仿宋_GB2312"/>
          <w:b w:val="0"/>
          <w:color w:val="auto"/>
          <w:sz w:val="32"/>
          <w:u w:val="none"/>
        </w:rPr>
        <w:t>1、重大公共卫生补助资金项目绩效自评综述：根据年初设定的绩效目标，该项目绩效自评得分为90分。项目全年预算数为571.81万元，执行数为571.81万元，完成预算的100%。主要产出和效果：支持扩大国家免疫规划、艾滋病防治、结核病防治、精神卫生和慢性病防治工作；二是根据普遍因素和特定因素核定补助资金，用于妇幼健康服务、老年健康服务、医养结合、食品安全保障、卫生监督管理以及其他疾病预防控制等工作。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2、中医民族医药馆建设项目绩效自评综述：根据年初设定的绩效目标，该项目绩效自评得分为88分。项目全年预算数为</w:t>
      </w:r>
      <w:r>
        <w:rPr>
          <w:rFonts w:hint="eastAsia" w:ascii="仿宋_GB2312" w:hAnsi="仿宋_GB2312" w:eastAsia="仿宋_GB2312" w:cs="仿宋_GB2312"/>
          <w:b w:val="0"/>
          <w:color w:val="auto"/>
          <w:sz w:val="32"/>
          <w:u w:val="none"/>
          <w:lang w:val="en-US" w:eastAsia="zh-CN"/>
        </w:rPr>
        <w:t>30</w:t>
      </w:r>
      <w:r>
        <w:rPr>
          <w:rFonts w:ascii="仿宋_GB2312" w:hAnsi="仿宋_GB2312" w:eastAsia="仿宋_GB2312" w:cs="仿宋_GB2312"/>
          <w:b w:val="0"/>
          <w:color w:val="auto"/>
          <w:sz w:val="32"/>
          <w:u w:val="none"/>
        </w:rPr>
        <w:t>万元，执行数为</w:t>
      </w:r>
      <w:r>
        <w:rPr>
          <w:rFonts w:hint="eastAsia" w:ascii="仿宋_GB2312" w:hAnsi="仿宋_GB2312" w:eastAsia="仿宋_GB2312" w:cs="仿宋_GB2312"/>
          <w:b w:val="0"/>
          <w:color w:val="auto"/>
          <w:sz w:val="32"/>
          <w:u w:val="none"/>
          <w:lang w:val="en-US" w:eastAsia="zh-CN"/>
        </w:rPr>
        <w:t>30</w:t>
      </w:r>
      <w:r>
        <w:rPr>
          <w:rFonts w:ascii="仿宋_GB2312" w:hAnsi="仿宋_GB2312" w:eastAsia="仿宋_GB2312" w:cs="仿宋_GB2312"/>
          <w:b w:val="0"/>
          <w:color w:val="auto"/>
          <w:sz w:val="32"/>
          <w:u w:val="none"/>
        </w:rPr>
        <w:t>万元，完成预算的100%。主要产出和效果：加强中医民族医药馆建设;加强中医医疗体系建设；积极发展中医预防保健服务</w:t>
      </w:r>
      <w:r>
        <w:rPr>
          <w:rFonts w:hint="eastAsia" w:ascii="仿宋_GB2312" w:hAnsi="仿宋_GB2312" w:eastAsia="仿宋_GB2312" w:cs="仿宋_GB2312"/>
          <w:b w:val="0"/>
          <w:color w:val="auto"/>
          <w:sz w:val="32"/>
          <w:u w:val="none"/>
          <w:lang w:val="en-US" w:eastAsia="zh-CN"/>
        </w:rPr>
        <w:t>。</w:t>
      </w:r>
      <w:r>
        <w:rPr>
          <w:rFonts w:ascii="仿宋_GB2312" w:hAnsi="仿宋_GB2312" w:eastAsia="仿宋_GB2312" w:cs="仿宋_GB2312"/>
          <w:b w:val="0"/>
          <w:color w:val="auto"/>
          <w:sz w:val="32"/>
          <w:u w:val="none"/>
        </w:rPr>
        <w:t>发现的问题及原因：中医民族医药馆建设项目没有按时落实，导致项目达不到绩效目标</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下一步改进措施：尽快</w:t>
      </w:r>
      <w:r>
        <w:rPr>
          <w:rFonts w:hint="eastAsia" w:ascii="仿宋_GB2312" w:hAnsi="仿宋_GB2312" w:eastAsia="仿宋_GB2312" w:cs="仿宋_GB2312"/>
          <w:b w:val="0"/>
          <w:color w:val="auto"/>
          <w:sz w:val="32"/>
          <w:u w:val="none"/>
          <w:lang w:val="en-US" w:eastAsia="zh-CN"/>
        </w:rPr>
        <w:t>督促</w:t>
      </w:r>
      <w:r>
        <w:rPr>
          <w:rFonts w:ascii="仿宋_GB2312" w:hAnsi="仿宋_GB2312" w:eastAsia="仿宋_GB2312" w:cs="仿宋_GB2312"/>
          <w:b w:val="0"/>
          <w:color w:val="auto"/>
          <w:sz w:val="32"/>
          <w:u w:val="none"/>
        </w:rPr>
        <w:t>落实项目</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3、塔什库尔干县阿巴提镇等十二个乡镇场全民健康体检中心建设项目绩效自评综述：根据年初设定的绩效目标，该项目绩效自评得分为80分。项目全年预算数为2,036万元，执行数为2,036万元，完成预算的100%。主要产出和效果：新建体检中心个数12个，减轻贫困人口医疗费用负担户数2215户。改善农牧民生活水平</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4、基本药物制度补助资金项目绩效自评综述：根据年初设定的绩效目标，该项目绩效自评得分为91分。项目全年预算数为122.98万元，执行数为122.98万元，完成预算的100%。主要产出和效果：保证所有基层医疗卫生机构实施国家基本药物制度，推进综合改革顺利进行。对实施基本药物制度的村卫生室给予补助，支付国家基本药物制度在村卫生室顺利实施。各乡镇卫生院和村卫生室全面实施国家基本药物制度并执行药品“零”差率销售实际情况，实施补偿。改善农牧民生活水平</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5、基本公共卫生补助经费项目绩效自评综述：根据年初设定的绩效目标，该项目绩效自评得分为96分。项目全年预算数为234.44万元，执行数为234.44万元，完成预算的100%。主要产出和效果：免费向居民提供基本公共卫生服务。减少艾滋病新发感染，进一步减少结核感染。加强传染病疫情监测、流行病学调查和调情分析研判，及时处置暴发疫情，逐步降低重点传染病的危害。加强实验室建设，提高检测能力。引进人才，选拔培养人才，建立以优秀人才为主干的人才队伍，继续为0-6岁适龄儿童常规接种</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减少艾滋病新发感染，进一步减少结核感染。加强传染病疫情监测、流行病学调查和调情分析研判，及时处置暴发疫情，逐步降低重点传染病的危害</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加大食品药品犯罪打击力度，保障人民群众的饮食用药用械安全。加强培训，提高基层监管队伍专业水平和综合素质</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6、医疗服务能力提升补助资金项目绩效自评综述：根据年初设定的绩效目标，该项目绩效自评得分为95分。项目全年预算数为196万元，执行数为196万元，完成预算的100%。主要产出和效果：增加全科、精神科、儿科等紧缺专科卫生健康人才进一步充实，基层医疗卫生机构医疗水平不断提升，整个卫生健康人才队伍的专业结构、城乡结构和区域分布不断优化，促进人才与卫生健康事业发展更加适应，加快构建适合我国国情的医疗卫生服务体系</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7、全民健康体检补助经费项目绩效自评综述：根据年初设定的绩效目标，该项目绩效自评得分为95分。项目全年预算数为46万元，执行数为46万元，完成预算的100%。主要产出和效果：全县城乡居民提供免费健康检查，筛查、预防重大疾病，体现党和政府对各族群众的关心关怀关爱</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highlight w:val="none"/>
          <w:lang w:val="en-GB"/>
        </w:rPr>
      </w:pPr>
      <w:r>
        <w:rPr>
          <w:rFonts w:hint="eastAsia" w:ascii="仿宋_GB2312" w:eastAsia="仿宋_GB2312"/>
          <w:color w:val="000000" w:themeColor="text1"/>
          <w:sz w:val="32"/>
          <w:szCs w:val="32"/>
        </w:rPr>
        <w:t>本单位支出功能分类</w:t>
      </w:r>
      <w:r>
        <w:rPr>
          <w:rFonts w:hint="eastAsia" w:ascii="仿宋_GB2312" w:eastAsia="仿宋_GB2312"/>
          <w:color w:val="000000" w:themeColor="text1"/>
          <w:sz w:val="32"/>
          <w:szCs w:val="32"/>
          <w:highlight w:val="none"/>
        </w:rPr>
        <w:t>说明</w:t>
      </w:r>
      <w:r>
        <w:rPr>
          <w:rFonts w:hint="eastAsia" w:ascii="仿宋_GB2312" w:hAnsi="Calibri" w:eastAsia="仿宋_GB2312"/>
          <w:color w:val="000000" w:themeColor="text1"/>
          <w:sz w:val="32"/>
          <w:szCs w:val="32"/>
          <w:highlight w:val="none"/>
          <w:lang w:val="en-GB"/>
        </w:rPr>
        <w:t>。</w:t>
      </w:r>
      <w:r>
        <w:rPr>
          <w:rFonts w:hint="eastAsia" w:ascii="仿宋_GB2312" w:eastAsia="仿宋_GB2312"/>
          <w:sz w:val="32"/>
          <w:szCs w:val="32"/>
          <w:highlight w:val="none"/>
        </w:rPr>
        <w:t>210（类）01（款）01（项）指：行政运行。213（类）05（款）99（项）指：其他扶贫支出。229（类）60（款）02（项）指：用于社会福利的彩票公益金支出。210（类）03（款）99（项）指：其他基层医疗卫生机构支出。210（类）03（款）02（项）指：乡镇卫生院。210（类）99（款）01（项）指：其他医疗卫生与计划生育支出。221（类）02（款）01（项）指：住房公积金。210（类）06（款）01（项）指：中医（民族医)药专项。208（类）15（款）03（项）指：自然灾害灾后重建补助。210（类）04（款）08（项）指：基本公共卫生服务。210（类）04（款）09（项）指：重大公共卫生专项。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hint="eastAsia" w:ascii="宋体" w:hAnsi="宋体" w:eastAsia="宋体"/>
        <w:sz w:val="28"/>
        <w:lang w:eastAsia="zh-CN"/>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-12-</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74651D"/>
    <w:rsid w:val="028847F9"/>
    <w:rsid w:val="03AA79F6"/>
    <w:rsid w:val="03F82D42"/>
    <w:rsid w:val="04741FE5"/>
    <w:rsid w:val="04CA7286"/>
    <w:rsid w:val="04DB02C7"/>
    <w:rsid w:val="06477F6A"/>
    <w:rsid w:val="06B856EE"/>
    <w:rsid w:val="07FE5938"/>
    <w:rsid w:val="081C5720"/>
    <w:rsid w:val="084604BC"/>
    <w:rsid w:val="08883825"/>
    <w:rsid w:val="09495B70"/>
    <w:rsid w:val="09725983"/>
    <w:rsid w:val="09B63327"/>
    <w:rsid w:val="0A050590"/>
    <w:rsid w:val="0A382BB5"/>
    <w:rsid w:val="0A710F48"/>
    <w:rsid w:val="0A8A7380"/>
    <w:rsid w:val="0AA4543A"/>
    <w:rsid w:val="0B98410A"/>
    <w:rsid w:val="0BE61132"/>
    <w:rsid w:val="0C9B0DD6"/>
    <w:rsid w:val="0CE4791C"/>
    <w:rsid w:val="0E063C64"/>
    <w:rsid w:val="0F4C7B96"/>
    <w:rsid w:val="0F8326A7"/>
    <w:rsid w:val="0F9D1867"/>
    <w:rsid w:val="0FFB575E"/>
    <w:rsid w:val="10275EA0"/>
    <w:rsid w:val="10845F1B"/>
    <w:rsid w:val="11463A00"/>
    <w:rsid w:val="114F3E48"/>
    <w:rsid w:val="11600918"/>
    <w:rsid w:val="11750147"/>
    <w:rsid w:val="11B0398F"/>
    <w:rsid w:val="11F4331D"/>
    <w:rsid w:val="130E4896"/>
    <w:rsid w:val="13B960C5"/>
    <w:rsid w:val="143109E4"/>
    <w:rsid w:val="152777F4"/>
    <w:rsid w:val="15C674B6"/>
    <w:rsid w:val="171D779B"/>
    <w:rsid w:val="172D530A"/>
    <w:rsid w:val="18A36CC2"/>
    <w:rsid w:val="18D54A0D"/>
    <w:rsid w:val="1A4106A0"/>
    <w:rsid w:val="1A4F5437"/>
    <w:rsid w:val="1AB77CD0"/>
    <w:rsid w:val="1CC74A2A"/>
    <w:rsid w:val="1D046BC8"/>
    <w:rsid w:val="1E7150F3"/>
    <w:rsid w:val="1E807156"/>
    <w:rsid w:val="1EA657F6"/>
    <w:rsid w:val="1F097CB6"/>
    <w:rsid w:val="1FEA3C85"/>
    <w:rsid w:val="208B314F"/>
    <w:rsid w:val="2166156B"/>
    <w:rsid w:val="21B02D83"/>
    <w:rsid w:val="22A236F5"/>
    <w:rsid w:val="23995975"/>
    <w:rsid w:val="2432220E"/>
    <w:rsid w:val="248303BA"/>
    <w:rsid w:val="24837E47"/>
    <w:rsid w:val="24C1610D"/>
    <w:rsid w:val="252E01AA"/>
    <w:rsid w:val="2680023E"/>
    <w:rsid w:val="29680352"/>
    <w:rsid w:val="2A020F75"/>
    <w:rsid w:val="2A47725A"/>
    <w:rsid w:val="2A88100E"/>
    <w:rsid w:val="2B007AEE"/>
    <w:rsid w:val="2BBE7305"/>
    <w:rsid w:val="2BC14C56"/>
    <w:rsid w:val="2C1B026F"/>
    <w:rsid w:val="2CC61F55"/>
    <w:rsid w:val="2D786B24"/>
    <w:rsid w:val="2EF7452F"/>
    <w:rsid w:val="2F1D13B4"/>
    <w:rsid w:val="2FAA3DA6"/>
    <w:rsid w:val="30682E1F"/>
    <w:rsid w:val="30E210D2"/>
    <w:rsid w:val="311371D6"/>
    <w:rsid w:val="31724BE1"/>
    <w:rsid w:val="31EB64C9"/>
    <w:rsid w:val="332B0B9A"/>
    <w:rsid w:val="336D0D6F"/>
    <w:rsid w:val="352E4BEC"/>
    <w:rsid w:val="36261024"/>
    <w:rsid w:val="36A82F8C"/>
    <w:rsid w:val="36CC5760"/>
    <w:rsid w:val="37815EF6"/>
    <w:rsid w:val="37DD5594"/>
    <w:rsid w:val="38F24FA8"/>
    <w:rsid w:val="3A2A7750"/>
    <w:rsid w:val="3A98342A"/>
    <w:rsid w:val="3AB6780E"/>
    <w:rsid w:val="3AD56D70"/>
    <w:rsid w:val="3B043CE1"/>
    <w:rsid w:val="3B2920C2"/>
    <w:rsid w:val="3BD80257"/>
    <w:rsid w:val="3BE41ABD"/>
    <w:rsid w:val="3C5421A9"/>
    <w:rsid w:val="3D0B22C6"/>
    <w:rsid w:val="3D4A5F47"/>
    <w:rsid w:val="3D903B21"/>
    <w:rsid w:val="3DAB5EB3"/>
    <w:rsid w:val="3DE7136A"/>
    <w:rsid w:val="3DF53264"/>
    <w:rsid w:val="3E0E403E"/>
    <w:rsid w:val="3F440741"/>
    <w:rsid w:val="3F72668C"/>
    <w:rsid w:val="3F971B61"/>
    <w:rsid w:val="40224451"/>
    <w:rsid w:val="411B7B56"/>
    <w:rsid w:val="41BD616C"/>
    <w:rsid w:val="41FC306C"/>
    <w:rsid w:val="42272CC6"/>
    <w:rsid w:val="42EA1287"/>
    <w:rsid w:val="4499737C"/>
    <w:rsid w:val="44BE5554"/>
    <w:rsid w:val="44D13DDC"/>
    <w:rsid w:val="44F67398"/>
    <w:rsid w:val="451E0908"/>
    <w:rsid w:val="452C2D31"/>
    <w:rsid w:val="4572527B"/>
    <w:rsid w:val="45972BB1"/>
    <w:rsid w:val="45D26E14"/>
    <w:rsid w:val="46034C4C"/>
    <w:rsid w:val="46A541B1"/>
    <w:rsid w:val="46D46F06"/>
    <w:rsid w:val="4760724B"/>
    <w:rsid w:val="47BF6349"/>
    <w:rsid w:val="480815D1"/>
    <w:rsid w:val="48C57772"/>
    <w:rsid w:val="48D26772"/>
    <w:rsid w:val="48E15057"/>
    <w:rsid w:val="49782886"/>
    <w:rsid w:val="4989386C"/>
    <w:rsid w:val="499B49A0"/>
    <w:rsid w:val="4A6F0D28"/>
    <w:rsid w:val="4AAF085C"/>
    <w:rsid w:val="4AD532B3"/>
    <w:rsid w:val="4AEB7E60"/>
    <w:rsid w:val="4AFE709B"/>
    <w:rsid w:val="4B4B135B"/>
    <w:rsid w:val="4BC7055F"/>
    <w:rsid w:val="4CFC7DB2"/>
    <w:rsid w:val="4E7C187D"/>
    <w:rsid w:val="4FA50376"/>
    <w:rsid w:val="508941AD"/>
    <w:rsid w:val="50E65530"/>
    <w:rsid w:val="51457139"/>
    <w:rsid w:val="51574DBD"/>
    <w:rsid w:val="51EC1DA8"/>
    <w:rsid w:val="51EE31B5"/>
    <w:rsid w:val="520629AC"/>
    <w:rsid w:val="52363556"/>
    <w:rsid w:val="52FC5524"/>
    <w:rsid w:val="532D7A17"/>
    <w:rsid w:val="54AF4562"/>
    <w:rsid w:val="54C9674B"/>
    <w:rsid w:val="556318EA"/>
    <w:rsid w:val="55A60AA1"/>
    <w:rsid w:val="56451615"/>
    <w:rsid w:val="57FC5774"/>
    <w:rsid w:val="58871892"/>
    <w:rsid w:val="59B332C9"/>
    <w:rsid w:val="5A44758A"/>
    <w:rsid w:val="5BEC4BB3"/>
    <w:rsid w:val="5C070B55"/>
    <w:rsid w:val="5C232324"/>
    <w:rsid w:val="5C27735F"/>
    <w:rsid w:val="5CA85E41"/>
    <w:rsid w:val="5CB96DCE"/>
    <w:rsid w:val="5CE61580"/>
    <w:rsid w:val="5D175666"/>
    <w:rsid w:val="5D556A3C"/>
    <w:rsid w:val="5D7B25C9"/>
    <w:rsid w:val="5ECB44B4"/>
    <w:rsid w:val="5EE2043C"/>
    <w:rsid w:val="602D2E37"/>
    <w:rsid w:val="60FF703B"/>
    <w:rsid w:val="61460FBE"/>
    <w:rsid w:val="62390567"/>
    <w:rsid w:val="62444841"/>
    <w:rsid w:val="62775810"/>
    <w:rsid w:val="62D83744"/>
    <w:rsid w:val="62DD34A8"/>
    <w:rsid w:val="630F4048"/>
    <w:rsid w:val="63AA02E5"/>
    <w:rsid w:val="63BE5467"/>
    <w:rsid w:val="63E419F8"/>
    <w:rsid w:val="64700DE9"/>
    <w:rsid w:val="64DD1738"/>
    <w:rsid w:val="65C101F0"/>
    <w:rsid w:val="65C613BD"/>
    <w:rsid w:val="65FD118C"/>
    <w:rsid w:val="66EB7502"/>
    <w:rsid w:val="68264F43"/>
    <w:rsid w:val="682C3D89"/>
    <w:rsid w:val="68611305"/>
    <w:rsid w:val="688F17C2"/>
    <w:rsid w:val="69A34DE5"/>
    <w:rsid w:val="69AE2ACE"/>
    <w:rsid w:val="69B52734"/>
    <w:rsid w:val="6A162DE0"/>
    <w:rsid w:val="6A331428"/>
    <w:rsid w:val="6B2E5CB6"/>
    <w:rsid w:val="6B3D4886"/>
    <w:rsid w:val="6CC8407A"/>
    <w:rsid w:val="6DF8675E"/>
    <w:rsid w:val="6EA80098"/>
    <w:rsid w:val="6F4639AB"/>
    <w:rsid w:val="6F5B1E87"/>
    <w:rsid w:val="6F8D70FF"/>
    <w:rsid w:val="6FFE5011"/>
    <w:rsid w:val="709F0E53"/>
    <w:rsid w:val="70B13B47"/>
    <w:rsid w:val="70D7459E"/>
    <w:rsid w:val="7178734D"/>
    <w:rsid w:val="71791096"/>
    <w:rsid w:val="717B0C34"/>
    <w:rsid w:val="71FB78FD"/>
    <w:rsid w:val="7275064A"/>
    <w:rsid w:val="733F750B"/>
    <w:rsid w:val="735702E2"/>
    <w:rsid w:val="738914FC"/>
    <w:rsid w:val="73E54F88"/>
    <w:rsid w:val="765F635A"/>
    <w:rsid w:val="76B73454"/>
    <w:rsid w:val="76D254BD"/>
    <w:rsid w:val="77727ACD"/>
    <w:rsid w:val="78071142"/>
    <w:rsid w:val="79296B37"/>
    <w:rsid w:val="79990DBF"/>
    <w:rsid w:val="7A4C4C40"/>
    <w:rsid w:val="7A904F6B"/>
    <w:rsid w:val="7AA0518E"/>
    <w:rsid w:val="7B041636"/>
    <w:rsid w:val="7C943CD8"/>
    <w:rsid w:val="7CA86749"/>
    <w:rsid w:val="7CC71AAB"/>
    <w:rsid w:val="7DD06D44"/>
    <w:rsid w:val="7E7D08CB"/>
    <w:rsid w:val="7E9712D4"/>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字符"/>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字符"/>
    <w:basedOn w:val="8"/>
    <w:link w:val="2"/>
    <w:semiHidden/>
    <w:qFormat/>
    <w:uiPriority w:val="99"/>
    <w:rPr>
      <w:rFonts w:ascii="Times New Roman" w:hAnsi="Times New Roman" w:eastAsia="宋体" w:cs="Times New Roman"/>
      <w:szCs w:val="24"/>
    </w:rPr>
  </w:style>
  <w:style w:type="character" w:customStyle="1" w:styleId="13">
    <w:name w:val="批注主题 字符"/>
    <w:basedOn w:val="12"/>
    <w:link w:val="6"/>
    <w:semiHidden/>
    <w:qFormat/>
    <w:uiPriority w:val="99"/>
    <w:rPr>
      <w:rFonts w:ascii="Times New Roman" w:hAnsi="Times New Roman" w:eastAsia="宋体" w:cs="Times New Roman"/>
      <w:b/>
      <w:bCs/>
      <w:szCs w:val="24"/>
    </w:r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 w:type="character" w:customStyle="1" w:styleId="15">
    <w:name w:val="页眉 字符"/>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46</TotalTime>
  <ScaleCrop>false</ScaleCrop>
  <LinksUpToDate>false</LinksUpToDate>
  <CharactersWithSpaces>7695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教科文科</cp:lastModifiedBy>
  <dcterms:modified xsi:type="dcterms:W3CDTF">2021-06-01T16:19:41Z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