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2018年度新疆喀什地区塔什库尔干县疾病预防控制中心部门决算公开说明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贯彻执行国家关于卫生工作的法律、法规和方针、政策，推进医药卫生体制改革。协调有关部门对重大疾病实施防控与干预，负责卫生应急工作，制定卫生应急预案与政策措施，负责突发公共卫生事件监测预警和风险评估，指导实施突发公共卫生事件预防控制与应急处置，发布突发公共卫生事件应急处置信息。承担县政府地方病防治领导小组、县政府艾滋病防治工作委员会和县爱国卫生运动委员会的具体工作，承办县政府交办的其他事项。</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新疆喀什地区塔什库尔干县疾病预防控制中心</w:t>
      </w:r>
      <w:r>
        <w:rPr>
          <w:rFonts w:hint="eastAsia" w:ascii="仿宋_GB2312" w:eastAsia="仿宋_GB2312"/>
          <w:sz w:val="32"/>
          <w:szCs w:val="32"/>
        </w:rPr>
        <w:t>部门决算包括：</w:t>
      </w:r>
      <w:r>
        <w:rPr>
          <w:rFonts w:ascii="仿宋_GB2312" w:eastAsia="仿宋_GB2312"/>
          <w:sz w:val="32"/>
          <w:szCs w:val="32"/>
        </w:rPr>
        <w:t>新疆喀什地区塔什库尔干县疾病预防控制中心</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新疆喀什地区塔什库尔干县疾病预防控制中心</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6912"/>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12" w:type="dxa"/>
            <w:vAlign w:val="center"/>
          </w:tcPr>
          <w:p>
            <w:pPr>
              <w:spacing w:line="50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912"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240"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2"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1</w:t>
            </w:r>
          </w:p>
        </w:tc>
        <w:tc>
          <w:tcPr>
            <w:tcW w:w="6912"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新疆喀什地区塔什库尔干县疾病预防控制中心</w:t>
            </w:r>
          </w:p>
        </w:tc>
        <w:tc>
          <w:tcPr>
            <w:tcW w:w="1240"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582.44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，与上年相比，增加350.74万元，增长151.38%，增加的主要原因是：</w:t>
      </w:r>
      <w:r>
        <w:rPr>
          <w:rFonts w:hint="eastAsia" w:ascii="仿宋_GB2312" w:eastAsia="仿宋_GB2312"/>
          <w:color w:val="000000" w:themeColor="text1"/>
          <w:sz w:val="32"/>
          <w:szCs w:val="32"/>
        </w:rPr>
        <w:t>政策性调整工作，高海拔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补贴增加，艰苦边远津贴，基本工资补发；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582.44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，与上年相比，增加350.74万元，增长151.38%，增加的主要原因是：</w:t>
      </w:r>
      <w:r>
        <w:rPr>
          <w:rFonts w:hint="eastAsia" w:ascii="仿宋_GB2312" w:eastAsia="仿宋_GB2312"/>
          <w:color w:val="000000" w:themeColor="text1"/>
          <w:sz w:val="32"/>
          <w:szCs w:val="32"/>
        </w:rPr>
        <w:t>政策性调整工作，高海拔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补贴增加，艰苦边远津贴，基本工资补发；</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sz w:val="32"/>
          <w:szCs w:val="32"/>
          <w:lang w:val="en-US" w:eastAsia="zh-CN"/>
        </w:rPr>
        <w:t>本年与上年均无结余资金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582.44</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582.44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况：本年收入年初预算数262.4万元</w:t>
      </w:r>
      <w:r>
        <w:rPr>
          <w:rFonts w:hint="eastAsia" w:ascii="仿宋_GB2312" w:eastAsia="仿宋_GB2312"/>
          <w:sz w:val="32"/>
          <w:szCs w:val="32"/>
        </w:rPr>
        <w:t>，决算数582.44万元</w:t>
      </w:r>
      <w:r>
        <w:rPr>
          <w:rFonts w:ascii="仿宋_GB2312" w:eastAsia="仿宋_GB2312"/>
          <w:sz w:val="32"/>
          <w:szCs w:val="32"/>
        </w:rPr>
        <w:t>，预决算差异率121.97%，差异主要原因是重大公共卫生项目本级财政补助部分</w:t>
      </w:r>
      <w:r>
        <w:rPr>
          <w:rFonts w:hint="eastAsia" w:ascii="仿宋_GB2312" w:eastAsia="仿宋_GB2312"/>
          <w:sz w:val="32"/>
          <w:szCs w:val="32"/>
          <w:lang w:val="en-US" w:eastAsia="zh-CN"/>
        </w:rPr>
        <w:t>未</w:t>
      </w:r>
      <w:r>
        <w:rPr>
          <w:rFonts w:ascii="仿宋_GB2312" w:eastAsia="仿宋_GB2312"/>
          <w:sz w:val="32"/>
          <w:szCs w:val="32"/>
        </w:rPr>
        <w:t>纳入年初预算。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582.44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282.44</w:t>
      </w:r>
      <w:r>
        <w:rPr>
          <w:rFonts w:hint="eastAsia" w:ascii="仿宋_GB2312" w:eastAsia="仿宋_GB2312"/>
          <w:color w:val="000000" w:themeColor="text1"/>
          <w:sz w:val="32"/>
          <w:szCs w:val="32"/>
        </w:rPr>
        <w:t>万元，占</w:t>
      </w:r>
      <w:r>
        <w:rPr>
          <w:rFonts w:hint="eastAsia" w:ascii="仿宋_GB2312" w:eastAsia="仿宋_GB2312"/>
          <w:sz w:val="32"/>
          <w:szCs w:val="32"/>
        </w:rPr>
        <w:t>48.49%</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300</w:t>
      </w:r>
      <w:r>
        <w:rPr>
          <w:rFonts w:hint="eastAsia" w:ascii="仿宋_GB2312" w:eastAsia="仿宋_GB2312"/>
          <w:color w:val="000000" w:themeColor="text1"/>
          <w:sz w:val="32"/>
          <w:szCs w:val="32"/>
        </w:rPr>
        <w:t>万元，占</w:t>
      </w:r>
      <w:r>
        <w:rPr>
          <w:rFonts w:hint="eastAsia" w:ascii="仿宋_GB2312" w:eastAsia="仿宋_GB2312"/>
          <w:sz w:val="32"/>
          <w:szCs w:val="32"/>
        </w:rPr>
        <w:t>51.51%</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与年初预算数相比情况：本年支出年初预算数262.4万元，</w:t>
      </w:r>
      <w:r>
        <w:rPr>
          <w:rFonts w:hint="eastAsia" w:ascii="仿宋_GB2312" w:eastAsia="仿宋_GB2312"/>
          <w:sz w:val="32"/>
          <w:szCs w:val="32"/>
        </w:rPr>
        <w:t>决算数582.44万元</w:t>
      </w:r>
      <w:r>
        <w:rPr>
          <w:rFonts w:ascii="仿宋_GB2312" w:eastAsia="仿宋_GB2312"/>
          <w:sz w:val="32"/>
          <w:szCs w:val="32"/>
        </w:rPr>
        <w:t>，预决算差异率121.97%，差异主要原因是重大公共卫生项目本级财政补助部分</w:t>
      </w:r>
      <w:r>
        <w:rPr>
          <w:rFonts w:hint="eastAsia" w:ascii="仿宋_GB2312" w:eastAsia="仿宋_GB2312"/>
          <w:sz w:val="32"/>
          <w:szCs w:val="32"/>
          <w:lang w:eastAsia="zh-CN"/>
        </w:rPr>
        <w:t>未</w:t>
      </w:r>
      <w:r>
        <w:rPr>
          <w:rFonts w:ascii="仿宋_GB2312" w:eastAsia="仿宋_GB2312"/>
          <w:sz w:val="32"/>
          <w:szCs w:val="32"/>
        </w:rPr>
        <w:t>纳入年初预算。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582.44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，与上年相比，增加350.74万元，增长151.38%，增加的主要原因是：政策性调整工作，高海拔</w:t>
      </w:r>
      <w:r>
        <w:rPr>
          <w:rFonts w:hint="eastAsia" w:ascii="仿宋_GB2312" w:eastAsia="仿宋_GB2312"/>
          <w:sz w:val="32"/>
          <w:szCs w:val="32"/>
          <w:lang w:val="en-US" w:eastAsia="zh-CN"/>
        </w:rPr>
        <w:t>地区工龄</w:t>
      </w:r>
      <w:r>
        <w:rPr>
          <w:rFonts w:hint="eastAsia" w:ascii="仿宋_GB2312" w:eastAsia="仿宋_GB2312"/>
          <w:sz w:val="32"/>
          <w:szCs w:val="32"/>
        </w:rPr>
        <w:t>补贴增加，艰苦边远津贴，基本工资补发。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582.44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，与上年相比，增加350.74万元，增长151.38%，增加的主要原因是：</w:t>
      </w:r>
      <w:r>
        <w:rPr>
          <w:rFonts w:ascii="仿宋_GB2312" w:eastAsia="仿宋_GB2312"/>
          <w:sz w:val="32"/>
          <w:szCs w:val="32"/>
        </w:rPr>
        <w:t>政策性调整工作，高海拔</w:t>
      </w:r>
      <w:r>
        <w:rPr>
          <w:rFonts w:hint="eastAsia" w:ascii="仿宋_GB2312" w:eastAsia="仿宋_GB2312"/>
          <w:sz w:val="32"/>
          <w:szCs w:val="32"/>
          <w:lang w:val="en-US" w:eastAsia="zh-CN"/>
        </w:rPr>
        <w:t>地区工龄</w:t>
      </w:r>
      <w:r>
        <w:rPr>
          <w:rFonts w:ascii="仿宋_GB2312" w:eastAsia="仿宋_GB2312"/>
          <w:sz w:val="32"/>
          <w:szCs w:val="32"/>
        </w:rPr>
        <w:t>补贴增加，艰苦边远津贴，基本工资补发。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282.44</w:t>
      </w:r>
      <w:r>
        <w:rPr>
          <w:rFonts w:hint="eastAsia" w:ascii="仿宋_GB2312" w:eastAsia="仿宋_GB2312"/>
          <w:color w:val="000000" w:themeColor="text1"/>
          <w:sz w:val="32"/>
          <w:szCs w:val="32"/>
        </w:rPr>
        <w:t>万元，项目支出</w:t>
      </w:r>
      <w:r>
        <w:rPr>
          <w:rFonts w:hint="eastAsia" w:ascii="仿宋_GB2312" w:eastAsia="仿宋_GB2312"/>
          <w:sz w:val="32"/>
          <w:szCs w:val="32"/>
        </w:rPr>
        <w:t>300</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w:t>
      </w:r>
      <w:bookmarkEnd w:id="29"/>
      <w:bookmarkEnd w:id="31"/>
      <w:r>
        <w:rPr>
          <w:rFonts w:hint="eastAsia" w:ascii="仿宋_GB2312" w:eastAsia="仿宋_GB2312"/>
          <w:color w:val="000000"/>
          <w:sz w:val="32"/>
          <w:szCs w:val="32"/>
        </w:rPr>
        <w:t>财政拨款结转结余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262.4</w:t>
      </w:r>
      <w:r>
        <w:rPr>
          <w:rFonts w:hint="eastAsia" w:ascii="仿宋_GB2312" w:eastAsia="仿宋_GB2312"/>
          <w:color w:val="000000" w:themeColor="text1"/>
          <w:sz w:val="32"/>
          <w:szCs w:val="32"/>
        </w:rPr>
        <w:t>万元，决算数</w:t>
      </w:r>
      <w:r>
        <w:rPr>
          <w:rFonts w:hint="eastAsia" w:ascii="仿宋_GB2312" w:eastAsia="仿宋_GB2312"/>
          <w:sz w:val="32"/>
          <w:szCs w:val="32"/>
        </w:rPr>
        <w:t>582.44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，预决算差异率121.97%，差异主要原因是重大公共卫生项目本级财政补助部分未纳入年初预算。</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262.4</w:t>
      </w:r>
      <w:r>
        <w:rPr>
          <w:rFonts w:hint="eastAsia" w:ascii="仿宋_GB2312" w:eastAsia="仿宋_GB2312"/>
          <w:color w:val="000000" w:themeColor="text1"/>
          <w:sz w:val="32"/>
          <w:szCs w:val="32"/>
        </w:rPr>
        <w:t>万元，决算数</w:t>
      </w:r>
      <w:r>
        <w:rPr>
          <w:rFonts w:hint="eastAsia" w:ascii="仿宋_GB2312" w:eastAsia="仿宋_GB2312"/>
          <w:sz w:val="32"/>
          <w:szCs w:val="32"/>
        </w:rPr>
        <w:t>582.44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，预决算差异率121.97%，差异主要原因是重大公共卫生项目本级财政补助部分未纳入年初预算。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582.44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，与上年相比，增加350.74万元，增长151.38%，增加的主要原因是：政策性工资补发增加,增加重大公共卫生项目。</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582.44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，与上年相比，增加350.74万元，增长151.38%，增加的主要原因是：政策性工资补发增加,增加重大公共卫生项目。</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医疗卫生与计划生育支出542.57万元,住房保障支出16.3万元,社会保障和就业支出23.58万元。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工资福利支出251.83万元,商品和服务支出10.36万元,对个人和家庭的补助20.25万元,资本性支出（基本建设）300万元。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262.4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582.44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，预决算差异率121.97%，差异主要原因是重大公共卫生项目本级财政补助部分未纳入年初预算。</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262.4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582.44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，预决算差异率121.97%，差异主要原因是政策性调整工作，高海拔</w:t>
      </w:r>
      <w:r>
        <w:rPr>
          <w:rFonts w:hint="eastAsia" w:ascii="仿宋_GB2312" w:eastAsia="仿宋_GB2312"/>
          <w:color w:val="000000" w:themeColor="text1"/>
          <w:sz w:val="32"/>
          <w:szCs w:val="32"/>
          <w:lang w:val="en-US" w:eastAsia="zh-CN"/>
        </w:rPr>
        <w:t>地区工龄</w:t>
      </w:r>
      <w:r>
        <w:rPr>
          <w:rFonts w:ascii="仿宋_GB2312" w:eastAsia="仿宋_GB2312"/>
          <w:color w:val="000000" w:themeColor="text1"/>
          <w:sz w:val="32"/>
          <w:szCs w:val="32"/>
        </w:rPr>
        <w:t>补贴增加，艰苦边远津贴，基本工资补发，增加重大公共卫生项目。</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val="en-US" w:eastAsia="zh-CN"/>
        </w:rPr>
        <w:t>无</w:t>
      </w:r>
      <w:r>
        <w:rPr>
          <w:rFonts w:hint="eastAsia" w:ascii="仿宋_GB2312" w:eastAsia="仿宋_GB2312"/>
          <w:color w:val="000000" w:themeColor="text1"/>
          <w:sz w:val="32"/>
          <w:szCs w:val="32"/>
        </w:rPr>
        <w:t>政府性基金预算财政拨款收入</w:t>
      </w:r>
      <w:r>
        <w:rPr>
          <w:rFonts w:ascii="仿宋_GB2312" w:eastAsia="仿宋_GB2312"/>
          <w:color w:val="000000" w:themeColor="text1"/>
          <w:sz w:val="32"/>
          <w:szCs w:val="32"/>
        </w:rPr>
        <w:t>。</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val="en-US" w:eastAsia="zh-CN"/>
        </w:rPr>
        <w:t>无</w:t>
      </w:r>
      <w:r>
        <w:rPr>
          <w:rFonts w:hint="eastAsia" w:ascii="仿宋_GB2312" w:eastAsia="仿宋_GB2312"/>
          <w:color w:val="000000" w:themeColor="text1"/>
          <w:sz w:val="32"/>
          <w:szCs w:val="32"/>
        </w:rPr>
        <w:t>政府性基金预算财政拨款支出</w:t>
      </w:r>
      <w:r>
        <w:rPr>
          <w:rFonts w:ascii="仿宋_GB2312" w:eastAsia="仿宋_GB2312"/>
          <w:color w:val="000000" w:themeColor="text1"/>
          <w:sz w:val="32"/>
          <w:szCs w:val="32"/>
        </w:rPr>
        <w:t>。</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1.5</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2"/>
      <w:bookmarkStart w:id="54" w:name="OLE_LINK75"/>
      <w:r>
        <w:rPr>
          <w:rFonts w:hint="eastAsia" w:ascii="仿宋_GB2312" w:eastAsia="仿宋_GB2312"/>
          <w:color w:val="000000" w:themeColor="text1"/>
          <w:sz w:val="32"/>
          <w:szCs w:val="32"/>
        </w:rPr>
        <w:t>其中，</w:t>
      </w:r>
      <w:bookmarkStart w:id="55" w:name="OLE_LINK30"/>
      <w:r>
        <w:rPr>
          <w:rFonts w:hint="eastAsia" w:ascii="仿宋_GB2312" w:eastAsia="仿宋_GB2312"/>
          <w:color w:val="000000" w:themeColor="text1"/>
          <w:sz w:val="32"/>
          <w:szCs w:val="32"/>
        </w:rPr>
        <w:t>因公出国（境）费支出</w:t>
      </w:r>
      <w:bookmarkEnd w:id="55"/>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4"/>
      <w:bookmarkStart w:id="56" w:name="OLE_LINK31"/>
      <w:bookmarkStart w:id="57" w:name="OLE_LINK76"/>
      <w:r>
        <w:rPr>
          <w:rFonts w:hint="eastAsia" w:ascii="仿宋_GB2312" w:eastAsia="仿宋_GB2312"/>
          <w:color w:val="000000" w:themeColor="text1"/>
          <w:sz w:val="32"/>
          <w:szCs w:val="32"/>
        </w:rPr>
        <w:t>公务用车购置及运行维护费支出</w:t>
      </w:r>
      <w:bookmarkEnd w:id="56"/>
      <w:r>
        <w:rPr>
          <w:rFonts w:hint="eastAsia" w:ascii="仿宋_GB2312" w:eastAsia="仿宋_GB2312"/>
          <w:sz w:val="32"/>
          <w:szCs w:val="32"/>
        </w:rPr>
        <w:t>1.5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7"/>
      <w:bookmarkStart w:id="58" w:name="OLE_LINK32"/>
      <w:bookmarkStart w:id="59" w:name="OLE_LINK77"/>
      <w:bookmarkStart w:id="60" w:name="OLE_LINK78"/>
      <w:r>
        <w:rPr>
          <w:rFonts w:hint="eastAsia" w:ascii="仿宋_GB2312" w:eastAsia="仿宋_GB2312"/>
          <w:color w:val="000000" w:themeColor="text1"/>
          <w:sz w:val="32"/>
          <w:szCs w:val="32"/>
        </w:rPr>
        <w:t>公务接待费支出</w:t>
      </w:r>
      <w:bookmarkEnd w:id="5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59"/>
      <w:bookmarkEnd w:id="60"/>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1" w:name="OLE_LINK80"/>
      <w:bookmarkStart w:id="62"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新疆喀什地区塔什库尔干县疾病预防控制中心</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4"/>
      <w:bookmarkStart w:id="65" w:name="OLE_LINK35"/>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1"/>
      <w:bookmarkEnd w:id="62"/>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1.5</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0"/>
      <w:bookmarkStart w:id="72"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1.5</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sz w:val="32"/>
          <w:szCs w:val="32"/>
          <w:lang w:eastAsia="zh-CN"/>
        </w:rPr>
        <w:t>车辆保险费、油料费、维修费</w:t>
      </w:r>
      <w:r>
        <w:rPr>
          <w:rFonts w:hint="eastAsia" w:ascii="仿宋_GB2312" w:eastAsia="仿宋_GB2312"/>
          <w:color w:val="000000" w:themeColor="text1"/>
          <w:sz w:val="32"/>
          <w:szCs w:val="32"/>
        </w:rPr>
        <w:t>等。</w:t>
      </w:r>
      <w:bookmarkEnd w:id="69"/>
      <w:bookmarkStart w:id="73"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lang w:val="en-US" w:eastAsia="zh-CN"/>
        </w:rPr>
        <w:t>6</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w:t>
      </w:r>
      <w:r>
        <w:rPr>
          <w:rFonts w:hint="eastAsia" w:ascii="仿宋_GB2312" w:eastAsia="仿宋_GB2312"/>
          <w:sz w:val="32"/>
          <w:szCs w:val="32"/>
          <w:lang w:eastAsia="zh-CN"/>
        </w:rPr>
        <w:t>支出</w:t>
      </w:r>
      <w:r>
        <w:rPr>
          <w:rFonts w:hint="eastAsia" w:ascii="仿宋_GB2312" w:eastAsia="仿宋_GB2312"/>
          <w:color w:val="000000" w:themeColor="text1"/>
          <w:sz w:val="32"/>
          <w:szCs w:val="32"/>
        </w:rPr>
        <w:t>等。</w:t>
      </w:r>
      <w:bookmarkEnd w:id="74"/>
      <w:bookmarkStart w:id="75" w:name="OLE_LINK84"/>
      <w:r>
        <w:rPr>
          <w:rFonts w:hint="eastAsia" w:ascii="仿宋_GB2312" w:eastAsia="仿宋_GB2312"/>
          <w:sz w:val="32"/>
          <w:szCs w:val="32"/>
        </w:rPr>
        <w:t>新疆喀什地区塔什库尔干县疾病预防控制中心</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万元，决算数1.5万元</w:t>
      </w:r>
      <w:r>
        <w:rPr>
          <w:rFonts w:ascii="仿宋_GB2312" w:eastAsia="仿宋_GB2312"/>
          <w:color w:val="000000" w:themeColor="text1"/>
          <w:sz w:val="32"/>
          <w:szCs w:val="32"/>
        </w:rPr>
        <w:t>，预决算差异率-25%，差异主要原因是控制公务用车运行维护费，压减“三公”经费支出。</w:t>
      </w:r>
      <w:bookmarkEnd w:id="76"/>
      <w:bookmarkStart w:id="77" w:name="OLE_LINK86"/>
      <w:bookmarkStart w:id="78"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w:t>
      </w:r>
      <w:r>
        <w:rPr>
          <w:rFonts w:hint="eastAsia" w:ascii="仿宋_GB2312" w:hAnsi="宋体" w:eastAsia="仿宋_GB2312" w:cs="宋体"/>
          <w:color w:val="000000" w:themeColor="text1"/>
          <w:kern w:val="0"/>
          <w:sz w:val="32"/>
          <w:szCs w:val="32"/>
        </w:rPr>
        <w:t>因公出国（境）费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7"/>
      <w:bookmarkEnd w:id="78"/>
      <w:bookmarkStart w:id="79" w:name="OLE_LINK88"/>
      <w:bookmarkStart w:id="80"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，预决算差异率-25%，差异主要原因是控制公务用车运行维护费，压减“三公”经费支出；</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ascii="仿宋_GB2312" w:eastAsia="仿宋_GB2312"/>
          <w:color w:val="000000" w:themeColor="text1"/>
          <w:sz w:val="32"/>
          <w:szCs w:val="32"/>
        </w:rPr>
        <w:t>本单位无公务接待费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新疆喀什地区塔什库尔干县疾病预防控制中心日常公用经费10.36万元，与上年相比，增加6.18万元，增长147.85%，增加的主要原因是：办公经费，培训费，差旅费等日常公用经费</w:t>
      </w:r>
      <w:r>
        <w:rPr>
          <w:rFonts w:hint="eastAsia" w:ascii="仿宋_GB2312" w:eastAsia="仿宋_GB2312"/>
          <w:color w:val="000000" w:themeColor="text1"/>
          <w:sz w:val="32"/>
          <w:szCs w:val="32"/>
          <w:lang w:val="en-US" w:eastAsia="zh-CN"/>
        </w:rPr>
        <w:t>支出</w:t>
      </w:r>
      <w:r>
        <w:rPr>
          <w:rFonts w:hint="eastAsia" w:ascii="仿宋_GB2312" w:eastAsia="仿宋_GB2312"/>
          <w:color w:val="000000" w:themeColor="text1"/>
          <w:sz w:val="32"/>
          <w:szCs w:val="32"/>
        </w:rPr>
        <w:t>增加。</w:t>
      </w:r>
      <w:bookmarkStart w:id="88" w:name="_GoBack"/>
      <w:bookmarkEnd w:id="88"/>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1.27</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0.91</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0.36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6</w:t>
      </w:r>
      <w:r>
        <w:rPr>
          <w:rFonts w:hint="eastAsia" w:ascii="仿宋_GB2312" w:eastAsia="仿宋_GB2312"/>
          <w:color w:val="000000" w:themeColor="text1"/>
          <w:sz w:val="32"/>
          <w:szCs w:val="32"/>
        </w:rPr>
        <w:t>辆，价值</w:t>
      </w:r>
      <w:r>
        <w:rPr>
          <w:rFonts w:hint="eastAsia" w:ascii="仿宋_GB2312" w:eastAsia="仿宋_GB2312"/>
          <w:sz w:val="32"/>
          <w:szCs w:val="32"/>
        </w:rPr>
        <w:t>72.89</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2</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4</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尼桑皮卡车一辆主要用于结核病防治专用车，怕拉丁汽车一辆主要用于计划免疫规划专用车，北京现代汽车一辆主要用于鼠疫防治专用车，以及轿车一辆主要用于单位日常公务用车</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本部门实行绩效管理的项目5个涉及预算数3.93万元，决算数300万元，执行率100%,本单位项目2018年严格执行预算绩效管理工作要求成立绩效管理领导小组，对项目严格进行事前，事中，事后全过程监控，按时申报项目绩效目标表，监控表，自评表，自评报告，总结经验，发现不足，及时进行整改确保各项目如期完成。</w:t>
      </w:r>
    </w:p>
    <w:p>
      <w:pPr>
        <w:spacing w:line="540" w:lineRule="exact"/>
        <w:ind w:left="-1" w:right="-1" w:firstLine="646"/>
        <w:jc w:val="left"/>
      </w:pPr>
      <w:r>
        <w:rPr>
          <w:rFonts w:ascii="仿宋_GB2312" w:hAnsi="仿宋_GB2312" w:eastAsia="仿宋_GB2312" w:cs="仿宋_GB2312"/>
          <w:b w:val="0"/>
          <w:color w:val="auto"/>
          <w:sz w:val="32"/>
          <w:u w:val="none"/>
        </w:rPr>
        <w:t>塔什库尔干县疾病预防控制中心建设项目项目绩效自评综述：根据年初设定的绩效目标，该项目绩效自评得分为90分。项目全年预算数为300万元，执行数为300万元，完成预算的100%。主要产出和效果：本项目的实施，受益贫困户数2215户8759人，明显提前预防疾病发生的可能性</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210（类）04（款）01（项）指：疾病预防控制机构。221（类）02（款）01（项）指：住房公积金。208（类）05（款）05（项）指：机关事业单位基本养老保险缴费支出。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03E2"/>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F11645"/>
    <w:rsid w:val="02443C20"/>
    <w:rsid w:val="028847F9"/>
    <w:rsid w:val="02A21838"/>
    <w:rsid w:val="03AA79F6"/>
    <w:rsid w:val="04741FE5"/>
    <w:rsid w:val="04DB02C7"/>
    <w:rsid w:val="05F07217"/>
    <w:rsid w:val="06B856EE"/>
    <w:rsid w:val="07FE5938"/>
    <w:rsid w:val="084604BC"/>
    <w:rsid w:val="08883825"/>
    <w:rsid w:val="091052F0"/>
    <w:rsid w:val="0939098F"/>
    <w:rsid w:val="09725983"/>
    <w:rsid w:val="0A382BB5"/>
    <w:rsid w:val="0AA4543A"/>
    <w:rsid w:val="0BE61132"/>
    <w:rsid w:val="0C9B0DD6"/>
    <w:rsid w:val="0CE4791C"/>
    <w:rsid w:val="0D0040DC"/>
    <w:rsid w:val="0E063C64"/>
    <w:rsid w:val="0F4C7B96"/>
    <w:rsid w:val="0FA16D07"/>
    <w:rsid w:val="0FFB575E"/>
    <w:rsid w:val="107B3263"/>
    <w:rsid w:val="10845F1B"/>
    <w:rsid w:val="11463A00"/>
    <w:rsid w:val="11600918"/>
    <w:rsid w:val="11B0398F"/>
    <w:rsid w:val="134577A2"/>
    <w:rsid w:val="139B574C"/>
    <w:rsid w:val="13B26855"/>
    <w:rsid w:val="13B960C5"/>
    <w:rsid w:val="1482746D"/>
    <w:rsid w:val="152777F4"/>
    <w:rsid w:val="15C674B6"/>
    <w:rsid w:val="182F2575"/>
    <w:rsid w:val="18BE15AA"/>
    <w:rsid w:val="18D54A0D"/>
    <w:rsid w:val="19C35430"/>
    <w:rsid w:val="1A1E0E98"/>
    <w:rsid w:val="1A4106A0"/>
    <w:rsid w:val="1A4F5437"/>
    <w:rsid w:val="1AB77CD0"/>
    <w:rsid w:val="1E323BE3"/>
    <w:rsid w:val="1E807156"/>
    <w:rsid w:val="1EA657F6"/>
    <w:rsid w:val="1F097CB6"/>
    <w:rsid w:val="1F677AEC"/>
    <w:rsid w:val="2166156B"/>
    <w:rsid w:val="21B02D83"/>
    <w:rsid w:val="22A236F5"/>
    <w:rsid w:val="23995975"/>
    <w:rsid w:val="24096C1D"/>
    <w:rsid w:val="2432220E"/>
    <w:rsid w:val="24823606"/>
    <w:rsid w:val="248303BA"/>
    <w:rsid w:val="24837E47"/>
    <w:rsid w:val="252E01AA"/>
    <w:rsid w:val="2680023E"/>
    <w:rsid w:val="26AB01CC"/>
    <w:rsid w:val="2913024D"/>
    <w:rsid w:val="29680352"/>
    <w:rsid w:val="2A020F75"/>
    <w:rsid w:val="2B007AEE"/>
    <w:rsid w:val="2BC14C56"/>
    <w:rsid w:val="2C1B026F"/>
    <w:rsid w:val="2CC61F55"/>
    <w:rsid w:val="2D0C04F2"/>
    <w:rsid w:val="2E5839BC"/>
    <w:rsid w:val="2EF7452F"/>
    <w:rsid w:val="2F1D13B4"/>
    <w:rsid w:val="2F267CAA"/>
    <w:rsid w:val="2FAA3DA6"/>
    <w:rsid w:val="2FAB6A48"/>
    <w:rsid w:val="30682E1F"/>
    <w:rsid w:val="30C6188A"/>
    <w:rsid w:val="30E210D2"/>
    <w:rsid w:val="311371D6"/>
    <w:rsid w:val="317A5E56"/>
    <w:rsid w:val="31EB64C9"/>
    <w:rsid w:val="31FE51C2"/>
    <w:rsid w:val="335B1B40"/>
    <w:rsid w:val="336D0D6F"/>
    <w:rsid w:val="345E33DA"/>
    <w:rsid w:val="352A002B"/>
    <w:rsid w:val="352E4BEC"/>
    <w:rsid w:val="36BF4675"/>
    <w:rsid w:val="371253A9"/>
    <w:rsid w:val="374D1A11"/>
    <w:rsid w:val="37DD5594"/>
    <w:rsid w:val="38D25B1E"/>
    <w:rsid w:val="38F24FA8"/>
    <w:rsid w:val="3A98342A"/>
    <w:rsid w:val="3AB6780E"/>
    <w:rsid w:val="3AD56D70"/>
    <w:rsid w:val="3B2920C2"/>
    <w:rsid w:val="3BB15C18"/>
    <w:rsid w:val="3BE41ABD"/>
    <w:rsid w:val="3C160BF0"/>
    <w:rsid w:val="3C5421A9"/>
    <w:rsid w:val="3C674D57"/>
    <w:rsid w:val="3D903B21"/>
    <w:rsid w:val="3DCC3EC7"/>
    <w:rsid w:val="3F440741"/>
    <w:rsid w:val="419B48AC"/>
    <w:rsid w:val="41FC306C"/>
    <w:rsid w:val="42A3092A"/>
    <w:rsid w:val="44BE5554"/>
    <w:rsid w:val="451E0908"/>
    <w:rsid w:val="452C2D31"/>
    <w:rsid w:val="45D26E14"/>
    <w:rsid w:val="46A541B1"/>
    <w:rsid w:val="48C57772"/>
    <w:rsid w:val="49782886"/>
    <w:rsid w:val="4A6F0D28"/>
    <w:rsid w:val="4AAF085C"/>
    <w:rsid w:val="4ADC5DF0"/>
    <w:rsid w:val="4AEB7E60"/>
    <w:rsid w:val="4B4B135B"/>
    <w:rsid w:val="4BC7055F"/>
    <w:rsid w:val="4C360938"/>
    <w:rsid w:val="4C3631EE"/>
    <w:rsid w:val="4CEC5F74"/>
    <w:rsid w:val="4CFC7DB2"/>
    <w:rsid w:val="4E7C187D"/>
    <w:rsid w:val="4F12407D"/>
    <w:rsid w:val="508941AD"/>
    <w:rsid w:val="50E65530"/>
    <w:rsid w:val="51457139"/>
    <w:rsid w:val="51574DBD"/>
    <w:rsid w:val="51733C69"/>
    <w:rsid w:val="51EC1DA8"/>
    <w:rsid w:val="52FC5524"/>
    <w:rsid w:val="532D7A17"/>
    <w:rsid w:val="53963DB4"/>
    <w:rsid w:val="542415D8"/>
    <w:rsid w:val="546200D5"/>
    <w:rsid w:val="546F6E64"/>
    <w:rsid w:val="54AF4562"/>
    <w:rsid w:val="54C9674B"/>
    <w:rsid w:val="556318EA"/>
    <w:rsid w:val="55A60AA1"/>
    <w:rsid w:val="56451615"/>
    <w:rsid w:val="57FC5774"/>
    <w:rsid w:val="5956751B"/>
    <w:rsid w:val="598219B8"/>
    <w:rsid w:val="59B332C9"/>
    <w:rsid w:val="5A44758A"/>
    <w:rsid w:val="5B177985"/>
    <w:rsid w:val="5BEC4BB3"/>
    <w:rsid w:val="5C070B55"/>
    <w:rsid w:val="5C871CC1"/>
    <w:rsid w:val="5C9C11E0"/>
    <w:rsid w:val="5CB96DCE"/>
    <w:rsid w:val="5CD117A8"/>
    <w:rsid w:val="5CE61580"/>
    <w:rsid w:val="5D175666"/>
    <w:rsid w:val="5D556A3C"/>
    <w:rsid w:val="5D7B25C9"/>
    <w:rsid w:val="5E2037CC"/>
    <w:rsid w:val="5ECB44B4"/>
    <w:rsid w:val="5EE2043C"/>
    <w:rsid w:val="5FE14EA9"/>
    <w:rsid w:val="602D2E37"/>
    <w:rsid w:val="606D6089"/>
    <w:rsid w:val="61460FBE"/>
    <w:rsid w:val="62383460"/>
    <w:rsid w:val="62775810"/>
    <w:rsid w:val="62D55177"/>
    <w:rsid w:val="62D83744"/>
    <w:rsid w:val="630F4048"/>
    <w:rsid w:val="634F3E0B"/>
    <w:rsid w:val="63AA02E5"/>
    <w:rsid w:val="64700DE9"/>
    <w:rsid w:val="65C613BD"/>
    <w:rsid w:val="65FD118C"/>
    <w:rsid w:val="66BA0ACE"/>
    <w:rsid w:val="66CC4235"/>
    <w:rsid w:val="67612FFE"/>
    <w:rsid w:val="682C3D89"/>
    <w:rsid w:val="68611305"/>
    <w:rsid w:val="69BF2F95"/>
    <w:rsid w:val="6A162DE0"/>
    <w:rsid w:val="6A331428"/>
    <w:rsid w:val="6B075156"/>
    <w:rsid w:val="6B202053"/>
    <w:rsid w:val="6B2E5CB6"/>
    <w:rsid w:val="6B3D4886"/>
    <w:rsid w:val="6B7A20B9"/>
    <w:rsid w:val="6D655CB1"/>
    <w:rsid w:val="6DF8675E"/>
    <w:rsid w:val="6EA80098"/>
    <w:rsid w:val="6F8D70FF"/>
    <w:rsid w:val="6FFE5011"/>
    <w:rsid w:val="7178734D"/>
    <w:rsid w:val="71791096"/>
    <w:rsid w:val="717B0C34"/>
    <w:rsid w:val="719D74DA"/>
    <w:rsid w:val="71FB78FD"/>
    <w:rsid w:val="7275064A"/>
    <w:rsid w:val="733F750B"/>
    <w:rsid w:val="735702E2"/>
    <w:rsid w:val="73817767"/>
    <w:rsid w:val="751D47E5"/>
    <w:rsid w:val="765F635A"/>
    <w:rsid w:val="76B73454"/>
    <w:rsid w:val="76D254BD"/>
    <w:rsid w:val="77727ACD"/>
    <w:rsid w:val="78071142"/>
    <w:rsid w:val="79296B37"/>
    <w:rsid w:val="7A4C4C40"/>
    <w:rsid w:val="7A9F46F9"/>
    <w:rsid w:val="7AA0518E"/>
    <w:rsid w:val="7B041636"/>
    <w:rsid w:val="7CA86749"/>
    <w:rsid w:val="7D2B6CB3"/>
    <w:rsid w:val="7E512408"/>
    <w:rsid w:val="7E752941"/>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7</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2020-04-04T14:07:12Z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