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附件1：</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2018年度新疆喀什地区塔什库尔干县社会福利院部门决算公开说明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w:t>
      </w:r>
      <w:r>
        <w:rPr>
          <w:rFonts w:hint="eastAsia" w:ascii="黑体" w:hAnsi="黑体" w:eastAsia="黑体"/>
          <w:bCs/>
          <w:kern w:val="0"/>
          <w:sz w:val="32"/>
          <w:szCs w:val="32"/>
          <w:lang w:val="en-US" w:eastAsia="zh-CN"/>
        </w:rPr>
        <w:t xml:space="preserve"> </w:t>
      </w:r>
      <w:r>
        <w:rPr>
          <w:rFonts w:hint="eastAsia" w:ascii="黑体" w:hAnsi="黑体" w:eastAsia="黑体"/>
          <w:bCs/>
          <w:kern w:val="0"/>
          <w:sz w:val="32"/>
          <w:szCs w:val="32"/>
        </w:rPr>
        <w:t>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hint="eastAsia" w:ascii="黑体" w:hAnsi="黑体" w:eastAsia="仿宋_GB2312" w:cs="宋体"/>
          <w:bCs/>
          <w:kern w:val="0"/>
          <w:sz w:val="32"/>
          <w:szCs w:val="32"/>
          <w:lang w:eastAsia="zh-CN"/>
        </w:rPr>
      </w:pPr>
      <w:r>
        <w:rPr>
          <w:rFonts w:hint="eastAsia" w:ascii="仿宋_GB2312" w:eastAsia="仿宋_GB2312"/>
          <w:sz w:val="32"/>
          <w:szCs w:val="32"/>
        </w:rPr>
        <w:t>1、收住本县籍父母双亡，无依无靠，无劳动能力，无生活来源的孤儿和孤寡老人。</w:t>
      </w:r>
      <w:r>
        <w:rPr>
          <w:rFonts w:hint="eastAsia" w:ascii="仿宋_GB2312" w:eastAsia="仿宋_GB2312"/>
          <w:sz w:val="32"/>
          <w:szCs w:val="32"/>
        </w:rPr>
        <w:br w:type="textWrapping"/>
      </w:r>
      <w:r>
        <w:rPr>
          <w:rFonts w:hint="eastAsia" w:ascii="仿宋_GB2312" w:eastAsia="仿宋_GB2312"/>
          <w:sz w:val="32"/>
          <w:szCs w:val="32"/>
        </w:rPr>
        <w:t>2、宣传对孤残儿童的保护，照顾政策和在孤残儿童工作方面的先进典型，提高全社会对孤残儿童的关爱意识。</w:t>
      </w:r>
      <w:r>
        <w:rPr>
          <w:rFonts w:hint="eastAsia" w:ascii="仿宋_GB2312" w:eastAsia="仿宋_GB2312"/>
          <w:sz w:val="32"/>
          <w:szCs w:val="32"/>
        </w:rPr>
        <w:br w:type="textWrapping"/>
      </w:r>
      <w:r>
        <w:rPr>
          <w:rFonts w:hint="eastAsia" w:ascii="仿宋_GB2312" w:eastAsia="仿宋_GB2312"/>
          <w:sz w:val="32"/>
          <w:szCs w:val="32"/>
        </w:rPr>
        <w:t>3、对各类收养人员采取不同的工作方针，对老人是以养为主，妥善安排其生活；对健全儿童是养、教并重；对残缺、呆傻儿童是养、治、教相结合；对精神病人是养、治结合，并且根据不同对象进行药物、文娱、劳动和教育的综合治疗。</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新疆喀什地区塔什库尔干县社会福利院</w:t>
      </w:r>
      <w:r>
        <w:rPr>
          <w:rFonts w:hint="eastAsia" w:ascii="仿宋_GB2312" w:eastAsia="仿宋_GB2312"/>
          <w:sz w:val="32"/>
          <w:szCs w:val="32"/>
        </w:rPr>
        <w:t>部门决算包括：</w:t>
      </w:r>
      <w:r>
        <w:rPr>
          <w:rFonts w:ascii="仿宋_GB2312" w:eastAsia="仿宋_GB2312"/>
          <w:sz w:val="32"/>
          <w:szCs w:val="32"/>
        </w:rPr>
        <w:t>新疆喀什地区塔什库尔干县社会福利院</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新疆喀什地区塔什库尔干县社会福利院</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10"/>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5"/>
        <w:gridCol w:w="5920"/>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785"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592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1759" w:type="dxa"/>
            <w:vAlign w:val="center"/>
          </w:tcPr>
          <w:p>
            <w:pPr>
              <w:spacing w:line="500" w:lineRule="exact"/>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85"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5920" w:type="dxa"/>
          </w:tcPr>
          <w:p>
            <w:pPr>
              <w:pageBreakBefore w:val="0"/>
              <w:spacing w:line="500" w:lineRule="exact"/>
              <w:jc w:val="left"/>
              <w:textAlignment w:val="auto"/>
            </w:pPr>
            <w:r>
              <w:rPr>
                <w:rFonts w:ascii="Times New Roman" w:hAnsi="Times New Roman" w:eastAsia="Times New Roman" w:cs="Times New Roman"/>
                <w:b w:val="0"/>
                <w:i w:val="0"/>
                <w:strike w:val="0"/>
                <w:color w:val="auto"/>
                <w:position w:val="-1"/>
                <w:sz w:val="32"/>
                <w:u w:val="none"/>
              </w:rPr>
              <w:t>新疆喀什地区塔什库尔干县社会福利院</w:t>
            </w:r>
          </w:p>
        </w:tc>
        <w:tc>
          <w:tcPr>
            <w:tcW w:w="1759"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100"/>
      <w:bookmarkStart w:id="5" w:name="OLE_LINK99"/>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92.7</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，与上年相比，增加23.34万元，增长33.65%，增加的主要原因是：</w:t>
      </w:r>
      <w:r>
        <w:rPr>
          <w:rFonts w:hint="eastAsia" w:ascii="仿宋_GB2312" w:eastAsia="仿宋_GB2312"/>
          <w:color w:val="000000" w:themeColor="text1"/>
          <w:sz w:val="32"/>
          <w:szCs w:val="32"/>
        </w:rPr>
        <w:t>2018年艰苦津贴、基本工资及高海拔地区</w:t>
      </w:r>
      <w:r>
        <w:rPr>
          <w:rFonts w:hint="eastAsia" w:ascii="仿宋_GB2312" w:eastAsia="仿宋_GB2312"/>
          <w:color w:val="000000" w:themeColor="text1"/>
          <w:sz w:val="32"/>
          <w:szCs w:val="32"/>
          <w:lang w:val="en-US" w:eastAsia="zh-CN"/>
        </w:rPr>
        <w:t>工龄工资</w:t>
      </w:r>
      <w:r>
        <w:rPr>
          <w:rFonts w:hint="eastAsia" w:ascii="仿宋_GB2312" w:eastAsia="仿宋_GB2312"/>
          <w:color w:val="000000" w:themeColor="text1"/>
          <w:sz w:val="32"/>
          <w:szCs w:val="32"/>
        </w:rPr>
        <w:t>等政策性增资；</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92.7</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，与上年相比，增加23.34万元，增长33.65%，增加的主要原因是：</w:t>
      </w:r>
      <w:r>
        <w:rPr>
          <w:rFonts w:hint="eastAsia" w:ascii="仿宋_GB2312" w:eastAsia="仿宋_GB2312"/>
          <w:color w:val="000000" w:themeColor="text1"/>
          <w:sz w:val="32"/>
          <w:szCs w:val="32"/>
        </w:rPr>
        <w:t>2018年艰苦津贴、基本工资及高海拔地区</w:t>
      </w:r>
      <w:r>
        <w:rPr>
          <w:rFonts w:hint="eastAsia" w:ascii="仿宋_GB2312" w:eastAsia="仿宋_GB2312"/>
          <w:color w:val="000000" w:themeColor="text1"/>
          <w:sz w:val="32"/>
          <w:szCs w:val="32"/>
          <w:lang w:val="en-US" w:eastAsia="zh-CN"/>
        </w:rPr>
        <w:t>工龄工资</w:t>
      </w:r>
      <w:r>
        <w:rPr>
          <w:rFonts w:hint="eastAsia" w:ascii="仿宋_GB2312" w:eastAsia="仿宋_GB2312"/>
          <w:color w:val="000000" w:themeColor="text1"/>
          <w:sz w:val="32"/>
          <w:szCs w:val="32"/>
        </w:rPr>
        <w:t>等政策性增资；</w:t>
      </w:r>
      <w:bookmarkEnd w:id="7"/>
      <w:bookmarkStart w:id="8" w:name="OLE_LINK54"/>
      <w:r>
        <w:rPr>
          <w:rFonts w:hint="eastAsia" w:ascii="仿宋_GB2312" w:eastAsia="仿宋_GB2312"/>
          <w:color w:val="000000"/>
          <w:sz w:val="32"/>
          <w:szCs w:val="32"/>
        </w:rPr>
        <w:t>结余</w:t>
      </w:r>
      <w:r>
        <w:rPr>
          <w:rFonts w:hint="eastAsia"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sz w:val="32"/>
          <w:szCs w:val="32"/>
          <w:lang w:val="en-US" w:eastAsia="zh-CN"/>
        </w:rPr>
        <w:t>,</w:t>
      </w:r>
      <w:r>
        <w:rPr>
          <w:rFonts w:hint="eastAsia" w:ascii="仿宋_GB2312" w:eastAsia="仿宋_GB2312"/>
          <w:sz w:val="32"/>
          <w:szCs w:val="32"/>
        </w:rPr>
        <w:t>增加0万元，增长0%，</w:t>
      </w:r>
      <w:r>
        <w:rPr>
          <w:rFonts w:hint="eastAsia" w:ascii="仿宋_GB2312" w:eastAsia="仿宋_GB2312"/>
          <w:sz w:val="32"/>
          <w:szCs w:val="32"/>
          <w:lang w:eastAsia="zh-CN"/>
        </w:rPr>
        <w:t>增减变化的</w:t>
      </w:r>
      <w:r>
        <w:rPr>
          <w:rFonts w:hint="eastAsia" w:ascii="仿宋_GB2312" w:eastAsia="仿宋_GB2312"/>
          <w:sz w:val="32"/>
          <w:szCs w:val="32"/>
        </w:rPr>
        <w:t>主要原因是：</w:t>
      </w:r>
      <w:r>
        <w:rPr>
          <w:rFonts w:hint="eastAsia" w:ascii="仿宋_GB2312" w:eastAsia="仿宋_GB2312"/>
          <w:color w:val="000000"/>
          <w:sz w:val="32"/>
          <w:szCs w:val="32"/>
          <w:lang w:val="en-US" w:eastAsia="zh-CN"/>
        </w:rPr>
        <w:t>本年与上年均无结余资金</w:t>
      </w:r>
      <w:r>
        <w:rPr>
          <w:rFonts w:ascii="仿宋_GB2312" w:eastAsia="仿宋_GB2312"/>
          <w:color w:val="000000"/>
          <w:sz w:val="32"/>
          <w:szCs w:val="32"/>
        </w:rPr>
        <w:t>。</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92.7</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92.7</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况：本年收入年初预算数54.51万元</w:t>
      </w:r>
      <w:r>
        <w:rPr>
          <w:rFonts w:hint="eastAsia" w:ascii="仿宋_GB2312" w:eastAsia="仿宋_GB2312"/>
          <w:sz w:val="32"/>
          <w:szCs w:val="32"/>
        </w:rPr>
        <w:t>，决算数92.7万元</w:t>
      </w:r>
      <w:r>
        <w:rPr>
          <w:rFonts w:ascii="仿宋_GB2312" w:eastAsia="仿宋_GB2312"/>
          <w:sz w:val="32"/>
          <w:szCs w:val="32"/>
        </w:rPr>
        <w:t>，预决算差异率70.06%，差异主要原因是2018年艰苦津贴、基本工资及高海拔地区</w:t>
      </w:r>
      <w:r>
        <w:rPr>
          <w:rFonts w:hint="eastAsia" w:ascii="仿宋_GB2312" w:eastAsia="仿宋_GB2312"/>
          <w:sz w:val="32"/>
          <w:szCs w:val="32"/>
          <w:lang w:val="en-US" w:eastAsia="zh-CN"/>
        </w:rPr>
        <w:t>工龄工资</w:t>
      </w:r>
      <w:r>
        <w:rPr>
          <w:rFonts w:ascii="仿宋_GB2312" w:eastAsia="仿宋_GB2312"/>
          <w:sz w:val="32"/>
          <w:szCs w:val="32"/>
        </w:rPr>
        <w:t>等政策性调资未列入年初预算。</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92.7</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92.7</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sz w:val="32"/>
          <w:szCs w:val="32"/>
          <w:lang w:eastAsia="zh-CN"/>
        </w:rPr>
        <w:t>。</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与年初预算数相比情况：本年支出年初预算数54.51万元，</w:t>
      </w:r>
      <w:r>
        <w:rPr>
          <w:rFonts w:hint="eastAsia" w:ascii="仿宋_GB2312" w:eastAsia="仿宋_GB2312"/>
          <w:sz w:val="32"/>
          <w:szCs w:val="32"/>
        </w:rPr>
        <w:t>决算数92.7万元</w:t>
      </w:r>
      <w:r>
        <w:rPr>
          <w:rFonts w:ascii="仿宋_GB2312" w:eastAsia="仿宋_GB2312"/>
          <w:sz w:val="32"/>
          <w:szCs w:val="32"/>
        </w:rPr>
        <w:t>，预决算差异率70.06%，差异主要原因是2018年艰苦津贴、基本工资及高海拔地区</w:t>
      </w:r>
      <w:r>
        <w:rPr>
          <w:rFonts w:hint="eastAsia" w:ascii="仿宋_GB2312" w:eastAsia="仿宋_GB2312"/>
          <w:sz w:val="32"/>
          <w:szCs w:val="32"/>
          <w:lang w:val="en-US" w:eastAsia="zh-CN"/>
        </w:rPr>
        <w:t>工龄工资</w:t>
      </w:r>
      <w:r>
        <w:rPr>
          <w:rFonts w:ascii="仿宋_GB2312" w:eastAsia="仿宋_GB2312"/>
          <w:sz w:val="32"/>
          <w:szCs w:val="32"/>
        </w:rPr>
        <w:t>等政策性调资未列入年初预算。</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hint="eastAsia" w:ascii="仿宋_GB2312" w:eastAsia="仿宋_GB2312"/>
          <w:sz w:val="32"/>
          <w:szCs w:val="32"/>
          <w:lang w:val="en-US" w:eastAsia="zh-CN"/>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92.7</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，与上年相比，增加23.34万元，增长33.65%，增加的主要原因是：2018年艰苦津贴、基本工资及高海拔地区</w:t>
      </w:r>
      <w:r>
        <w:rPr>
          <w:rFonts w:hint="eastAsia" w:ascii="仿宋_GB2312" w:eastAsia="仿宋_GB2312"/>
          <w:sz w:val="32"/>
          <w:szCs w:val="32"/>
          <w:lang w:val="en-US" w:eastAsia="zh-CN"/>
        </w:rPr>
        <w:t>工龄工资</w:t>
      </w:r>
      <w:r>
        <w:rPr>
          <w:rFonts w:hint="eastAsia" w:ascii="仿宋_GB2312" w:eastAsia="仿宋_GB2312"/>
          <w:sz w:val="32"/>
          <w:szCs w:val="32"/>
        </w:rPr>
        <w:t>等政策性增资。</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92.7</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，与上年相比，增加23.34万元，增长33.65%，增加的主要原因是：2018年艰苦津贴、基本工资及高海拔地区</w:t>
      </w:r>
      <w:r>
        <w:rPr>
          <w:rFonts w:hint="eastAsia" w:ascii="仿宋_GB2312" w:eastAsia="仿宋_GB2312"/>
          <w:sz w:val="32"/>
          <w:szCs w:val="32"/>
          <w:lang w:val="en-US" w:eastAsia="zh-CN"/>
        </w:rPr>
        <w:t>工龄工资</w:t>
      </w:r>
      <w:r>
        <w:rPr>
          <w:rFonts w:hint="eastAsia" w:ascii="仿宋_GB2312" w:eastAsia="仿宋_GB2312"/>
          <w:sz w:val="32"/>
          <w:szCs w:val="32"/>
        </w:rPr>
        <w:t>等政策性增资</w:t>
      </w:r>
      <w:r>
        <w:rPr>
          <w:rFonts w:ascii="仿宋_GB2312" w:eastAsia="仿宋_GB2312"/>
          <w:sz w:val="32"/>
          <w:szCs w:val="32"/>
        </w:rPr>
        <w:t>。</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92.7</w:t>
      </w:r>
      <w:r>
        <w:rPr>
          <w:rFonts w:hint="eastAsia" w:ascii="仿宋_GB2312" w:eastAsia="仿宋_GB2312"/>
          <w:color w:val="000000" w:themeColor="text1"/>
          <w:sz w:val="32"/>
          <w:szCs w:val="32"/>
        </w:rPr>
        <w:t>万元，项目支出</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29"/>
      <w:bookmarkStart w:id="31" w:name="OLE_LINK16"/>
      <w:bookmarkStart w:id="32" w:name="OLE_LINK62"/>
      <w:r>
        <w:rPr>
          <w:rFonts w:hint="eastAsia" w:ascii="仿宋_GB2312" w:eastAsia="仿宋_GB2312"/>
          <w:color w:val="000000"/>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sz w:val="32"/>
          <w:szCs w:val="32"/>
          <w:lang w:val="en-US" w:eastAsia="zh-CN"/>
        </w:rPr>
        <w:t>,增加0万元，增长0%，增加的主要原因是：本年与上年均无结转结余资金。</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54.51</w:t>
      </w:r>
      <w:r>
        <w:rPr>
          <w:rFonts w:hint="eastAsia" w:ascii="仿宋_GB2312" w:eastAsia="仿宋_GB2312"/>
          <w:color w:val="000000" w:themeColor="text1"/>
          <w:sz w:val="32"/>
          <w:szCs w:val="32"/>
        </w:rPr>
        <w:t>万元，决算数</w:t>
      </w:r>
      <w:r>
        <w:rPr>
          <w:rFonts w:hint="eastAsia" w:ascii="仿宋_GB2312" w:eastAsia="仿宋_GB2312"/>
          <w:sz w:val="32"/>
          <w:szCs w:val="32"/>
        </w:rPr>
        <w:t>92.7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，预决算差异率70.06%，差异主要原因是</w:t>
      </w:r>
      <w:bookmarkEnd w:id="32"/>
      <w:bookmarkStart w:id="33" w:name="OLE_LINK63"/>
      <w:r>
        <w:rPr>
          <w:rFonts w:ascii="仿宋_GB2312" w:eastAsia="仿宋_GB2312"/>
          <w:sz w:val="32"/>
          <w:szCs w:val="32"/>
        </w:rPr>
        <w:t>2018年艰苦津贴、基本工资及高海拔地区</w:t>
      </w:r>
      <w:r>
        <w:rPr>
          <w:rFonts w:hint="eastAsia" w:ascii="仿宋_GB2312" w:eastAsia="仿宋_GB2312"/>
          <w:sz w:val="32"/>
          <w:szCs w:val="32"/>
          <w:lang w:val="en-US" w:eastAsia="zh-CN"/>
        </w:rPr>
        <w:t>工龄工资</w:t>
      </w:r>
      <w:r>
        <w:rPr>
          <w:rFonts w:ascii="仿宋_GB2312" w:eastAsia="仿宋_GB2312"/>
          <w:sz w:val="32"/>
          <w:szCs w:val="32"/>
        </w:rPr>
        <w:t>等政策性调资未列入年初预算。</w:t>
      </w:r>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54.51</w:t>
      </w:r>
      <w:r>
        <w:rPr>
          <w:rFonts w:hint="eastAsia" w:ascii="仿宋_GB2312" w:eastAsia="仿宋_GB2312"/>
          <w:color w:val="000000" w:themeColor="text1"/>
          <w:sz w:val="32"/>
          <w:szCs w:val="32"/>
        </w:rPr>
        <w:t>万元，决算数</w:t>
      </w:r>
      <w:r>
        <w:rPr>
          <w:rFonts w:hint="eastAsia" w:ascii="仿宋_GB2312" w:eastAsia="仿宋_GB2312"/>
          <w:sz w:val="32"/>
          <w:szCs w:val="32"/>
        </w:rPr>
        <w:t>92.7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，预决算差异率70.06%，差异主要原因是</w:t>
      </w:r>
      <w:r>
        <w:rPr>
          <w:rFonts w:ascii="仿宋_GB2312" w:eastAsia="仿宋_GB2312"/>
          <w:sz w:val="32"/>
          <w:szCs w:val="32"/>
        </w:rPr>
        <w:t>2018年艰苦津贴、基本工资及高海拔地区</w:t>
      </w:r>
      <w:r>
        <w:rPr>
          <w:rFonts w:hint="eastAsia" w:ascii="仿宋_GB2312" w:eastAsia="仿宋_GB2312"/>
          <w:sz w:val="32"/>
          <w:szCs w:val="32"/>
          <w:lang w:val="en-US" w:eastAsia="zh-CN"/>
        </w:rPr>
        <w:t>工龄工资</w:t>
      </w:r>
      <w:r>
        <w:rPr>
          <w:rFonts w:ascii="仿宋_GB2312" w:eastAsia="仿宋_GB2312"/>
          <w:sz w:val="32"/>
          <w:szCs w:val="32"/>
        </w:rPr>
        <w:t>等政策性调资未列入年初预算</w:t>
      </w:r>
      <w:r>
        <w:rPr>
          <w:rFonts w:ascii="仿宋_GB2312" w:eastAsia="仿宋_GB2312"/>
          <w:color w:val="000000" w:themeColor="text1"/>
          <w:sz w:val="32"/>
          <w:szCs w:val="32"/>
        </w:rPr>
        <w:t>。</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92.7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，与上年相比，增加23.34万元，增长33.65%，增加的主要原因是：2018年艰苦津贴、基本工资及高海拔地区</w:t>
      </w:r>
      <w:r>
        <w:rPr>
          <w:rFonts w:hint="eastAsia" w:ascii="仿宋_GB2312" w:eastAsia="仿宋_GB2312"/>
          <w:color w:val="000000" w:themeColor="text1"/>
          <w:sz w:val="32"/>
          <w:szCs w:val="32"/>
          <w:lang w:val="en-US" w:eastAsia="zh-CN"/>
        </w:rPr>
        <w:t>工龄工资</w:t>
      </w:r>
      <w:r>
        <w:rPr>
          <w:rFonts w:ascii="仿宋_GB2312" w:eastAsia="仿宋_GB2312"/>
          <w:color w:val="000000" w:themeColor="text1"/>
          <w:sz w:val="32"/>
          <w:szCs w:val="32"/>
        </w:rPr>
        <w:t>等政策性增资。</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92.7</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，与上年相比，增加23.34万元，增长33.65%，增加的主要原因是：</w:t>
      </w:r>
      <w:r>
        <w:rPr>
          <w:rFonts w:ascii="仿宋_GB2312" w:eastAsia="仿宋_GB2312"/>
          <w:color w:val="000000" w:themeColor="text1"/>
          <w:sz w:val="32"/>
          <w:szCs w:val="32"/>
        </w:rPr>
        <w:t>2018年艰苦津贴、基本工资及高海拔地区</w:t>
      </w:r>
      <w:r>
        <w:rPr>
          <w:rFonts w:hint="eastAsia" w:ascii="仿宋_GB2312" w:eastAsia="仿宋_GB2312"/>
          <w:color w:val="000000" w:themeColor="text1"/>
          <w:sz w:val="32"/>
          <w:szCs w:val="32"/>
          <w:lang w:val="en-US" w:eastAsia="zh-CN"/>
        </w:rPr>
        <w:t>工龄工资</w:t>
      </w:r>
      <w:r>
        <w:rPr>
          <w:rFonts w:ascii="仿宋_GB2312" w:eastAsia="仿宋_GB2312"/>
          <w:color w:val="000000" w:themeColor="text1"/>
          <w:sz w:val="32"/>
          <w:szCs w:val="32"/>
        </w:rPr>
        <w:t>等政策性增资</w:t>
      </w:r>
      <w:r>
        <w:rPr>
          <w:rFonts w:hint="eastAsia" w:ascii="仿宋_GB2312" w:eastAsia="仿宋_GB2312"/>
          <w:sz w:val="32"/>
          <w:szCs w:val="32"/>
        </w:rPr>
        <w:t>。</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住房保障支出5.11万元,社会保障和就业支出87.59万元。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工资福利支出80.11万元,商品和服务支出9.34万元,对个人和家庭的补助3.26万元。</w:t>
      </w:r>
    </w:p>
    <w:p>
      <w:pPr>
        <w:spacing w:line="540" w:lineRule="exact"/>
        <w:ind w:firstLine="640" w:firstLineChars="200"/>
        <w:rPr>
          <w:rFonts w:ascii="仿宋_GB2312" w:eastAsia="仿宋_GB2312"/>
          <w:color w:val="000000" w:themeColor="text1"/>
          <w:sz w:val="32"/>
          <w:szCs w:val="32"/>
        </w:rPr>
      </w:pPr>
      <w:bookmarkStart w:id="41" w:name="OLE_LINK66"/>
      <w:bookmarkStart w:id="42" w:name="OLE_LINK67"/>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54.51</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92.7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，预决算差异率70.06%，差异主要原因是</w:t>
      </w:r>
      <w:r>
        <w:rPr>
          <w:rFonts w:ascii="仿宋_GB2312" w:eastAsia="仿宋_GB2312"/>
          <w:sz w:val="32"/>
          <w:szCs w:val="32"/>
        </w:rPr>
        <w:t>2018年艰苦津贴、基本工资及高海拔地区</w:t>
      </w:r>
      <w:r>
        <w:rPr>
          <w:rFonts w:hint="eastAsia" w:ascii="仿宋_GB2312" w:eastAsia="仿宋_GB2312"/>
          <w:sz w:val="32"/>
          <w:szCs w:val="32"/>
          <w:lang w:val="en-US" w:eastAsia="zh-CN"/>
        </w:rPr>
        <w:t>工龄工资</w:t>
      </w:r>
      <w:r>
        <w:rPr>
          <w:rFonts w:ascii="仿宋_GB2312" w:eastAsia="仿宋_GB2312"/>
          <w:sz w:val="32"/>
          <w:szCs w:val="32"/>
        </w:rPr>
        <w:t>等政策性调资未列入年初预算</w:t>
      </w:r>
      <w:r>
        <w:rPr>
          <w:rFonts w:ascii="仿宋_GB2312" w:eastAsia="仿宋_GB2312"/>
          <w:color w:val="000000" w:themeColor="text1"/>
          <w:sz w:val="32"/>
          <w:szCs w:val="32"/>
        </w:rPr>
        <w:t>。</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54.51</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92.7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，预决算差异率70.06%，差异主要原因是</w:t>
      </w:r>
      <w:r>
        <w:rPr>
          <w:rFonts w:ascii="仿宋_GB2312" w:eastAsia="仿宋_GB2312"/>
          <w:sz w:val="32"/>
          <w:szCs w:val="32"/>
        </w:rPr>
        <w:t>2018年艰苦津贴、基本工资及高海拔地区</w:t>
      </w:r>
      <w:r>
        <w:rPr>
          <w:rFonts w:hint="eastAsia" w:ascii="仿宋_GB2312" w:eastAsia="仿宋_GB2312"/>
          <w:sz w:val="32"/>
          <w:szCs w:val="32"/>
          <w:lang w:val="en-US" w:eastAsia="zh-CN"/>
        </w:rPr>
        <w:t>工龄工资</w:t>
      </w:r>
      <w:r>
        <w:rPr>
          <w:rFonts w:ascii="仿宋_GB2312" w:eastAsia="仿宋_GB2312"/>
          <w:sz w:val="32"/>
          <w:szCs w:val="32"/>
        </w:rPr>
        <w:t>等政策性调资未列入年初预算</w:t>
      </w:r>
      <w:r>
        <w:rPr>
          <w:rFonts w:ascii="仿宋_GB2312" w:eastAsia="仿宋_GB2312"/>
          <w:color w:val="000000" w:themeColor="text1"/>
          <w:sz w:val="32"/>
          <w:szCs w:val="32"/>
        </w:rPr>
        <w:t>。</w:t>
      </w:r>
      <w:bookmarkEnd w:id="43"/>
      <w:bookmarkStart w:id="79" w:name="_GoBack"/>
      <w:bookmarkEnd w:id="79"/>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，与上年相比，无变化。</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，与上年相比，无变化。</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2"/>
      <w:bookmarkStart w:id="50" w:name="OLE_LINK71"/>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，预决算差异率0%，差异主要原因是无变化。</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，预决算差异率0%，差异主要原因是无变化。</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年末结转结余0万元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与上年相比</w:t>
      </w:r>
      <w:r>
        <w:rPr>
          <w:rFonts w:hint="eastAsia" w:ascii="仿宋_GB2312" w:eastAsia="仿宋_GB2312"/>
          <w:color w:val="000000"/>
          <w:sz w:val="32"/>
          <w:szCs w:val="32"/>
          <w:lang w:eastAsia="zh-CN"/>
        </w:rPr>
        <w:t>，</w:t>
      </w:r>
      <w:r>
        <w:rPr>
          <w:rFonts w:hint="eastAsia" w:ascii="仿宋_GB2312" w:eastAsia="仿宋_GB2312"/>
          <w:color w:val="000000"/>
          <w:sz w:val="32"/>
          <w:szCs w:val="32"/>
        </w:rPr>
        <w:t>增加0万元，增长0%。</w:t>
      </w:r>
    </w:p>
    <w:p>
      <w:pPr>
        <w:rPr>
          <w:rFonts w:ascii="仿宋_GB2312" w:eastAsia="仿宋_GB2312"/>
          <w:sz w:val="32"/>
          <w:szCs w:val="32"/>
        </w:rPr>
      </w:pPr>
      <w:r>
        <w:rPr>
          <w:rFonts w:hint="eastAsia" w:ascii="仿宋_GB2312" w:eastAsia="仿宋_GB2312"/>
          <w:color w:val="000000"/>
          <w:sz w:val="32"/>
          <w:szCs w:val="32"/>
          <w:lang w:val="en-US" w:eastAsia="zh-CN"/>
        </w:rPr>
        <w:t xml:space="preserve">    </w:t>
      </w:r>
      <w:r>
        <w:rPr>
          <w:rFonts w:hint="eastAsia" w:ascii="仿宋_GB2312" w:eastAsia="仿宋_GB2312"/>
          <w:color w:val="000000"/>
          <w:sz w:val="32"/>
          <w:szCs w:val="32"/>
        </w:rPr>
        <w:t>其中财政拨款结转结余0万元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与上年相比</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pPr>
      <w:bookmarkStart w:id="52" w:name="OLE_LINK79"/>
      <w:bookmarkStart w:id="53" w:name="OLE_LINK80"/>
      <w:r>
        <w:rPr>
          <w:rFonts w:hint="eastAsia" w:ascii="仿宋_GB2312" w:eastAsia="仿宋_GB2312"/>
          <w:color w:val="000000"/>
          <w:sz w:val="32"/>
          <w:szCs w:val="32"/>
        </w:rPr>
        <w:t>2018年度一般公共预算“三公”经费支出决算</w:t>
      </w:r>
      <w:r>
        <w:rPr>
          <w:rFonts w:hint="eastAsia"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hint="eastAsia" w:ascii="仿宋_GB2312" w:eastAsia="仿宋_GB2312"/>
          <w:sz w:val="32"/>
          <w:szCs w:val="32"/>
          <w:highlight w:val="none"/>
          <w:lang w:val="en-US" w:eastAsia="zh-CN"/>
        </w:rPr>
        <w:t>本单位无</w:t>
      </w:r>
      <w:r>
        <w:rPr>
          <w:rFonts w:hint="eastAsia" w:ascii="仿宋_GB2312" w:eastAsia="仿宋_GB2312"/>
          <w:color w:val="000000"/>
          <w:sz w:val="32"/>
          <w:szCs w:val="32"/>
        </w:rPr>
        <w:t>“三公”经费支出</w:t>
      </w:r>
      <w:r>
        <w:rPr>
          <w:rFonts w:hint="eastAsia" w:ascii="仿宋_GB2312" w:eastAsia="仿宋_GB2312"/>
          <w:sz w:val="32"/>
          <w:szCs w:val="32"/>
        </w:rPr>
        <w:t>。</w:t>
      </w:r>
      <w:r>
        <w:rPr>
          <w:rFonts w:hint="eastAsia" w:ascii="仿宋_GB2312" w:eastAsia="仿宋_GB2312"/>
          <w:color w:val="000000"/>
          <w:sz w:val="32"/>
          <w:szCs w:val="32"/>
        </w:rPr>
        <w:t>其中，因公出国（境）费支出</w:t>
      </w:r>
      <w:r>
        <w:rPr>
          <w:rFonts w:hint="eastAsia" w:ascii="仿宋_GB2312" w:eastAsia="仿宋_GB2312"/>
          <w:sz w:val="32"/>
          <w:szCs w:val="32"/>
        </w:rPr>
        <w:t>0</w:t>
      </w:r>
      <w:r>
        <w:rPr>
          <w:rFonts w:hint="eastAsia" w:ascii="仿宋_GB2312" w:eastAsia="仿宋_GB2312"/>
          <w:color w:val="000000"/>
          <w:sz w:val="32"/>
          <w:szCs w:val="32"/>
        </w:rPr>
        <w:t>万元，占</w:t>
      </w:r>
      <w:r>
        <w:rPr>
          <w:rFonts w:hint="eastAsia" w:ascii="仿宋_GB2312" w:eastAsia="仿宋_GB2312"/>
          <w:sz w:val="32"/>
          <w:szCs w:val="32"/>
        </w:rPr>
        <w:t>0%，与上年相比</w:t>
      </w:r>
      <w:r>
        <w:rPr>
          <w:rFonts w:hint="eastAsia" w:ascii="仿宋_GB2312" w:eastAsia="仿宋_GB2312"/>
          <w:sz w:val="32"/>
          <w:szCs w:val="32"/>
          <w:lang w:val="en-US"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ascii="仿宋_GB2312" w:eastAsia="仿宋_GB2312"/>
          <w:color w:val="000000"/>
          <w:sz w:val="32"/>
          <w:szCs w:val="32"/>
        </w:rPr>
        <w:t>本单位无因公出国（境）费支出</w:t>
      </w:r>
      <w:r>
        <w:rPr>
          <w:rFonts w:hint="eastAsia" w:ascii="仿宋_GB2312" w:eastAsia="仿宋_GB2312"/>
          <w:sz w:val="32"/>
          <w:szCs w:val="32"/>
        </w:rPr>
        <w:t>；</w:t>
      </w:r>
      <w:r>
        <w:rPr>
          <w:rFonts w:hint="eastAsia" w:ascii="仿宋_GB2312" w:eastAsia="仿宋_GB2312"/>
          <w:color w:val="000000"/>
          <w:sz w:val="32"/>
          <w:szCs w:val="32"/>
        </w:rPr>
        <w:t>公务用车购置及运行维护费支出</w:t>
      </w:r>
      <w:r>
        <w:rPr>
          <w:rFonts w:hint="eastAsia" w:ascii="仿宋_GB2312" w:eastAsia="仿宋_GB2312"/>
          <w:sz w:val="32"/>
          <w:szCs w:val="32"/>
        </w:rPr>
        <w:t>0</w:t>
      </w:r>
      <w:r>
        <w:rPr>
          <w:rFonts w:hint="eastAsia" w:ascii="仿宋_GB2312" w:eastAsia="仿宋_GB2312"/>
          <w:color w:val="000000"/>
          <w:sz w:val="32"/>
          <w:szCs w:val="32"/>
        </w:rPr>
        <w:t>万元，占</w:t>
      </w:r>
      <w:r>
        <w:rPr>
          <w:rFonts w:hint="eastAsia" w:ascii="仿宋_GB2312" w:eastAsia="仿宋_GB2312"/>
          <w:sz w:val="32"/>
          <w:szCs w:val="32"/>
        </w:rPr>
        <w:t>0%，与上年相比</w:t>
      </w:r>
      <w:r>
        <w:rPr>
          <w:rFonts w:hint="eastAsia" w:ascii="仿宋_GB2312" w:eastAsia="仿宋_GB2312"/>
          <w:sz w:val="32"/>
          <w:szCs w:val="32"/>
          <w:lang w:val="en-US"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的主要原因是：本单位无公务用车购置及维护</w:t>
      </w:r>
      <w:r>
        <w:rPr>
          <w:rFonts w:hint="eastAsia" w:ascii="仿宋_GB2312" w:eastAsia="仿宋_GB2312"/>
          <w:color w:val="000000"/>
          <w:sz w:val="32"/>
          <w:szCs w:val="32"/>
        </w:rPr>
        <w:t>费</w:t>
      </w:r>
      <w:r>
        <w:rPr>
          <w:rFonts w:hint="eastAsia" w:ascii="仿宋_GB2312" w:eastAsia="仿宋_GB2312"/>
          <w:sz w:val="32"/>
          <w:szCs w:val="32"/>
        </w:rPr>
        <w:t>支出；</w:t>
      </w:r>
      <w:r>
        <w:rPr>
          <w:rFonts w:hint="eastAsia" w:ascii="仿宋_GB2312" w:eastAsia="仿宋_GB2312"/>
          <w:color w:val="000000"/>
          <w:sz w:val="32"/>
          <w:szCs w:val="32"/>
        </w:rPr>
        <w:t>公务接待费支出</w:t>
      </w:r>
      <w:r>
        <w:rPr>
          <w:rFonts w:hint="eastAsia" w:ascii="仿宋_GB2312" w:eastAsia="仿宋_GB2312"/>
          <w:sz w:val="32"/>
          <w:szCs w:val="32"/>
        </w:rPr>
        <w:t>0</w:t>
      </w:r>
      <w:r>
        <w:rPr>
          <w:rFonts w:hint="eastAsia" w:ascii="仿宋_GB2312" w:eastAsia="仿宋_GB2312"/>
          <w:color w:val="000000"/>
          <w:sz w:val="32"/>
          <w:szCs w:val="32"/>
        </w:rPr>
        <w:t>万元，占</w:t>
      </w:r>
      <w:r>
        <w:rPr>
          <w:rFonts w:hint="eastAsia" w:ascii="仿宋_GB2312" w:eastAsia="仿宋_GB2312"/>
          <w:sz w:val="32"/>
          <w:szCs w:val="32"/>
        </w:rPr>
        <w:t>0%，与上年相比</w:t>
      </w:r>
      <w:r>
        <w:rPr>
          <w:rFonts w:hint="eastAsia" w:ascii="仿宋_GB2312" w:eastAsia="仿宋_GB2312"/>
          <w:sz w:val="32"/>
          <w:szCs w:val="32"/>
          <w:lang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的主要原因是：本单位无公务接待费支出。</w:t>
      </w:r>
      <w:r>
        <w:rPr>
          <w:rFonts w:hint="eastAsia" w:ascii="仿宋_GB2312" w:eastAsia="仿宋_GB2312"/>
          <w:color w:val="000000"/>
          <w:sz w:val="32"/>
          <w:szCs w:val="32"/>
        </w:rPr>
        <w:t>具体情况如下：</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新疆喀什地区塔什库尔干县社会福利院</w:t>
      </w:r>
      <w:r>
        <w:rPr>
          <w:rFonts w:hint="eastAsia" w:ascii="仿宋_GB2312" w:eastAsia="仿宋_GB2312"/>
          <w:color w:val="000000" w:themeColor="text1"/>
          <w:sz w:val="32"/>
          <w:szCs w:val="32"/>
        </w:rPr>
        <w:t>单位</w:t>
      </w:r>
      <w:bookmarkStart w:id="54" w:name="OLE_LINK33"/>
      <w:r>
        <w:rPr>
          <w:rFonts w:hint="eastAsia" w:ascii="仿宋_GB2312" w:eastAsia="仿宋_GB2312"/>
          <w:color w:val="000000" w:themeColor="text1"/>
          <w:sz w:val="32"/>
          <w:szCs w:val="32"/>
        </w:rPr>
        <w:t>全年</w:t>
      </w:r>
      <w:bookmarkStart w:id="55" w:name="OLE_LINK34"/>
      <w:bookmarkStart w:id="56" w:name="OLE_LINK35"/>
      <w:bookmarkStart w:id="57" w:name="OLE_LINK36"/>
      <w:r>
        <w:rPr>
          <w:rFonts w:hint="eastAsia" w:ascii="仿宋_GB2312" w:eastAsia="仿宋_GB2312"/>
          <w:color w:val="000000" w:themeColor="text1"/>
          <w:sz w:val="32"/>
          <w:szCs w:val="32"/>
        </w:rPr>
        <w:t>使用一般公共预算财政拨款安排的出国（境）团组</w:t>
      </w:r>
      <w:bookmarkEnd w:id="54"/>
      <w:bookmarkEnd w:id="55"/>
      <w:bookmarkEnd w:id="56"/>
      <w:r>
        <w:rPr>
          <w:rFonts w:hint="eastAsia" w:ascii="仿宋_GB2312" w:eastAsia="仿宋_GB2312"/>
          <w:sz w:val="32"/>
          <w:szCs w:val="32"/>
        </w:rPr>
        <w:t>0</w:t>
      </w:r>
      <w:r>
        <w:rPr>
          <w:rFonts w:hint="eastAsia" w:ascii="仿宋_GB2312" w:eastAsia="仿宋_GB2312"/>
          <w:color w:val="000000" w:themeColor="text1"/>
          <w:sz w:val="32"/>
          <w:szCs w:val="32"/>
        </w:rPr>
        <w:t>个</w:t>
      </w:r>
      <w:bookmarkEnd w:id="57"/>
      <w:r>
        <w:rPr>
          <w:rFonts w:hint="eastAsia" w:ascii="仿宋_GB2312" w:eastAsia="仿宋_GB2312"/>
          <w:color w:val="000000" w:themeColor="text1"/>
          <w:sz w:val="32"/>
          <w:szCs w:val="32"/>
        </w:rPr>
        <w:t>，</w:t>
      </w:r>
      <w:bookmarkStart w:id="58"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58"/>
      <w:r>
        <w:rPr>
          <w:rFonts w:hint="eastAsia" w:ascii="仿宋_GB2312" w:eastAsia="仿宋_GB2312"/>
          <w:color w:val="000000" w:themeColor="text1"/>
          <w:sz w:val="32"/>
          <w:szCs w:val="32"/>
        </w:rPr>
        <w:t>。</w:t>
      </w:r>
      <w:bookmarkStart w:id="59" w:name="OLE_LINK38"/>
      <w:r>
        <w:rPr>
          <w:rFonts w:hint="eastAsia" w:ascii="仿宋_GB2312" w:eastAsia="仿宋_GB2312"/>
          <w:color w:val="000000" w:themeColor="text1"/>
          <w:sz w:val="32"/>
          <w:szCs w:val="32"/>
        </w:rPr>
        <w:t>开支内容包括：</w:t>
      </w:r>
      <w:r>
        <w:rPr>
          <w:rFonts w:ascii="仿宋_GB2312" w:eastAsia="仿宋_GB2312"/>
          <w:color w:val="000000"/>
          <w:sz w:val="32"/>
          <w:szCs w:val="32"/>
        </w:rPr>
        <w:t>本单位无因公出国（境）费支出</w:t>
      </w:r>
      <w:r>
        <w:rPr>
          <w:rFonts w:ascii="仿宋_GB2312" w:eastAsia="仿宋_GB2312"/>
          <w:color w:val="000000" w:themeColor="text1"/>
          <w:sz w:val="32"/>
          <w:szCs w:val="32"/>
        </w:rPr>
        <w:t>。</w:t>
      </w:r>
      <w:bookmarkEnd w:id="52"/>
      <w:bookmarkEnd w:id="53"/>
      <w:bookmarkEnd w:id="59"/>
    </w:p>
    <w:p>
      <w:pPr>
        <w:spacing w:line="540" w:lineRule="exact"/>
        <w:ind w:firstLine="640" w:firstLineChars="200"/>
        <w:rPr>
          <w:rFonts w:ascii="仿宋_GB2312" w:eastAsia="仿宋_GB2312"/>
          <w:color w:val="000000" w:themeColor="text1"/>
          <w:sz w:val="32"/>
          <w:szCs w:val="32"/>
        </w:rPr>
      </w:pPr>
      <w:bookmarkStart w:id="60"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0</w:t>
      </w:r>
      <w:r>
        <w:rPr>
          <w:rFonts w:hint="eastAsia" w:ascii="仿宋_GB2312" w:eastAsia="仿宋_GB2312"/>
          <w:color w:val="000000" w:themeColor="text1"/>
          <w:sz w:val="32"/>
          <w:szCs w:val="32"/>
        </w:rPr>
        <w:t>万元,其中，</w:t>
      </w:r>
      <w:bookmarkStart w:id="61"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61"/>
      <w:r>
        <w:rPr>
          <w:rFonts w:hint="eastAsia" w:ascii="仿宋_GB2312" w:eastAsia="仿宋_GB2312"/>
          <w:color w:val="000000" w:themeColor="text1"/>
          <w:sz w:val="32"/>
          <w:szCs w:val="32"/>
        </w:rPr>
        <w:t>，</w:t>
      </w:r>
      <w:bookmarkStart w:id="62" w:name="OLE_LINK40"/>
      <w:bookmarkStart w:id="63"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62"/>
      <w:bookmarkEnd w:id="63"/>
      <w:r>
        <w:rPr>
          <w:rFonts w:hint="eastAsia" w:ascii="仿宋_GB2312" w:eastAsia="仿宋_GB2312"/>
          <w:color w:val="000000" w:themeColor="text1"/>
          <w:sz w:val="32"/>
          <w:szCs w:val="32"/>
        </w:rPr>
        <w:t>。主要用于</w:t>
      </w:r>
      <w:r>
        <w:rPr>
          <w:rFonts w:hint="eastAsia" w:ascii="仿宋_GB2312" w:eastAsia="仿宋_GB2312"/>
          <w:sz w:val="32"/>
          <w:szCs w:val="32"/>
        </w:rPr>
        <w:t>本单位无公务用车购置及维护</w:t>
      </w:r>
      <w:r>
        <w:rPr>
          <w:rFonts w:hint="eastAsia" w:ascii="仿宋_GB2312" w:eastAsia="仿宋_GB2312"/>
          <w:color w:val="000000"/>
          <w:sz w:val="32"/>
          <w:szCs w:val="32"/>
        </w:rPr>
        <w:t>费</w:t>
      </w:r>
      <w:r>
        <w:rPr>
          <w:rFonts w:hint="eastAsia" w:ascii="仿宋_GB2312" w:eastAsia="仿宋_GB2312"/>
          <w:sz w:val="32"/>
          <w:szCs w:val="32"/>
        </w:rPr>
        <w:t>支出</w:t>
      </w:r>
      <w:r>
        <w:rPr>
          <w:rFonts w:hint="eastAsia" w:ascii="仿宋_GB2312" w:eastAsia="仿宋_GB2312"/>
          <w:color w:val="000000" w:themeColor="text1"/>
          <w:sz w:val="32"/>
          <w:szCs w:val="32"/>
        </w:rPr>
        <w:t>等。</w:t>
      </w:r>
      <w:bookmarkEnd w:id="60"/>
      <w:bookmarkStart w:id="64"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0</w:t>
      </w:r>
      <w:r>
        <w:rPr>
          <w:rFonts w:hint="eastAsia" w:ascii="仿宋_GB2312" w:eastAsia="仿宋_GB2312"/>
          <w:color w:val="000000" w:themeColor="text1"/>
          <w:sz w:val="32"/>
          <w:szCs w:val="32"/>
        </w:rPr>
        <w:t>辆。</w:t>
      </w:r>
      <w:bookmarkEnd w:id="64"/>
    </w:p>
    <w:p>
      <w:pPr>
        <w:spacing w:line="540" w:lineRule="exact"/>
        <w:ind w:firstLine="640" w:firstLineChars="200"/>
        <w:rPr>
          <w:rFonts w:ascii="仿宋_GB2312" w:eastAsia="仿宋_GB2312"/>
          <w:color w:val="000000" w:themeColor="text1"/>
          <w:sz w:val="32"/>
          <w:szCs w:val="32"/>
        </w:rPr>
      </w:pPr>
      <w:bookmarkStart w:id="65"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本单位无公务接待费支出</w:t>
      </w:r>
      <w:r>
        <w:rPr>
          <w:rFonts w:hint="eastAsia" w:ascii="仿宋_GB2312" w:eastAsia="仿宋_GB2312"/>
          <w:color w:val="000000" w:themeColor="text1"/>
          <w:sz w:val="32"/>
          <w:szCs w:val="32"/>
        </w:rPr>
        <w:t>等。</w:t>
      </w:r>
      <w:bookmarkEnd w:id="65"/>
      <w:bookmarkStart w:id="66" w:name="OLE_LINK84"/>
      <w:r>
        <w:rPr>
          <w:rFonts w:hint="eastAsia" w:ascii="仿宋_GB2312" w:eastAsia="仿宋_GB2312"/>
          <w:sz w:val="32"/>
          <w:szCs w:val="32"/>
        </w:rPr>
        <w:t>新疆喀什地区塔什库尔干县社会福利院</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66"/>
    </w:p>
    <w:p>
      <w:pPr>
        <w:spacing w:line="540" w:lineRule="exact"/>
        <w:ind w:firstLine="640" w:firstLineChars="200"/>
        <w:rPr>
          <w:rFonts w:ascii="仿宋_GB2312" w:hAnsi="宋体" w:eastAsia="仿宋_GB2312" w:cs="宋体"/>
          <w:color w:val="000000" w:themeColor="text1"/>
          <w:kern w:val="0"/>
          <w:sz w:val="32"/>
          <w:szCs w:val="32"/>
        </w:rPr>
      </w:pPr>
      <w:bookmarkStart w:id="67"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，预决算差异率0%，差异主要原因是无变化。</w:t>
      </w:r>
      <w:bookmarkEnd w:id="67"/>
      <w:bookmarkStart w:id="68" w:name="OLE_LINK86"/>
      <w:bookmarkStart w:id="69" w:name="OLE_LINK87"/>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r>
        <w:rPr>
          <w:rFonts w:ascii="仿宋_GB2312" w:eastAsia="仿宋_GB2312"/>
          <w:color w:val="000000"/>
          <w:sz w:val="32"/>
          <w:szCs w:val="32"/>
        </w:rPr>
        <w:t>本单位无因公出国（境）费支出</w:t>
      </w:r>
      <w:r>
        <w:rPr>
          <w:rFonts w:ascii="仿宋_GB2312" w:eastAsia="仿宋_GB2312"/>
          <w:color w:val="000000" w:themeColor="text1"/>
          <w:sz w:val="32"/>
          <w:szCs w:val="32"/>
        </w:rPr>
        <w:t>；</w:t>
      </w:r>
      <w:bookmarkEnd w:id="68"/>
      <w:bookmarkEnd w:id="69"/>
      <w:bookmarkStart w:id="70" w:name="OLE_LINK89"/>
      <w:bookmarkStart w:id="71"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w:t>
      </w:r>
      <w:r>
        <w:rPr>
          <w:rFonts w:ascii="仿宋_GB2312" w:eastAsia="仿宋_GB2312"/>
          <w:color w:val="000000"/>
          <w:sz w:val="32"/>
          <w:szCs w:val="32"/>
        </w:rPr>
        <w:t>本单位</w:t>
      </w:r>
      <w:r>
        <w:rPr>
          <w:rFonts w:ascii="仿宋_GB2312" w:eastAsia="仿宋_GB2312"/>
          <w:color w:val="000000" w:themeColor="text1"/>
          <w:sz w:val="32"/>
          <w:szCs w:val="32"/>
        </w:rPr>
        <w:t>无</w:t>
      </w:r>
      <w:r>
        <w:rPr>
          <w:rFonts w:hint="eastAsia" w:ascii="仿宋_GB2312" w:hAnsi="宋体" w:eastAsia="仿宋_GB2312" w:cs="宋体"/>
          <w:color w:val="000000" w:themeColor="text1"/>
          <w:kern w:val="0"/>
          <w:sz w:val="32"/>
          <w:szCs w:val="32"/>
        </w:rPr>
        <w:t>公务用车购置</w:t>
      </w:r>
      <w:r>
        <w:rPr>
          <w:rFonts w:hint="eastAsia" w:ascii="仿宋_GB2312" w:hAnsi="宋体" w:eastAsia="仿宋_GB2312" w:cs="宋体"/>
          <w:color w:val="000000" w:themeColor="text1"/>
          <w:kern w:val="0"/>
          <w:sz w:val="32"/>
          <w:szCs w:val="32"/>
          <w:lang w:eastAsia="zh-CN"/>
        </w:rPr>
        <w:t>支出</w:t>
      </w:r>
      <w:r>
        <w:rPr>
          <w:rFonts w:ascii="仿宋_GB2312" w:eastAsia="仿宋_GB2312"/>
          <w:color w:val="000000" w:themeColor="text1"/>
          <w:sz w:val="32"/>
          <w:szCs w:val="32"/>
        </w:rPr>
        <w:t>；</w:t>
      </w:r>
      <w:bookmarkEnd w:id="70"/>
      <w:bookmarkEnd w:id="71"/>
      <w:bookmarkStart w:id="72"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w:t>
      </w:r>
      <w:r>
        <w:rPr>
          <w:rFonts w:ascii="仿宋_GB2312" w:eastAsia="仿宋_GB2312"/>
          <w:color w:val="000000"/>
          <w:sz w:val="32"/>
          <w:szCs w:val="32"/>
        </w:rPr>
        <w:t>本单位</w:t>
      </w:r>
      <w:r>
        <w:rPr>
          <w:rFonts w:ascii="仿宋_GB2312" w:eastAsia="仿宋_GB2312"/>
          <w:color w:val="000000" w:themeColor="text1"/>
          <w:sz w:val="32"/>
          <w:szCs w:val="32"/>
        </w:rPr>
        <w:t>无</w:t>
      </w:r>
      <w:r>
        <w:rPr>
          <w:rFonts w:hint="eastAsia" w:ascii="仿宋_GB2312" w:hAnsi="宋体" w:eastAsia="仿宋_GB2312" w:cs="宋体"/>
          <w:color w:val="000000" w:themeColor="text1"/>
          <w:kern w:val="0"/>
          <w:sz w:val="32"/>
          <w:szCs w:val="32"/>
        </w:rPr>
        <w:t>公务用车运行费</w:t>
      </w:r>
      <w:r>
        <w:rPr>
          <w:rFonts w:hint="eastAsia" w:ascii="仿宋_GB2312" w:hAnsi="宋体" w:eastAsia="仿宋_GB2312" w:cs="宋体"/>
          <w:color w:val="000000" w:themeColor="text1"/>
          <w:kern w:val="0"/>
          <w:sz w:val="32"/>
          <w:szCs w:val="32"/>
          <w:lang w:eastAsia="zh-CN"/>
        </w:rPr>
        <w:t>支出</w:t>
      </w:r>
      <w:r>
        <w:rPr>
          <w:rFonts w:ascii="仿宋_GB2312" w:eastAsia="仿宋_GB2312"/>
          <w:color w:val="000000" w:themeColor="text1"/>
          <w:sz w:val="32"/>
          <w:szCs w:val="32"/>
        </w:rPr>
        <w:t>；</w:t>
      </w:r>
      <w:bookmarkEnd w:id="72"/>
      <w:bookmarkStart w:id="73"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73"/>
      <w:r>
        <w:rPr>
          <w:rFonts w:ascii="仿宋_GB2312" w:eastAsia="仿宋_GB2312"/>
          <w:color w:val="000000"/>
          <w:sz w:val="32"/>
          <w:szCs w:val="32"/>
        </w:rPr>
        <w:t>本单位</w:t>
      </w:r>
      <w:r>
        <w:rPr>
          <w:rFonts w:ascii="仿宋_GB2312" w:eastAsia="仿宋_GB2312"/>
          <w:color w:val="000000" w:themeColor="text1"/>
          <w:sz w:val="32"/>
          <w:szCs w:val="32"/>
        </w:rPr>
        <w:t>无</w:t>
      </w:r>
      <w:r>
        <w:rPr>
          <w:rFonts w:hint="eastAsia" w:ascii="仿宋_GB2312" w:hAnsi="宋体" w:eastAsia="仿宋_GB2312" w:cs="宋体"/>
          <w:color w:val="000000" w:themeColor="text1"/>
          <w:kern w:val="0"/>
          <w:sz w:val="32"/>
          <w:szCs w:val="32"/>
        </w:rPr>
        <w:t>公务接待费</w:t>
      </w:r>
      <w:r>
        <w:rPr>
          <w:rFonts w:hint="eastAsia" w:ascii="仿宋_GB2312" w:hAnsi="宋体" w:eastAsia="仿宋_GB2312" w:cs="宋体"/>
          <w:color w:val="000000" w:themeColor="text1"/>
          <w:kern w:val="0"/>
          <w:sz w:val="32"/>
          <w:szCs w:val="32"/>
          <w:lang w:eastAsia="zh-CN"/>
        </w:rPr>
        <w:t>支出</w:t>
      </w:r>
      <w:r>
        <w:rPr>
          <w:rFonts w:ascii="仿宋_GB2312" w:eastAsia="仿宋_GB2312"/>
          <w:color w:val="000000" w:themeColor="text1"/>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新疆喀什地区塔什库尔干县社会福利院日常公用经费9.34万元，与上年相比，减少3.21万元，下降25.58%，减少的主要原因是：2018年压减经费支出。</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74" w:name="OLE_LINK45"/>
      <w:r>
        <w:rPr>
          <w:rFonts w:hint="eastAsia" w:ascii="仿宋_GB2312" w:eastAsia="仿宋_GB2312"/>
          <w:color w:val="000000" w:themeColor="text1"/>
          <w:sz w:val="32"/>
          <w:szCs w:val="32"/>
        </w:rPr>
        <w:t>政府采购支出总额</w:t>
      </w:r>
      <w:bookmarkEnd w:id="74"/>
      <w:r>
        <w:rPr>
          <w:rFonts w:hint="eastAsia" w:ascii="仿宋_GB2312" w:eastAsia="仿宋_GB2312"/>
          <w:sz w:val="32"/>
          <w:szCs w:val="32"/>
        </w:rPr>
        <w:t>0</w:t>
      </w:r>
      <w:r>
        <w:rPr>
          <w:rFonts w:hint="eastAsia" w:ascii="仿宋_GB2312" w:eastAsia="仿宋_GB2312"/>
          <w:color w:val="000000" w:themeColor="text1"/>
          <w:sz w:val="32"/>
          <w:szCs w:val="32"/>
        </w:rPr>
        <w:t>万元，其中：</w:t>
      </w:r>
      <w:bookmarkStart w:id="75" w:name="OLE_LINK46"/>
      <w:r>
        <w:rPr>
          <w:rFonts w:hint="eastAsia" w:ascii="仿宋_GB2312" w:eastAsia="仿宋_GB2312"/>
          <w:color w:val="000000" w:themeColor="text1"/>
          <w:sz w:val="32"/>
          <w:szCs w:val="32"/>
        </w:rPr>
        <w:t>政府采购货物支出</w:t>
      </w:r>
      <w:bookmarkEnd w:id="75"/>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76" w:name="OLE_LINK47"/>
      <w:r>
        <w:rPr>
          <w:rFonts w:hint="eastAsia" w:ascii="仿宋_GB2312" w:eastAsia="仿宋_GB2312"/>
          <w:color w:val="000000" w:themeColor="text1"/>
          <w:sz w:val="32"/>
          <w:szCs w:val="32"/>
        </w:rPr>
        <w:t>政府采购工程支出</w:t>
      </w:r>
      <w:bookmarkEnd w:id="76"/>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77" w:name="OLE_LINK48"/>
      <w:r>
        <w:rPr>
          <w:rFonts w:hint="eastAsia" w:ascii="仿宋_GB2312" w:eastAsia="仿宋_GB2312"/>
          <w:color w:val="000000" w:themeColor="text1"/>
          <w:sz w:val="32"/>
          <w:szCs w:val="32"/>
        </w:rPr>
        <w:t>政府采购服务支出</w:t>
      </w:r>
      <w:bookmarkEnd w:id="77"/>
      <w:r>
        <w:rPr>
          <w:rFonts w:hint="eastAsia" w:ascii="仿宋_GB2312" w:eastAsia="仿宋_GB2312"/>
          <w:sz w:val="32"/>
          <w:szCs w:val="32"/>
        </w:rPr>
        <w:t>0</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78"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0</w:t>
      </w:r>
      <w:r>
        <w:rPr>
          <w:rFonts w:hint="eastAsia" w:ascii="仿宋_GB2312" w:eastAsia="仿宋_GB2312"/>
          <w:color w:val="000000" w:themeColor="text1"/>
          <w:sz w:val="32"/>
          <w:szCs w:val="32"/>
        </w:rPr>
        <w:t>辆，价值</w:t>
      </w:r>
      <w:r>
        <w:rPr>
          <w:rFonts w:hint="eastAsia" w:ascii="仿宋_GB2312" w:eastAsia="仿宋_GB2312"/>
          <w:sz w:val="32"/>
          <w:szCs w:val="32"/>
        </w:rPr>
        <w:t>0</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无；</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7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jc w:val="left"/>
        <w:rPr>
          <w:rFonts w:hint="eastAsia" w:ascii="黑体" w:hAnsi="黑体" w:eastAsia="黑体"/>
          <w:sz w:val="32"/>
          <w:szCs w:val="32"/>
        </w:rPr>
      </w:pPr>
      <w:r>
        <w:rPr>
          <w:rFonts w:hint="eastAsia" w:ascii="仿宋_GB2312" w:eastAsia="仿宋_GB2312"/>
          <w:color w:val="000000" w:themeColor="text1"/>
          <w:sz w:val="32"/>
          <w:szCs w:val="32"/>
          <w:lang w:val="en-US" w:eastAsia="zh-CN"/>
        </w:rPr>
        <w:t>2</w:t>
      </w:r>
      <w:r>
        <w:rPr>
          <w:rFonts w:hint="eastAsia" w:ascii="仿宋_GB2312" w:eastAsia="仿宋_GB2312"/>
          <w:color w:val="000000" w:themeColor="text1"/>
          <w:sz w:val="32"/>
          <w:szCs w:val="32"/>
        </w:rPr>
        <w:t>018年度，本部门单位预算绩效自评情况：</w:t>
      </w:r>
      <w:r>
        <w:rPr>
          <w:rFonts w:ascii="仿宋_GB2312" w:eastAsia="仿宋_GB2312"/>
          <w:color w:val="000000" w:themeColor="text1"/>
          <w:sz w:val="32"/>
          <w:szCs w:val="32"/>
        </w:rPr>
        <w:t>201</w:t>
      </w:r>
      <w:r>
        <w:rPr>
          <w:rFonts w:hint="eastAsia" w:ascii="仿宋_GB2312" w:eastAsia="仿宋_GB2312"/>
          <w:color w:val="000000" w:themeColor="text1"/>
          <w:sz w:val="32"/>
          <w:szCs w:val="32"/>
          <w:lang w:val="en-US" w:eastAsia="zh-CN"/>
        </w:rPr>
        <w:t>8</w:t>
      </w:r>
      <w:r>
        <w:rPr>
          <w:rFonts w:hint="eastAsia" w:ascii="仿宋_GB2312" w:eastAsia="仿宋_GB2312"/>
          <w:color w:val="000000" w:themeColor="text1"/>
          <w:sz w:val="32"/>
          <w:szCs w:val="32"/>
        </w:rPr>
        <w:t>年度，本部门单位实行绩效管理的项目</w:t>
      </w:r>
      <w:r>
        <w:rPr>
          <w:rFonts w:ascii="仿宋_GB2312" w:eastAsia="仿宋_GB2312"/>
          <w:color w:val="000000" w:themeColor="text1"/>
          <w:sz w:val="32"/>
          <w:szCs w:val="32"/>
        </w:rPr>
        <w:t>0</w:t>
      </w:r>
      <w:r>
        <w:rPr>
          <w:rFonts w:hint="eastAsia" w:ascii="仿宋_GB2312" w:eastAsia="仿宋_GB2312"/>
          <w:color w:val="000000" w:themeColor="text1"/>
          <w:sz w:val="32"/>
          <w:szCs w:val="32"/>
        </w:rPr>
        <w:t>个，涉及预算</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万元，项目支出决算</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万元。年末本部门单位民生项目和重点支出项目的绩效评价开展情况及结果：无</w:t>
      </w:r>
      <w:r>
        <w:rPr>
          <w:rFonts w:hint="eastAsia" w:ascii="仿宋_GB2312" w:eastAsia="仿宋_GB2312"/>
          <w:color w:val="000000" w:themeColor="text1"/>
          <w:sz w:val="32"/>
          <w:szCs w:val="32"/>
          <w:lang w:eastAsia="zh-CN"/>
        </w:rPr>
        <w:t>预算绩效情况</w:t>
      </w:r>
      <w:r>
        <w:rPr>
          <w:rFonts w:hint="eastAsia" w:ascii="仿宋_GB2312" w:eastAsia="仿宋_GB2312"/>
          <w:color w:val="000000" w:themeColor="text1"/>
          <w:sz w:val="32"/>
          <w:szCs w:val="32"/>
        </w:rPr>
        <w:t>。</w:t>
      </w:r>
    </w:p>
    <w:p>
      <w:pPr>
        <w:spacing w:line="540" w:lineRule="exact"/>
        <w:jc w:val="center"/>
        <w:rPr>
          <w:rFonts w:ascii="黑体" w:hAnsi="黑体" w:eastAsia="黑体"/>
          <w:sz w:val="32"/>
          <w:szCs w:val="32"/>
        </w:rPr>
      </w:pPr>
      <w:r>
        <w:rPr>
          <w:rFonts w:hint="eastAsia" w:ascii="黑体" w:hAnsi="黑体" w:eastAsia="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208（类）10（款）05（项）指：社会福利事业单位。221（类）02（款）01（项）指：住房公积金。208（类）05（款）05（项）指：机关事业单位基本养老保险缴费支出。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9631" w:y="37"/>
      <w:jc w:val="right"/>
      <w:rPr>
        <w:rStyle w:val="8"/>
        <w:rFonts w:hint="eastAsia" w:ascii="宋体" w:hAnsi="宋体" w:eastAsia="宋体"/>
        <w:sz w:val="28"/>
        <w:lang w:eastAsia="zh-CN"/>
      </w:rPr>
    </w:pPr>
    <w:r>
      <w:rPr>
        <w:rStyle w:val="8"/>
        <w:rFonts w:ascii="宋体" w:hAnsi="宋体" w:eastAsia="宋体"/>
        <w:sz w:val="28"/>
      </w:rPr>
      <w:fldChar w:fldCharType="begin"/>
    </w:r>
    <w:r>
      <w:rPr>
        <w:rStyle w:val="8"/>
        <w:rFonts w:ascii="宋体" w:hAnsi="宋体" w:eastAsia="宋体"/>
        <w:sz w:val="28"/>
      </w:rPr>
      <w:instrText xml:space="preserve"> PAGE </w:instrText>
    </w:r>
    <w:r>
      <w:rPr>
        <w:rStyle w:val="8"/>
        <w:rFonts w:ascii="宋体" w:hAnsi="宋体" w:eastAsia="宋体"/>
        <w:sz w:val="28"/>
      </w:rPr>
      <w:fldChar w:fldCharType="separate"/>
    </w:r>
    <w:r>
      <w:rPr>
        <w:rStyle w:val="8"/>
        <w:rFonts w:ascii="宋体" w:hAnsi="宋体" w:eastAsia="宋体"/>
        <w:sz w:val="28"/>
      </w:rPr>
      <w:t>- 1 -</w:t>
    </w:r>
    <w:r>
      <w:rPr>
        <w:rStyle w:val="8"/>
        <w:rFonts w:ascii="宋体" w:hAnsi="宋体" w:eastAsia="宋体"/>
        <w:sz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1756" w:y="37"/>
      <w:rPr>
        <w:rStyle w:val="8"/>
        <w:rFonts w:ascii="宋体" w:hAnsi="宋体" w:eastAsia="宋体"/>
        <w:sz w:val="28"/>
        <w:szCs w:val="28"/>
      </w:rPr>
    </w:pPr>
    <w:r>
      <w:rPr>
        <w:rStyle w:val="8"/>
        <w:rFonts w:ascii="宋体" w:hAnsi="宋体" w:eastAsia="宋体"/>
        <w:sz w:val="28"/>
        <w:szCs w:val="28"/>
      </w:rPr>
      <w:fldChar w:fldCharType="begin"/>
    </w:r>
    <w:r>
      <w:rPr>
        <w:rStyle w:val="8"/>
        <w:rFonts w:ascii="宋体" w:hAnsi="宋体" w:eastAsia="宋体"/>
        <w:sz w:val="28"/>
        <w:szCs w:val="28"/>
      </w:rPr>
      <w:instrText xml:space="preserve">PAGE  </w:instrText>
    </w:r>
    <w:r>
      <w:rPr>
        <w:rStyle w:val="8"/>
        <w:rFonts w:ascii="宋体" w:hAnsi="宋体" w:eastAsia="宋体"/>
        <w:sz w:val="28"/>
        <w:szCs w:val="28"/>
      </w:rPr>
      <w:fldChar w:fldCharType="separate"/>
    </w:r>
    <w:r>
      <w:rPr>
        <w:rStyle w:val="8"/>
        <w:rFonts w:ascii="宋体" w:hAnsi="宋体" w:eastAsia="宋体"/>
        <w:sz w:val="28"/>
        <w:szCs w:val="28"/>
      </w:rPr>
      <w:t>-12-</w:t>
    </w:r>
    <w:r>
      <w:rPr>
        <w:rStyle w:val="8"/>
        <w:rFonts w:ascii="宋体" w:hAnsi="宋体" w:eastAsia="宋体"/>
        <w:sz w:val="28"/>
        <w:szCs w:val="28"/>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2781C2E"/>
    <w:rsid w:val="028847F9"/>
    <w:rsid w:val="03AA79F6"/>
    <w:rsid w:val="04741FE5"/>
    <w:rsid w:val="04DB02C7"/>
    <w:rsid w:val="053E67B0"/>
    <w:rsid w:val="06A5584D"/>
    <w:rsid w:val="06B856EE"/>
    <w:rsid w:val="07FE5938"/>
    <w:rsid w:val="084604BC"/>
    <w:rsid w:val="08883825"/>
    <w:rsid w:val="09725983"/>
    <w:rsid w:val="0A382BB5"/>
    <w:rsid w:val="0A8B5FB1"/>
    <w:rsid w:val="0AA4543A"/>
    <w:rsid w:val="0BE61132"/>
    <w:rsid w:val="0C9B0DD6"/>
    <w:rsid w:val="0CE4791C"/>
    <w:rsid w:val="0D681AA3"/>
    <w:rsid w:val="0E063C64"/>
    <w:rsid w:val="0F4310D7"/>
    <w:rsid w:val="0F4C7B96"/>
    <w:rsid w:val="0FFB575E"/>
    <w:rsid w:val="108046D0"/>
    <w:rsid w:val="10845F1B"/>
    <w:rsid w:val="11463A00"/>
    <w:rsid w:val="11560F8D"/>
    <w:rsid w:val="11600918"/>
    <w:rsid w:val="11B0398F"/>
    <w:rsid w:val="128F19F1"/>
    <w:rsid w:val="13B960C5"/>
    <w:rsid w:val="152777F4"/>
    <w:rsid w:val="15A64C92"/>
    <w:rsid w:val="15C674B6"/>
    <w:rsid w:val="15F02008"/>
    <w:rsid w:val="1746666C"/>
    <w:rsid w:val="174A5B09"/>
    <w:rsid w:val="17B05C3F"/>
    <w:rsid w:val="18D54A0D"/>
    <w:rsid w:val="1A4106A0"/>
    <w:rsid w:val="1A4F5437"/>
    <w:rsid w:val="1AB77CD0"/>
    <w:rsid w:val="1E807156"/>
    <w:rsid w:val="1EA657F6"/>
    <w:rsid w:val="1F097CB6"/>
    <w:rsid w:val="1F8A0433"/>
    <w:rsid w:val="2166156B"/>
    <w:rsid w:val="21B02D83"/>
    <w:rsid w:val="22A236F5"/>
    <w:rsid w:val="23995975"/>
    <w:rsid w:val="2432220E"/>
    <w:rsid w:val="243B5E7D"/>
    <w:rsid w:val="245976E8"/>
    <w:rsid w:val="248303BA"/>
    <w:rsid w:val="24837E47"/>
    <w:rsid w:val="252E01AA"/>
    <w:rsid w:val="2680023E"/>
    <w:rsid w:val="29680352"/>
    <w:rsid w:val="2A020F75"/>
    <w:rsid w:val="2B007AEE"/>
    <w:rsid w:val="2BC14C56"/>
    <w:rsid w:val="2C1B026F"/>
    <w:rsid w:val="2CC61F55"/>
    <w:rsid w:val="2E8908EF"/>
    <w:rsid w:val="2EF7452F"/>
    <w:rsid w:val="2F1D13B4"/>
    <w:rsid w:val="2FAA3DA6"/>
    <w:rsid w:val="30682E1F"/>
    <w:rsid w:val="30E210D2"/>
    <w:rsid w:val="311371D6"/>
    <w:rsid w:val="31EB64C9"/>
    <w:rsid w:val="336D0D6F"/>
    <w:rsid w:val="352E4BEC"/>
    <w:rsid w:val="35614AAF"/>
    <w:rsid w:val="37025CC7"/>
    <w:rsid w:val="378841FC"/>
    <w:rsid w:val="37DD5594"/>
    <w:rsid w:val="38F24FA8"/>
    <w:rsid w:val="3A98342A"/>
    <w:rsid w:val="3AB6780E"/>
    <w:rsid w:val="3AD56D70"/>
    <w:rsid w:val="3B244B6D"/>
    <w:rsid w:val="3B2920C2"/>
    <w:rsid w:val="3BE41ABD"/>
    <w:rsid w:val="3C5421A9"/>
    <w:rsid w:val="3CD8048D"/>
    <w:rsid w:val="3D903B21"/>
    <w:rsid w:val="3F440741"/>
    <w:rsid w:val="41B76447"/>
    <w:rsid w:val="41FC306C"/>
    <w:rsid w:val="44BE5554"/>
    <w:rsid w:val="451E0908"/>
    <w:rsid w:val="452C2D31"/>
    <w:rsid w:val="45CA3D44"/>
    <w:rsid w:val="45D26E14"/>
    <w:rsid w:val="467E1400"/>
    <w:rsid w:val="46851D83"/>
    <w:rsid w:val="46A541B1"/>
    <w:rsid w:val="48C57772"/>
    <w:rsid w:val="48DF05C4"/>
    <w:rsid w:val="49782886"/>
    <w:rsid w:val="4A6F0D28"/>
    <w:rsid w:val="4AAF085C"/>
    <w:rsid w:val="4AEB7E60"/>
    <w:rsid w:val="4B4B135B"/>
    <w:rsid w:val="4B727EF4"/>
    <w:rsid w:val="4BC7055F"/>
    <w:rsid w:val="4CFC7DB2"/>
    <w:rsid w:val="4E7C187D"/>
    <w:rsid w:val="4F051BB7"/>
    <w:rsid w:val="4F224772"/>
    <w:rsid w:val="508941AD"/>
    <w:rsid w:val="50E65530"/>
    <w:rsid w:val="51457139"/>
    <w:rsid w:val="51574DBD"/>
    <w:rsid w:val="51E407F0"/>
    <w:rsid w:val="51EC1DA8"/>
    <w:rsid w:val="52174301"/>
    <w:rsid w:val="52FC5524"/>
    <w:rsid w:val="532D7A17"/>
    <w:rsid w:val="54402AC2"/>
    <w:rsid w:val="54AF4562"/>
    <w:rsid w:val="54C9674B"/>
    <w:rsid w:val="556318EA"/>
    <w:rsid w:val="55A60AA1"/>
    <w:rsid w:val="56451615"/>
    <w:rsid w:val="57542ED2"/>
    <w:rsid w:val="57FC5774"/>
    <w:rsid w:val="59B332C9"/>
    <w:rsid w:val="5A44758A"/>
    <w:rsid w:val="5B0D2633"/>
    <w:rsid w:val="5BEC4BB3"/>
    <w:rsid w:val="5C027F2B"/>
    <w:rsid w:val="5C070B55"/>
    <w:rsid w:val="5C2E1488"/>
    <w:rsid w:val="5CB96DCE"/>
    <w:rsid w:val="5CE61580"/>
    <w:rsid w:val="5D175666"/>
    <w:rsid w:val="5D556A3C"/>
    <w:rsid w:val="5D7B25C9"/>
    <w:rsid w:val="5E861665"/>
    <w:rsid w:val="5ECB44B4"/>
    <w:rsid w:val="5EE2043C"/>
    <w:rsid w:val="602D2E37"/>
    <w:rsid w:val="61460FBE"/>
    <w:rsid w:val="62775810"/>
    <w:rsid w:val="62D83744"/>
    <w:rsid w:val="630F4048"/>
    <w:rsid w:val="63AA02E5"/>
    <w:rsid w:val="64700DE9"/>
    <w:rsid w:val="65411DDA"/>
    <w:rsid w:val="65C613BD"/>
    <w:rsid w:val="65FD118C"/>
    <w:rsid w:val="682C3D89"/>
    <w:rsid w:val="68611305"/>
    <w:rsid w:val="6A162DE0"/>
    <w:rsid w:val="6A331428"/>
    <w:rsid w:val="6B2E5CB6"/>
    <w:rsid w:val="6B3D4886"/>
    <w:rsid w:val="6DF8675E"/>
    <w:rsid w:val="6EA80098"/>
    <w:rsid w:val="6F8D70FF"/>
    <w:rsid w:val="6F95092D"/>
    <w:rsid w:val="6FFE5011"/>
    <w:rsid w:val="7178734D"/>
    <w:rsid w:val="71791096"/>
    <w:rsid w:val="717B0C34"/>
    <w:rsid w:val="71FB78FD"/>
    <w:rsid w:val="7275064A"/>
    <w:rsid w:val="733F750B"/>
    <w:rsid w:val="735702E2"/>
    <w:rsid w:val="73F42C9E"/>
    <w:rsid w:val="75E22086"/>
    <w:rsid w:val="765F635A"/>
    <w:rsid w:val="76B73454"/>
    <w:rsid w:val="76D254BD"/>
    <w:rsid w:val="77727ACD"/>
    <w:rsid w:val="78071142"/>
    <w:rsid w:val="79296B37"/>
    <w:rsid w:val="7A4C4C40"/>
    <w:rsid w:val="7AA0518E"/>
    <w:rsid w:val="7B041636"/>
    <w:rsid w:val="7CA86749"/>
    <w:rsid w:val="7D5B0AE2"/>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3"/>
    <w:unhideWhenUsed/>
    <w:qFormat/>
    <w:uiPriority w:val="99"/>
    <w:rPr>
      <w:b/>
      <w:bCs/>
    </w:rPr>
  </w:style>
  <w:style w:type="paragraph" w:styleId="3">
    <w:name w:val="annotation text"/>
    <w:basedOn w:val="1"/>
    <w:link w:val="12"/>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annotation reference"/>
    <w:basedOn w:val="7"/>
    <w:unhideWhenUsed/>
    <w:qFormat/>
    <w:uiPriority w:val="99"/>
    <w:rPr>
      <w:sz w:val="21"/>
      <w:szCs w:val="21"/>
    </w:rPr>
  </w:style>
  <w:style w:type="character" w:customStyle="1" w:styleId="11">
    <w:name w:val="页脚 字符"/>
    <w:basedOn w:val="7"/>
    <w:link w:val="5"/>
    <w:qFormat/>
    <w:uiPriority w:val="0"/>
    <w:rPr>
      <w:rFonts w:ascii="Times New Roman" w:hAnsi="Times New Roman" w:eastAsia="黑体" w:cs="Times New Roman"/>
      <w:snapToGrid w:val="0"/>
      <w:kern w:val="0"/>
      <w:sz w:val="18"/>
      <w:szCs w:val="18"/>
    </w:rPr>
  </w:style>
  <w:style w:type="character" w:customStyle="1" w:styleId="12">
    <w:name w:val="批注文字 字符"/>
    <w:basedOn w:val="7"/>
    <w:link w:val="3"/>
    <w:semiHidden/>
    <w:qFormat/>
    <w:uiPriority w:val="99"/>
    <w:rPr>
      <w:rFonts w:ascii="Times New Roman" w:hAnsi="Times New Roman" w:eastAsia="宋体" w:cs="Times New Roman"/>
      <w:szCs w:val="24"/>
    </w:rPr>
  </w:style>
  <w:style w:type="character" w:customStyle="1" w:styleId="13">
    <w:name w:val="批注主题 字符"/>
    <w:basedOn w:val="12"/>
    <w:link w:val="2"/>
    <w:semiHidden/>
    <w:qFormat/>
    <w:uiPriority w:val="99"/>
    <w:rPr>
      <w:rFonts w:ascii="Times New Roman" w:hAnsi="Times New Roman" w:eastAsia="宋体" w:cs="Times New Roman"/>
      <w:b/>
      <w:bCs/>
      <w:szCs w:val="24"/>
    </w:rPr>
  </w:style>
  <w:style w:type="character" w:customStyle="1" w:styleId="14">
    <w:name w:val="批注框文本 字符"/>
    <w:basedOn w:val="7"/>
    <w:link w:val="4"/>
    <w:semiHidden/>
    <w:qFormat/>
    <w:uiPriority w:val="99"/>
    <w:rPr>
      <w:rFonts w:ascii="Times New Roman" w:hAnsi="Times New Roman" w:eastAsia="宋体" w:cs="Times New Roman"/>
      <w:sz w:val="18"/>
      <w:szCs w:val="18"/>
    </w:rPr>
  </w:style>
  <w:style w:type="character" w:customStyle="1" w:styleId="15">
    <w:name w:val="页眉 字符"/>
    <w:basedOn w:val="7"/>
    <w:link w:val="6"/>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1150</Words>
  <Characters>6560</Characters>
  <Lines>54</Lines>
  <Paragraphs>15</Paragraphs>
  <TotalTime>0</TotalTime>
  <ScaleCrop>false</ScaleCrop>
  <LinksUpToDate>false</LinksUpToDate>
  <CharactersWithSpaces>7695</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Lenovo</cp:lastModifiedBy>
  <dcterms:modified xsi:type="dcterms:W3CDTF">2020-04-04T15:28:24Z</dcterms:modified>
  <cp:revision>810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