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2018年度新疆喀什地区塔什库尔干县残疾人联合会部门决算公开说明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塔什库尔干县残疾人联合会履行“代表、服务、管理”三种职能；代表残疾人共同利益，维护残疾人合法权益；开展各项业务和活动，团结教育残疾人，直接为残疾人服务；承担政府委托的部分行政职能，管理和发展残疾人事业。密切联系残疾人，听取残疾人意见，反映残疾人需求，全心全意为残疾人服务。团结、教育残疾人，遵守法律，履行应尽义务，发扬乐观进取精神，自尊、自信、自强、自立、为现代化建设贡献力量。 弘扬人道主义,宣传残疾人事业,沟通政府、社会与残疾人之间的联系，动员全社会理解、尊重、关心、帮助残疾人。开展和促进残疾人康复、教育、劳动就业、文化生活、福利、社会服务、无障碍设施和残疾预防等工作，改善残疾人参与社会生活的环境和条件。协助政府研究、制定和实施残疾人事业的法规、政策、规划和计划，发挥综合、协调、咨询、服务作用，对有关领域的工作进行管理和指导。承担政府残疾人工作委员会的日常工作。管理和发放《中华人民共和国残疾人证》。联系、指导各残疾人群众组织，培养残疾人工作者。承担政府交办的其他工作。</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新疆喀什地区塔什库尔干县残疾人联合会</w:t>
      </w:r>
      <w:r>
        <w:rPr>
          <w:rFonts w:hint="eastAsia" w:ascii="仿宋_GB2312" w:eastAsia="仿宋_GB2312"/>
          <w:sz w:val="32"/>
          <w:szCs w:val="32"/>
        </w:rPr>
        <w:t>部门决算包括：</w:t>
      </w:r>
      <w:r>
        <w:rPr>
          <w:rFonts w:ascii="仿宋_GB2312" w:eastAsia="仿宋_GB2312"/>
          <w:sz w:val="32"/>
          <w:szCs w:val="32"/>
        </w:rPr>
        <w:t>新疆喀什地区塔什库尔干县残疾人联合会</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新疆喀什地区塔什库尔干县残疾人联合会</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5"/>
        <w:gridCol w:w="6162"/>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635"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6162"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1667" w:type="dxa"/>
            <w:vAlign w:val="center"/>
          </w:tcPr>
          <w:p>
            <w:pPr>
              <w:spacing w:line="500" w:lineRule="exact"/>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5"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6162"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新疆喀什地区塔什库尔干县残疾人联合会</w:t>
            </w:r>
          </w:p>
        </w:tc>
        <w:tc>
          <w:tcPr>
            <w:tcW w:w="1667"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outlineLvl w:val="9"/>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lang w:val="en-US" w:eastAsia="zh-CN"/>
        </w:rPr>
        <w:t xml:space="preserve">     </w:t>
      </w:r>
      <w:r>
        <w:rPr>
          <w:rFonts w:hint="eastAsia" w:ascii="仿宋_GB2312" w:eastAsia="仿宋_GB2312"/>
          <w:color w:val="000000" w:themeColor="text1"/>
          <w:sz w:val="32"/>
          <w:szCs w:val="32"/>
        </w:rPr>
        <w:t>2018年度收入</w:t>
      </w:r>
      <w:r>
        <w:rPr>
          <w:rFonts w:hint="eastAsia" w:ascii="仿宋_GB2312" w:eastAsia="仿宋_GB2312"/>
          <w:sz w:val="32"/>
          <w:szCs w:val="32"/>
        </w:rPr>
        <w:t>196.33</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，与上年相比，增加81.03万元，增长70.28%，增加的主要原因是：</w:t>
      </w:r>
      <w:r>
        <w:rPr>
          <w:rFonts w:hint="eastAsia" w:ascii="仿宋_GB2312" w:eastAsia="仿宋_GB2312"/>
          <w:color w:val="000000" w:themeColor="text1"/>
          <w:sz w:val="32"/>
          <w:szCs w:val="32"/>
        </w:rPr>
        <w:t>本年度政策性调资导致基本工资增加，加之艰边津贴和工龄工资调资补发，以及残疾人两项补贴资金项目增加；</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196.33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，与上年相比，增加81.03万元，增长70.28%，增加的主要原因是：</w:t>
      </w:r>
      <w:r>
        <w:rPr>
          <w:rFonts w:hint="eastAsia" w:ascii="仿宋_GB2312" w:eastAsia="仿宋_GB2312"/>
          <w:color w:val="000000" w:themeColor="text1"/>
          <w:sz w:val="32"/>
          <w:szCs w:val="32"/>
        </w:rPr>
        <w:t>本年度政策性调资导致基本工资增加，加之艰边津贴和工龄工资调资补发，以及残疾人两项补贴资金项目增加；</w:t>
      </w:r>
      <w:bookmarkEnd w:id="7"/>
      <w:bookmarkStart w:id="8" w:name="OLE_LINK54"/>
      <w:r>
        <w:rPr>
          <w:rFonts w:hint="eastAsia" w:ascii="仿宋_GB2312" w:eastAsia="仿宋_GB2312"/>
          <w:color w:val="000000"/>
          <w:sz w:val="32"/>
          <w:szCs w:val="32"/>
        </w:rPr>
        <w:t>结余</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w:t>
      </w:r>
      <w:r>
        <w:rPr>
          <w:rFonts w:hint="eastAsia" w:ascii="仿宋_GB2312" w:eastAsia="仿宋_GB2312"/>
          <w:sz w:val="32"/>
          <w:szCs w:val="32"/>
        </w:rPr>
        <w:t>增加0万元，增长0%，</w:t>
      </w:r>
      <w:r>
        <w:rPr>
          <w:rFonts w:hint="eastAsia" w:ascii="仿宋_GB2312" w:eastAsia="仿宋_GB2312"/>
          <w:sz w:val="32"/>
          <w:szCs w:val="32"/>
          <w:lang w:eastAsia="zh-CN"/>
        </w:rPr>
        <w:t>增减变化的</w:t>
      </w:r>
      <w:r>
        <w:rPr>
          <w:rFonts w:hint="eastAsia" w:ascii="仿宋_GB2312" w:eastAsia="仿宋_GB2312"/>
          <w:sz w:val="32"/>
          <w:szCs w:val="32"/>
        </w:rPr>
        <w:t>主要原因是：</w:t>
      </w:r>
      <w:r>
        <w:rPr>
          <w:rFonts w:hint="eastAsia" w:ascii="仿宋_GB2312" w:eastAsia="仿宋_GB2312"/>
          <w:color w:val="000000"/>
          <w:sz w:val="32"/>
          <w:szCs w:val="32"/>
          <w:lang w:val="en-US" w:eastAsia="zh-CN"/>
        </w:rPr>
        <w:t>本年与上年均无结余资金</w:t>
      </w:r>
      <w:r>
        <w:rPr>
          <w:rFonts w:ascii="仿宋_GB2312" w:eastAsia="仿宋_GB2312"/>
          <w:color w:val="000000"/>
          <w:sz w:val="32"/>
          <w:szCs w:val="32"/>
        </w:rPr>
        <w:t>。</w:t>
      </w:r>
      <w:bookmarkEnd w:id="8"/>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ascii="楷体_GB2312" w:eastAsia="楷体_GB2312"/>
          <w:b/>
          <w:bCs/>
          <w:sz w:val="32"/>
          <w:szCs w:val="32"/>
        </w:rPr>
      </w:pPr>
      <w:r>
        <w:rPr>
          <w:rFonts w:hint="eastAsia" w:ascii="楷体_GB2312" w:eastAsia="楷体_GB2312"/>
          <w:b/>
          <w:bCs/>
          <w:sz w:val="32"/>
          <w:szCs w:val="32"/>
        </w:rPr>
        <w:t>（二）部门收入总体情况说明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196.33</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196.33</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况：本年收入年初预算数70.43万元</w:t>
      </w:r>
      <w:r>
        <w:rPr>
          <w:rFonts w:hint="eastAsia" w:ascii="仿宋_GB2312" w:eastAsia="仿宋_GB2312"/>
          <w:sz w:val="32"/>
          <w:szCs w:val="32"/>
        </w:rPr>
        <w:t>，决算数196.33万元</w:t>
      </w:r>
      <w:r>
        <w:rPr>
          <w:rFonts w:ascii="仿宋_GB2312" w:eastAsia="仿宋_GB2312"/>
          <w:sz w:val="32"/>
          <w:szCs w:val="32"/>
        </w:rPr>
        <w:t>，预决算差异率178.76%，差异主要原因是本年度政策性调资以及残疾人两项补贴项目未列入预算。</w:t>
      </w:r>
      <w:bookmarkEnd w:id="15"/>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eastAsia="仿宋_GB2312"/>
          <w:color w:val="000000" w:themeColor="text1"/>
          <w:spacing w:val="-6"/>
          <w:sz w:val="32"/>
          <w:szCs w:val="32"/>
          <w:lang w:eastAsia="zh-CN"/>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196.33</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59.3</w:t>
      </w:r>
      <w:r>
        <w:rPr>
          <w:rFonts w:hint="eastAsia" w:ascii="仿宋_GB2312" w:eastAsia="仿宋_GB2312"/>
          <w:color w:val="000000" w:themeColor="text1"/>
          <w:sz w:val="32"/>
          <w:szCs w:val="32"/>
        </w:rPr>
        <w:t>万元，占</w:t>
      </w:r>
      <w:r>
        <w:rPr>
          <w:rFonts w:hint="eastAsia" w:ascii="仿宋_GB2312" w:eastAsia="仿宋_GB2312"/>
          <w:sz w:val="32"/>
          <w:szCs w:val="32"/>
        </w:rPr>
        <w:t>30.2%</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137.03</w:t>
      </w:r>
      <w:r>
        <w:rPr>
          <w:rFonts w:hint="eastAsia" w:ascii="仿宋_GB2312" w:eastAsia="仿宋_GB2312"/>
          <w:color w:val="000000" w:themeColor="text1"/>
          <w:sz w:val="32"/>
          <w:szCs w:val="32"/>
        </w:rPr>
        <w:t>万元，占</w:t>
      </w:r>
      <w:r>
        <w:rPr>
          <w:rFonts w:hint="eastAsia" w:ascii="仿宋_GB2312" w:eastAsia="仿宋_GB2312"/>
          <w:sz w:val="32"/>
          <w:szCs w:val="32"/>
        </w:rPr>
        <w:t>69.8%</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与年初预算数相比情况：本年支出年初预算数70.43万元，</w:t>
      </w:r>
      <w:r>
        <w:rPr>
          <w:rFonts w:hint="eastAsia" w:ascii="仿宋_GB2312" w:eastAsia="仿宋_GB2312"/>
          <w:sz w:val="32"/>
          <w:szCs w:val="32"/>
        </w:rPr>
        <w:t>决算数196.33万元</w:t>
      </w:r>
      <w:r>
        <w:rPr>
          <w:rFonts w:ascii="仿宋_GB2312" w:eastAsia="仿宋_GB2312"/>
          <w:sz w:val="32"/>
          <w:szCs w:val="32"/>
        </w:rPr>
        <w:t>，预决算差异率178.76%，差异主要原因是本年度政策性调资以及残疾人两项补贴项目未列入预算。</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lang w:val="en-US" w:eastAsia="zh-CN"/>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196.33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，与上年相比，增加81.03万元，增长70.28%，增加的主要原因是：本年度政策性调资导致基本工资增加，加之艰边津贴和工龄工资调资补发，以及残疾人两项补贴资金项目增加。</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196.33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，与上年相比，增加81.03万元，增长70.28%，增加的主要原因是：</w:t>
      </w:r>
      <w:r>
        <w:rPr>
          <w:rFonts w:ascii="仿宋_GB2312" w:eastAsia="仿宋_GB2312"/>
          <w:sz w:val="32"/>
          <w:szCs w:val="32"/>
        </w:rPr>
        <w:t>本年度政策性调资导致基本工资增加，加之艰边津贴和工龄工资调资补发，以及残疾人两项补贴资金项目增加。</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59.3</w:t>
      </w:r>
      <w:r>
        <w:rPr>
          <w:rFonts w:hint="eastAsia" w:ascii="仿宋_GB2312" w:eastAsia="仿宋_GB2312"/>
          <w:color w:val="000000" w:themeColor="text1"/>
          <w:sz w:val="32"/>
          <w:szCs w:val="32"/>
        </w:rPr>
        <w:t>万元，项目支出</w:t>
      </w:r>
      <w:r>
        <w:rPr>
          <w:rFonts w:hint="eastAsia" w:ascii="仿宋_GB2312" w:eastAsia="仿宋_GB2312"/>
          <w:sz w:val="32"/>
          <w:szCs w:val="32"/>
        </w:rPr>
        <w:t>137.03</w:t>
      </w:r>
      <w:r>
        <w:rPr>
          <w:rFonts w:hint="eastAsia" w:ascii="仿宋_GB2312" w:eastAsia="仿宋_GB2312"/>
          <w:color w:val="000000" w:themeColor="text1"/>
          <w:sz w:val="32"/>
          <w:szCs w:val="32"/>
        </w:rPr>
        <w:t>万元。</w:t>
      </w:r>
      <w:bookmarkEnd w:id="29"/>
      <w:bookmarkStart w:id="31" w:name="OLE_LINK16"/>
      <w:bookmarkStart w:id="32" w:name="OLE_LINK62"/>
      <w:r>
        <w:rPr>
          <w:rFonts w:hint="eastAsia" w:ascii="仿宋_GB2312" w:eastAsia="仿宋_GB2312"/>
          <w:color w:val="000000"/>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,增加0万元，增长0%，增加的主要原因是：本年与上年均无结转结余资金。</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70.43</w:t>
      </w:r>
      <w:r>
        <w:rPr>
          <w:rFonts w:hint="eastAsia" w:ascii="仿宋_GB2312" w:eastAsia="仿宋_GB2312"/>
          <w:color w:val="000000" w:themeColor="text1"/>
          <w:sz w:val="32"/>
          <w:szCs w:val="32"/>
        </w:rPr>
        <w:t>万元，决算数</w:t>
      </w:r>
      <w:r>
        <w:rPr>
          <w:rFonts w:hint="eastAsia" w:ascii="仿宋_GB2312" w:eastAsia="仿宋_GB2312"/>
          <w:sz w:val="32"/>
          <w:szCs w:val="32"/>
        </w:rPr>
        <w:t>196.33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，预决算差异率178.76%，差异主要原因是本年度政策性调资以及残疾人两项补贴项目未列入预算。</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70.43</w:t>
      </w:r>
      <w:r>
        <w:rPr>
          <w:rFonts w:hint="eastAsia" w:ascii="仿宋_GB2312" w:eastAsia="仿宋_GB2312"/>
          <w:color w:val="000000" w:themeColor="text1"/>
          <w:sz w:val="32"/>
          <w:szCs w:val="32"/>
        </w:rPr>
        <w:t>万元，决算数</w:t>
      </w:r>
      <w:r>
        <w:rPr>
          <w:rFonts w:hint="eastAsia" w:ascii="仿宋_GB2312" w:eastAsia="仿宋_GB2312"/>
          <w:sz w:val="32"/>
          <w:szCs w:val="32"/>
        </w:rPr>
        <w:t>196.33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，预决算差异率178.76%，差异主要原因是本年度政策性调资以及残疾人两项补贴项目未列入预算。</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185.03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，与上年相比，增加71.58万元，增长63.09%，增加的主要原因是：本年度政策性调资导致基本工资增加，加之艰边津贴和工龄工资调资补发，以及残疾人两项补贴资金项目增加。</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185.03</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，与上年相比，增加71.58万元，增长63.09%，增加的主要原因是：本年度政策性调资导致基本工资增加，加之艰边津贴和工龄工资调资补发，以及残疾人两项补贴资金项目增加。</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住房保障支出3.87万元,社会保障和就业支出181.16万元。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工资福利支出57.08万元,商品和服务支出2万元</w:t>
      </w:r>
      <w:r>
        <w:rPr>
          <w:rFonts w:hint="default" w:ascii="仿宋_GB2312" w:eastAsia="仿宋_GB2312"/>
          <w:sz w:val="32"/>
          <w:szCs w:val="32"/>
          <w:lang w:val="en-US"/>
        </w:rPr>
        <w:t>,</w:t>
      </w:r>
      <w:r>
        <w:rPr>
          <w:rFonts w:hint="eastAsia" w:ascii="仿宋_GB2312" w:eastAsia="仿宋_GB2312"/>
          <w:sz w:val="32"/>
          <w:szCs w:val="32"/>
          <w:lang w:val="en-US" w:eastAsia="zh-CN"/>
        </w:rPr>
        <w:t>对个人和家庭的补助支出125.95万元</w:t>
      </w:r>
      <w:r>
        <w:rPr>
          <w:rFonts w:hint="eastAsia" w:ascii="仿宋_GB2312" w:eastAsia="仿宋_GB2312"/>
          <w:sz w:val="32"/>
          <w:szCs w:val="32"/>
        </w:rPr>
        <w:t>。</w:t>
      </w:r>
      <w:bookmarkStart w:id="88" w:name="_GoBack"/>
      <w:bookmarkEnd w:id="88"/>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70.43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185.03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，预决算差异率162.71%，差异主要原因是本年度政策性调资以及残疾人两项补贴项目未列入预算。</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70.43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185.03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，预决算差异率162.71%，差异主要原因是本年度政策性调资以及残疾人两项补贴项目未列入预算。</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11.3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，与上年相比，增加9.45万元，增长510.81%，增加的主要原因是：上级行业部门下发用于残疾人事业发展的彩票公益金专项资金增加。</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11.3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，与上年相比，增加9.45万元，增长510.81%，增加的主要原因是：上级行业部门下发用于残疾人事业发展的彩票公益金专项资金增加。</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，其他支出11.3万元。按经济分类科目（按类级科目公开），对个人和家庭的补助11.3万元。</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11.3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lang w:val="en-US" w:eastAsia="zh-CN"/>
        </w:rPr>
        <w:t>10</w:t>
      </w:r>
      <w:r>
        <w:rPr>
          <w:rFonts w:ascii="仿宋_GB2312" w:eastAsia="仿宋_GB2312"/>
          <w:color w:val="000000" w:themeColor="text1"/>
          <w:sz w:val="32"/>
          <w:szCs w:val="32"/>
        </w:rPr>
        <w:t>0%，差异主要原因是上级行业部门下发用于残疾人事业发展的彩票公益金专项资金未列入预算。</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11.3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lang w:val="en-US" w:eastAsia="zh-CN"/>
        </w:rPr>
        <w:t>10</w:t>
      </w:r>
      <w:r>
        <w:rPr>
          <w:rFonts w:ascii="仿宋_GB2312" w:eastAsia="仿宋_GB2312"/>
          <w:color w:val="000000" w:themeColor="text1"/>
          <w:sz w:val="32"/>
          <w:szCs w:val="32"/>
        </w:rPr>
        <w:t>0%，差异主要原因是上级行业部门下发用于残疾人事业发展的彩票公益金专项资金未列入预算。</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年末结转结余0万元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eastAsia="zh-CN"/>
        </w:rPr>
        <w:t>，</w:t>
      </w:r>
      <w:r>
        <w:rPr>
          <w:rFonts w:hint="eastAsia" w:ascii="仿宋_GB2312" w:eastAsia="仿宋_GB2312"/>
          <w:color w:val="000000"/>
          <w:sz w:val="32"/>
          <w:szCs w:val="32"/>
        </w:rPr>
        <w:t>增加0万元，增长0%。</w:t>
      </w:r>
    </w:p>
    <w:p>
      <w:pPr>
        <w:spacing w:line="540" w:lineRule="exact"/>
        <w:ind w:firstLine="640" w:firstLineChars="200"/>
        <w:rPr>
          <w:rFonts w:ascii="仿宋_GB2312" w:eastAsia="仿宋_GB2312"/>
          <w:sz w:val="32"/>
          <w:szCs w:val="32"/>
        </w:rPr>
      </w:pPr>
      <w:r>
        <w:rPr>
          <w:rFonts w:hint="eastAsia" w:ascii="仿宋_GB2312" w:eastAsia="仿宋_GB2312"/>
          <w:color w:val="000000"/>
          <w:sz w:val="32"/>
          <w:szCs w:val="32"/>
        </w:rPr>
        <w:t>其中财政拨款结转结余0万元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pPr>
      <w:bookmarkStart w:id="52" w:name="OLE_LINK74"/>
      <w:r>
        <w:rPr>
          <w:rFonts w:hint="eastAsia" w:ascii="仿宋_GB2312" w:eastAsia="仿宋_GB2312"/>
          <w:color w:val="000000" w:themeColor="text1"/>
          <w:sz w:val="32"/>
          <w:szCs w:val="32"/>
        </w:rPr>
        <w:t>2018年度</w:t>
      </w:r>
      <w:bookmarkStart w:id="53" w:name="OLE_LINK29"/>
      <w:r>
        <w:rPr>
          <w:rFonts w:hint="eastAsia" w:ascii="仿宋_GB2312" w:eastAsia="仿宋_GB2312"/>
          <w:color w:val="000000" w:themeColor="text1"/>
          <w:sz w:val="32"/>
          <w:szCs w:val="32"/>
        </w:rPr>
        <w:t>一般公共预算“三公”经费支出决算</w:t>
      </w:r>
      <w:bookmarkEnd w:id="53"/>
      <w:r>
        <w:rPr>
          <w:rFonts w:hint="eastAsia" w:ascii="仿宋_GB2312" w:eastAsia="仿宋_GB2312"/>
          <w:sz w:val="32"/>
          <w:szCs w:val="32"/>
        </w:rPr>
        <w:t>0.3</w:t>
      </w:r>
      <w:r>
        <w:rPr>
          <w:rFonts w:hint="eastAsia" w:ascii="仿宋_GB2312" w:eastAsia="仿宋_GB2312"/>
          <w:color w:val="000000" w:themeColor="text1"/>
          <w:sz w:val="32"/>
          <w:szCs w:val="32"/>
        </w:rPr>
        <w:t>万元</w:t>
      </w:r>
      <w:r>
        <w:rPr>
          <w:rFonts w:hint="eastAsia" w:ascii="仿宋_GB2312" w:eastAsia="仿宋_GB2312"/>
          <w:sz w:val="32"/>
          <w:szCs w:val="32"/>
        </w:rPr>
        <w:t>，</w:t>
      </w:r>
      <w:bookmarkEnd w:id="52"/>
      <w:bookmarkStart w:id="54" w:name="OLE_LINK79"/>
      <w:bookmarkStart w:id="55" w:name="OLE_LINK80"/>
      <w:r>
        <w:rPr>
          <w:rFonts w:hint="eastAsia" w:ascii="仿宋_GB2312" w:eastAsia="仿宋_GB2312"/>
          <w:sz w:val="32"/>
          <w:szCs w:val="32"/>
          <w:highlight w:val="none"/>
        </w:rPr>
        <w:t>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本年支出与上年支出保持一致，无变化</w:t>
      </w:r>
      <w:r>
        <w:rPr>
          <w:rFonts w:hint="eastAsia" w:ascii="仿宋_GB2312" w:eastAsia="仿宋_GB2312"/>
          <w:sz w:val="32"/>
          <w:szCs w:val="32"/>
          <w:highlight w:val="none"/>
        </w:rPr>
        <w:t>。</w:t>
      </w:r>
      <w:bookmarkStart w:id="56" w:name="OLE_LINK75"/>
      <w:r>
        <w:rPr>
          <w:rFonts w:hint="eastAsia" w:ascii="仿宋_GB2312" w:eastAsia="仿宋_GB2312"/>
          <w:color w:val="000000"/>
          <w:sz w:val="32"/>
          <w:szCs w:val="32"/>
          <w:highlight w:val="none"/>
        </w:rPr>
        <w:t>其中，</w:t>
      </w:r>
      <w:bookmarkStart w:id="57" w:name="OLE_LINK30"/>
      <w:r>
        <w:rPr>
          <w:rFonts w:hint="eastAsia" w:ascii="仿宋_GB2312" w:eastAsia="仿宋_GB2312"/>
          <w:color w:val="000000"/>
          <w:sz w:val="32"/>
          <w:szCs w:val="32"/>
          <w:highlight w:val="none"/>
        </w:rPr>
        <w:t>因公出国（境）费支出</w:t>
      </w:r>
      <w:bookmarkEnd w:id="57"/>
      <w:r>
        <w:rPr>
          <w:rFonts w:hint="eastAsia" w:ascii="仿宋_GB2312" w:eastAsia="仿宋_GB2312"/>
          <w:sz w:val="32"/>
          <w:szCs w:val="32"/>
          <w:highlight w:val="none"/>
        </w:rPr>
        <w:t>0</w:t>
      </w:r>
      <w:r>
        <w:rPr>
          <w:rFonts w:hint="eastAsia" w:ascii="仿宋_GB2312" w:eastAsia="仿宋_GB2312"/>
          <w:color w:val="000000"/>
          <w:sz w:val="32"/>
          <w:szCs w:val="32"/>
          <w:highlight w:val="none"/>
        </w:rPr>
        <w:t>万元，占</w:t>
      </w:r>
      <w:r>
        <w:rPr>
          <w:rFonts w:hint="eastAsia" w:ascii="仿宋_GB2312" w:eastAsia="仿宋_GB2312"/>
          <w:sz w:val="32"/>
          <w:szCs w:val="32"/>
          <w:highlight w:val="none"/>
        </w:rPr>
        <w:t>0%，与上年相比，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bookmarkEnd w:id="56"/>
      <w:bookmarkStart w:id="58" w:name="OLE_LINK31"/>
      <w:bookmarkStart w:id="59" w:name="OLE_LINK76"/>
      <w:r>
        <w:rPr>
          <w:rFonts w:hint="eastAsia" w:ascii="仿宋_GB2312" w:eastAsia="仿宋_GB2312"/>
          <w:sz w:val="32"/>
          <w:szCs w:val="32"/>
          <w:highlight w:val="none"/>
          <w:lang w:eastAsia="zh-CN"/>
        </w:rPr>
        <w:t>；</w:t>
      </w:r>
      <w:r>
        <w:rPr>
          <w:rFonts w:hint="eastAsia" w:ascii="仿宋_GB2312" w:eastAsia="仿宋_GB2312"/>
          <w:color w:val="000000"/>
          <w:sz w:val="32"/>
          <w:szCs w:val="32"/>
          <w:highlight w:val="none"/>
        </w:rPr>
        <w:t>公务用车购置及运行维护费支出</w:t>
      </w:r>
      <w:bookmarkEnd w:id="58"/>
      <w:r>
        <w:rPr>
          <w:rFonts w:hint="eastAsia" w:ascii="仿宋_GB2312" w:eastAsia="仿宋_GB2312"/>
          <w:sz w:val="32"/>
          <w:szCs w:val="32"/>
          <w:highlight w:val="none"/>
          <w:lang w:val="en-US" w:eastAsia="zh-CN"/>
        </w:rPr>
        <w:t>0.3</w:t>
      </w:r>
      <w:r>
        <w:rPr>
          <w:rFonts w:hint="eastAsia" w:ascii="仿宋_GB2312" w:eastAsia="仿宋_GB2312"/>
          <w:color w:val="000000"/>
          <w:sz w:val="32"/>
          <w:szCs w:val="32"/>
          <w:highlight w:val="none"/>
        </w:rPr>
        <w:t>万元</w:t>
      </w:r>
      <w:r>
        <w:rPr>
          <w:rFonts w:hint="eastAsia" w:ascii="仿宋_GB2312" w:eastAsia="仿宋_GB2312"/>
          <w:color w:val="000000"/>
          <w:sz w:val="32"/>
          <w:szCs w:val="32"/>
        </w:rPr>
        <w:t>，占</w:t>
      </w:r>
      <w:r>
        <w:rPr>
          <w:rFonts w:hint="eastAsia" w:ascii="仿宋_GB2312" w:eastAsia="仿宋_GB2312"/>
          <w:sz w:val="32"/>
          <w:szCs w:val="32"/>
        </w:rPr>
        <w:t>100%，与上年相比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本年支出与上年支出保持一致，无变化</w:t>
      </w:r>
      <w:r>
        <w:rPr>
          <w:rFonts w:hint="eastAsia" w:ascii="仿宋_GB2312" w:eastAsia="仿宋_GB2312"/>
          <w:sz w:val="32"/>
          <w:szCs w:val="32"/>
        </w:rPr>
        <w:t>；</w:t>
      </w:r>
      <w:bookmarkEnd w:id="59"/>
      <w:bookmarkStart w:id="60" w:name="OLE_LINK32"/>
      <w:bookmarkStart w:id="61" w:name="OLE_LINK77"/>
      <w:bookmarkStart w:id="62" w:name="OLE_LINK78"/>
      <w:r>
        <w:rPr>
          <w:rFonts w:hint="eastAsia" w:ascii="仿宋_GB2312" w:eastAsia="仿宋_GB2312"/>
          <w:color w:val="000000"/>
          <w:sz w:val="32"/>
          <w:szCs w:val="32"/>
        </w:rPr>
        <w:t>公务接待费支出</w:t>
      </w:r>
      <w:bookmarkEnd w:id="60"/>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bookmarkEnd w:id="61"/>
      <w:bookmarkEnd w:id="62"/>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新疆喀什地区塔什库尔干县残疾人联合会</w:t>
      </w:r>
      <w:r>
        <w:rPr>
          <w:rFonts w:hint="eastAsia" w:ascii="仿宋_GB2312" w:eastAsia="仿宋_GB2312"/>
          <w:color w:val="000000" w:themeColor="text1"/>
          <w:sz w:val="32"/>
          <w:szCs w:val="32"/>
        </w:rPr>
        <w:t>单位</w:t>
      </w:r>
      <w:bookmarkStart w:id="63" w:name="OLE_LINK33"/>
      <w:r>
        <w:rPr>
          <w:rFonts w:hint="eastAsia" w:ascii="仿宋_GB2312" w:eastAsia="仿宋_GB2312"/>
          <w:color w:val="000000" w:themeColor="text1"/>
          <w:sz w:val="32"/>
          <w:szCs w:val="32"/>
        </w:rPr>
        <w:t>全年</w:t>
      </w:r>
      <w:bookmarkStart w:id="64" w:name="OLE_LINK34"/>
      <w:bookmarkStart w:id="65" w:name="OLE_LINK35"/>
      <w:bookmarkStart w:id="66" w:name="OLE_LINK36"/>
      <w:r>
        <w:rPr>
          <w:rFonts w:hint="eastAsia" w:ascii="仿宋_GB2312" w:eastAsia="仿宋_GB2312"/>
          <w:color w:val="000000" w:themeColor="text1"/>
          <w:sz w:val="32"/>
          <w:szCs w:val="32"/>
        </w:rPr>
        <w:t>使用一般公共预算财政拨款安排的出国（境）团组</w:t>
      </w:r>
      <w:bookmarkEnd w:id="63"/>
      <w:bookmarkEnd w:id="64"/>
      <w:bookmarkEnd w:id="65"/>
      <w:r>
        <w:rPr>
          <w:rFonts w:hint="eastAsia" w:ascii="仿宋_GB2312" w:eastAsia="仿宋_GB2312"/>
          <w:sz w:val="32"/>
          <w:szCs w:val="32"/>
        </w:rPr>
        <w:t>0</w:t>
      </w:r>
      <w:r>
        <w:rPr>
          <w:rFonts w:hint="eastAsia" w:ascii="仿宋_GB2312" w:eastAsia="仿宋_GB2312"/>
          <w:color w:val="000000" w:themeColor="text1"/>
          <w:sz w:val="32"/>
          <w:szCs w:val="32"/>
        </w:rPr>
        <w:t>个</w:t>
      </w:r>
      <w:bookmarkEnd w:id="66"/>
      <w:r>
        <w:rPr>
          <w:rFonts w:hint="eastAsia" w:ascii="仿宋_GB2312" w:eastAsia="仿宋_GB2312"/>
          <w:color w:val="000000" w:themeColor="text1"/>
          <w:sz w:val="32"/>
          <w:szCs w:val="32"/>
        </w:rPr>
        <w:t>，</w:t>
      </w:r>
      <w:bookmarkStart w:id="67"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7"/>
      <w:r>
        <w:rPr>
          <w:rFonts w:hint="eastAsia" w:ascii="仿宋_GB2312" w:eastAsia="仿宋_GB2312"/>
          <w:color w:val="000000" w:themeColor="text1"/>
          <w:sz w:val="32"/>
          <w:szCs w:val="32"/>
        </w:rPr>
        <w:t>。</w:t>
      </w:r>
      <w:bookmarkStart w:id="68" w:name="OLE_LINK38"/>
      <w:r>
        <w:rPr>
          <w:rFonts w:hint="eastAsia" w:ascii="仿宋_GB2312" w:eastAsia="仿宋_GB2312"/>
          <w:color w:val="000000" w:themeColor="text1"/>
          <w:sz w:val="32"/>
          <w:szCs w:val="32"/>
        </w:rPr>
        <w:t>开支内容包括：</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54"/>
      <w:bookmarkEnd w:id="55"/>
      <w:bookmarkEnd w:id="68"/>
    </w:p>
    <w:p>
      <w:pPr>
        <w:spacing w:line="540" w:lineRule="exact"/>
        <w:ind w:firstLine="640" w:firstLineChars="200"/>
        <w:rPr>
          <w:rFonts w:ascii="仿宋_GB2312" w:eastAsia="仿宋_GB2312"/>
          <w:color w:val="000000" w:themeColor="text1"/>
          <w:sz w:val="32"/>
          <w:szCs w:val="32"/>
        </w:rPr>
      </w:pPr>
      <w:bookmarkStart w:id="69"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0.3</w:t>
      </w:r>
      <w:r>
        <w:rPr>
          <w:rFonts w:hint="eastAsia" w:ascii="仿宋_GB2312" w:eastAsia="仿宋_GB2312"/>
          <w:color w:val="000000" w:themeColor="text1"/>
          <w:sz w:val="32"/>
          <w:szCs w:val="32"/>
        </w:rPr>
        <w:t>万元,其中，</w:t>
      </w:r>
      <w:bookmarkStart w:id="70"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0"/>
      <w:r>
        <w:rPr>
          <w:rFonts w:hint="eastAsia" w:ascii="仿宋_GB2312" w:eastAsia="仿宋_GB2312"/>
          <w:color w:val="000000" w:themeColor="text1"/>
          <w:sz w:val="32"/>
          <w:szCs w:val="32"/>
        </w:rPr>
        <w:t>，</w:t>
      </w:r>
      <w:bookmarkStart w:id="71" w:name="OLE_LINK40"/>
      <w:bookmarkStart w:id="72"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0.3</w:t>
      </w:r>
      <w:r>
        <w:rPr>
          <w:rFonts w:hint="eastAsia" w:ascii="仿宋_GB2312" w:eastAsia="仿宋_GB2312"/>
          <w:color w:val="000000" w:themeColor="text1"/>
          <w:sz w:val="32"/>
          <w:szCs w:val="32"/>
        </w:rPr>
        <w:t>万元</w:t>
      </w:r>
      <w:bookmarkEnd w:id="71"/>
      <w:bookmarkEnd w:id="72"/>
      <w:r>
        <w:rPr>
          <w:rFonts w:hint="eastAsia" w:ascii="仿宋_GB2312" w:eastAsia="仿宋_GB2312"/>
          <w:color w:val="000000" w:themeColor="text1"/>
          <w:sz w:val="32"/>
          <w:szCs w:val="32"/>
        </w:rPr>
        <w:t>。主要用于</w:t>
      </w:r>
      <w:r>
        <w:rPr>
          <w:rFonts w:hint="eastAsia" w:ascii="仿宋_GB2312" w:eastAsia="仿宋_GB2312"/>
          <w:color w:val="000000" w:themeColor="text1"/>
          <w:sz w:val="32"/>
          <w:szCs w:val="32"/>
          <w:lang w:eastAsia="zh-CN"/>
        </w:rPr>
        <w:t>公务车辆油料费、保险费、维修维护费支出</w:t>
      </w:r>
      <w:r>
        <w:rPr>
          <w:rFonts w:hint="eastAsia" w:ascii="仿宋_GB2312" w:eastAsia="仿宋_GB2312"/>
          <w:color w:val="000000" w:themeColor="text1"/>
          <w:sz w:val="32"/>
          <w:szCs w:val="32"/>
        </w:rPr>
        <w:t>等。</w:t>
      </w:r>
      <w:bookmarkEnd w:id="69"/>
      <w:bookmarkStart w:id="73"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1</w:t>
      </w:r>
      <w:r>
        <w:rPr>
          <w:rFonts w:hint="eastAsia" w:ascii="仿宋_GB2312" w:eastAsia="仿宋_GB2312"/>
          <w:color w:val="000000" w:themeColor="text1"/>
          <w:sz w:val="32"/>
          <w:szCs w:val="32"/>
        </w:rPr>
        <w:t>辆。</w:t>
      </w:r>
      <w:bookmarkEnd w:id="73"/>
    </w:p>
    <w:p>
      <w:pPr>
        <w:spacing w:line="540" w:lineRule="exact"/>
        <w:ind w:firstLine="640" w:firstLineChars="200"/>
        <w:rPr>
          <w:rFonts w:ascii="仿宋_GB2312" w:eastAsia="仿宋_GB2312"/>
          <w:color w:val="000000" w:themeColor="text1"/>
          <w:sz w:val="32"/>
          <w:szCs w:val="32"/>
        </w:rPr>
      </w:pPr>
      <w:bookmarkStart w:id="74"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color w:val="000000" w:themeColor="text1"/>
          <w:sz w:val="32"/>
          <w:szCs w:val="32"/>
          <w:lang w:eastAsia="zh-CN"/>
        </w:rPr>
        <w:t>本单位</w:t>
      </w:r>
      <w:r>
        <w:rPr>
          <w:rFonts w:hint="eastAsia" w:ascii="仿宋_GB2312" w:eastAsia="仿宋_GB2312"/>
          <w:sz w:val="32"/>
          <w:szCs w:val="32"/>
        </w:rPr>
        <w:t>无</w:t>
      </w:r>
      <w:r>
        <w:rPr>
          <w:rFonts w:hint="eastAsia" w:ascii="仿宋_GB2312" w:eastAsia="仿宋_GB2312"/>
          <w:color w:val="000000" w:themeColor="text1"/>
          <w:sz w:val="32"/>
          <w:szCs w:val="32"/>
        </w:rPr>
        <w:t>公务接待费等。</w:t>
      </w:r>
      <w:bookmarkEnd w:id="74"/>
      <w:bookmarkStart w:id="75" w:name="OLE_LINK84"/>
      <w:r>
        <w:rPr>
          <w:rFonts w:hint="eastAsia" w:ascii="仿宋_GB2312" w:eastAsia="仿宋_GB2312"/>
          <w:sz w:val="32"/>
          <w:szCs w:val="32"/>
        </w:rPr>
        <w:t>新疆喀什地区塔什库尔干县残疾人联合会</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5"/>
    </w:p>
    <w:p>
      <w:pPr>
        <w:spacing w:line="540" w:lineRule="exact"/>
        <w:ind w:firstLine="640" w:firstLineChars="200"/>
        <w:rPr>
          <w:rFonts w:ascii="仿宋_GB2312" w:hAnsi="宋体" w:eastAsia="仿宋_GB2312" w:cs="宋体"/>
          <w:color w:val="000000" w:themeColor="text1"/>
          <w:kern w:val="0"/>
          <w:sz w:val="32"/>
          <w:szCs w:val="32"/>
        </w:rPr>
      </w:pPr>
      <w:bookmarkStart w:id="76"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w:t>
      </w:r>
      <w:r>
        <w:rPr>
          <w:rFonts w:hint="eastAsia" w:ascii="仿宋_GB2312" w:eastAsia="仿宋_GB2312"/>
          <w:color w:val="000000" w:themeColor="text1"/>
          <w:sz w:val="32"/>
          <w:szCs w:val="32"/>
        </w:rPr>
        <w:t>万元，决算数0.3万元</w:t>
      </w:r>
      <w:r>
        <w:rPr>
          <w:rFonts w:ascii="仿宋_GB2312" w:eastAsia="仿宋_GB2312"/>
          <w:color w:val="000000" w:themeColor="text1"/>
          <w:sz w:val="32"/>
          <w:szCs w:val="32"/>
        </w:rPr>
        <w:t>，预决算差异率-85%，差异主要原因是严格压减“三公”经费。</w:t>
      </w:r>
      <w:bookmarkEnd w:id="76"/>
      <w:bookmarkStart w:id="77" w:name="OLE_LINK86"/>
      <w:bookmarkStart w:id="78"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77"/>
      <w:bookmarkEnd w:id="78"/>
      <w:bookmarkStart w:id="79" w:name="OLE_LINK89"/>
      <w:bookmarkStart w:id="80"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，预决算差异率0%，差异主要原因是未购置公务用车；</w:t>
      </w:r>
      <w:bookmarkEnd w:id="79"/>
      <w:bookmarkEnd w:id="80"/>
      <w:bookmarkStart w:id="81"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，预决算差异率-85%，差异主要原因是严格压减“三公”经费；</w:t>
      </w:r>
      <w:bookmarkEnd w:id="81"/>
      <w:bookmarkStart w:id="82"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2"/>
      <w:r>
        <w:rPr>
          <w:rFonts w:hint="eastAsia" w:ascii="仿宋_GB2312" w:eastAsia="仿宋_GB2312"/>
          <w:color w:val="000000" w:themeColor="text1"/>
          <w:sz w:val="32"/>
          <w:szCs w:val="32"/>
          <w:lang w:eastAsia="zh-CN"/>
        </w:rPr>
        <w:t>本单位</w:t>
      </w:r>
      <w:r>
        <w:rPr>
          <w:rFonts w:ascii="仿宋_GB2312" w:eastAsia="仿宋_GB2312"/>
          <w:color w:val="000000" w:themeColor="text1"/>
          <w:sz w:val="32"/>
          <w:szCs w:val="32"/>
        </w:rPr>
        <w:t>无</w:t>
      </w:r>
      <w:r>
        <w:rPr>
          <w:rFonts w:hint="eastAsia" w:ascii="仿宋_GB2312" w:hAnsi="宋体" w:eastAsia="仿宋_GB2312" w:cs="宋体"/>
          <w:color w:val="000000" w:themeColor="text1"/>
          <w:kern w:val="0"/>
          <w:sz w:val="32"/>
          <w:szCs w:val="32"/>
        </w:rPr>
        <w:t>公务接待费</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新疆喀什地区塔什库尔干县残疾人联合会日常公用经费1万元，与上年相比，减少0.47万元，下降31.97%，减少的主要原因是：减少办公经费支出。</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3" w:name="OLE_LINK45"/>
      <w:r>
        <w:rPr>
          <w:rFonts w:hint="eastAsia" w:ascii="仿宋_GB2312" w:eastAsia="仿宋_GB2312"/>
          <w:color w:val="000000" w:themeColor="text1"/>
          <w:sz w:val="32"/>
          <w:szCs w:val="32"/>
        </w:rPr>
        <w:t>政府采购支出总额</w:t>
      </w:r>
      <w:bookmarkEnd w:id="83"/>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84" w:name="OLE_LINK46"/>
      <w:r>
        <w:rPr>
          <w:rFonts w:hint="eastAsia" w:ascii="仿宋_GB2312" w:eastAsia="仿宋_GB2312"/>
          <w:color w:val="000000" w:themeColor="text1"/>
          <w:sz w:val="32"/>
          <w:szCs w:val="32"/>
        </w:rPr>
        <w:t>政府采购货物支出</w:t>
      </w:r>
      <w:bookmarkEnd w:id="84"/>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5" w:name="OLE_LINK47"/>
      <w:r>
        <w:rPr>
          <w:rFonts w:hint="eastAsia" w:ascii="仿宋_GB2312" w:eastAsia="仿宋_GB2312"/>
          <w:color w:val="000000" w:themeColor="text1"/>
          <w:sz w:val="32"/>
          <w:szCs w:val="32"/>
        </w:rPr>
        <w:t>政府采购工程支出</w:t>
      </w:r>
      <w:bookmarkEnd w:id="85"/>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6" w:name="OLE_LINK48"/>
      <w:r>
        <w:rPr>
          <w:rFonts w:hint="eastAsia" w:ascii="仿宋_GB2312" w:eastAsia="仿宋_GB2312"/>
          <w:color w:val="000000" w:themeColor="text1"/>
          <w:sz w:val="32"/>
          <w:szCs w:val="32"/>
        </w:rPr>
        <w:t>政府采购服务支出</w:t>
      </w:r>
      <w:bookmarkEnd w:id="86"/>
      <w:r>
        <w:rPr>
          <w:rFonts w:hint="eastAsia" w:ascii="仿宋_GB2312" w:eastAsia="仿宋_GB2312"/>
          <w:sz w:val="32"/>
          <w:szCs w:val="32"/>
        </w:rPr>
        <w:t>0</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87"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1</w:t>
      </w:r>
      <w:r>
        <w:rPr>
          <w:rFonts w:hint="eastAsia" w:ascii="仿宋_GB2312" w:eastAsia="仿宋_GB2312"/>
          <w:color w:val="000000" w:themeColor="text1"/>
          <w:sz w:val="32"/>
          <w:szCs w:val="32"/>
        </w:rPr>
        <w:t>辆，价值</w:t>
      </w:r>
      <w:r>
        <w:rPr>
          <w:rFonts w:hint="eastAsia" w:ascii="仿宋_GB2312" w:eastAsia="仿宋_GB2312"/>
          <w:sz w:val="32"/>
          <w:szCs w:val="32"/>
        </w:rPr>
        <w:t>3</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1</w:t>
      </w:r>
      <w:r>
        <w:rPr>
          <w:rFonts w:hint="eastAsia" w:ascii="仿宋_GB2312" w:eastAsia="仿宋_GB2312"/>
          <w:color w:val="000000" w:themeColor="text1"/>
          <w:sz w:val="32"/>
          <w:szCs w:val="32"/>
        </w:rPr>
        <w:t>辆，其他用车主要是：</w:t>
      </w:r>
      <w:r>
        <w:rPr>
          <w:rFonts w:hint="eastAsia" w:ascii="仿宋_GB2312" w:eastAsia="仿宋_GB2312"/>
          <w:color w:val="000000" w:themeColor="text1"/>
          <w:sz w:val="32"/>
          <w:szCs w:val="32"/>
          <w:lang w:eastAsia="zh-CN"/>
        </w:rPr>
        <w:t>东风牌新</w:t>
      </w:r>
      <w:r>
        <w:rPr>
          <w:rFonts w:hint="eastAsia" w:ascii="仿宋_GB2312" w:eastAsia="仿宋_GB2312"/>
          <w:color w:val="000000" w:themeColor="text1"/>
          <w:sz w:val="32"/>
          <w:szCs w:val="32"/>
          <w:lang w:val="en-US" w:eastAsia="zh-CN"/>
        </w:rPr>
        <w:t>QE9295皮卡车一辆，主要用于</w:t>
      </w:r>
      <w:r>
        <w:rPr>
          <w:rFonts w:hint="eastAsia" w:ascii="仿宋_GB2312" w:eastAsia="仿宋_GB2312"/>
          <w:color w:val="000000" w:themeColor="text1"/>
          <w:sz w:val="32"/>
          <w:szCs w:val="32"/>
          <w:lang w:eastAsia="zh-CN"/>
        </w:rPr>
        <w:t>单位日常</w:t>
      </w:r>
      <w:r>
        <w:rPr>
          <w:rFonts w:ascii="仿宋_GB2312" w:eastAsia="仿宋_GB2312"/>
          <w:color w:val="000000" w:themeColor="text1"/>
          <w:sz w:val="32"/>
          <w:szCs w:val="32"/>
        </w:rPr>
        <w:t>一般公务</w:t>
      </w:r>
      <w:r>
        <w:rPr>
          <w:rFonts w:hint="eastAsia" w:ascii="仿宋_GB2312" w:eastAsia="仿宋_GB2312"/>
          <w:color w:val="000000" w:themeColor="text1"/>
          <w:sz w:val="32"/>
          <w:szCs w:val="32"/>
          <w:lang w:eastAsia="zh-CN"/>
        </w:rPr>
        <w:t>外出</w:t>
      </w:r>
      <w:r>
        <w:rPr>
          <w:rFonts w:ascii="仿宋_GB2312" w:eastAsia="仿宋_GB2312"/>
          <w:color w:val="000000" w:themeColor="text1"/>
          <w:sz w:val="32"/>
          <w:szCs w:val="32"/>
        </w:rPr>
        <w:t>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87"/>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一、绩效监控工作组织实施情况</w:t>
      </w:r>
      <w:r>
        <w:rPr>
          <w:rFonts w:hint="eastAsia" w:ascii="仿宋_GB2312" w:eastAsia="仿宋_GB2312"/>
          <w:sz w:val="32"/>
          <w:szCs w:val="32"/>
          <w:lang w:eastAsia="zh-CN"/>
        </w:rPr>
        <w:t>，</w:t>
      </w:r>
      <w:r>
        <w:rPr>
          <w:rFonts w:ascii="仿宋_GB2312" w:eastAsia="仿宋_GB2312"/>
          <w:sz w:val="32"/>
          <w:szCs w:val="32"/>
        </w:rPr>
        <w:t>基本情况：为做好2019年项目绩效监控管理工作,按照“行政主要领导负总责，办公室牵头，财务室配合，建立健全工作机构，明确专人具体负责”的要求，成立局绩效管理工作领导小组，具体如下:组长:阿尔曼江(理事长)副组长：张继革（副理事长）成员：李鹏江（财务室干部），职责分工：阿尔曼江负责绩效监控目标最终审核工作，张继革作为财务负责人，根据机关工作年初目标，与开展业务情况制定单位绩效目标任务，绩效目标监控、要求细化、做到精确，李鹏江：负责绩效监控报表项目及相关报表的填写工作。二、塔什库尔干县残疾人联合会绩效监控工作自开展以来严格根据工作实际制定绩效目标并做好自评工作，使其各项资金使用做到科学合理规划，实现资金使用效益最大化。</w:t>
      </w:r>
    </w:p>
    <w:p>
      <w:pPr>
        <w:spacing w:line="540" w:lineRule="exact"/>
        <w:ind w:left="-1" w:right="-1" w:firstLine="646"/>
        <w:jc w:val="left"/>
      </w:pPr>
      <w:r>
        <w:rPr>
          <w:rFonts w:ascii="仿宋_GB2312" w:hAnsi="仿宋_GB2312" w:eastAsia="仿宋_GB2312" w:cs="仿宋_GB2312"/>
          <w:b w:val="0"/>
          <w:color w:val="auto"/>
          <w:sz w:val="32"/>
          <w:u w:val="none"/>
        </w:rPr>
        <w:t>1、用于残疾人事业的彩票公益金支出项目绩效自评综述：根据年初设定的绩效目标，该项目绩效自评得分为89分。项目全年预算数为11.3万元，执行数为11.3万元，完成预算的100%。主要产出和效果：残疾人基本服务状况和需求信息数据动态更新工作在进一步规范，进一步提高我县残疾人康复水平，能高效透明的运行惠残政策。发现的问题及原因：无。下一步改进措施：无。</w:t>
      </w:r>
    </w:p>
    <w:p>
      <w:pPr>
        <w:spacing w:line="540" w:lineRule="exact"/>
        <w:ind w:left="-1" w:right="-1" w:firstLine="646"/>
        <w:jc w:val="left"/>
      </w:pPr>
      <w:r>
        <w:rPr>
          <w:rFonts w:ascii="仿宋_GB2312" w:hAnsi="仿宋_GB2312" w:eastAsia="仿宋_GB2312" w:cs="仿宋_GB2312"/>
          <w:b w:val="0"/>
          <w:color w:val="auto"/>
          <w:sz w:val="32"/>
          <w:u w:val="none"/>
        </w:rPr>
        <w:t>2、残疾人事业发展补助资金-残疾人康复项目绩效自评综述：根据年初设定的绩效目标，该项目绩效自评得分为88分。项目全年预算数为19.58万元，执行数为19.58万元，完成预算的100%。主要产出和效果：成人肢体康复、脑瘫儿童康复、贫困残疾人家庭无障碍改造以及贫困智力精神和重度残疾人残疾评定等工作，持续提高和改善残疾人生活水平，进一步推进残疾人小康进程。发现的问题及原因：无。下一步改进措施：无。</w:t>
      </w:r>
    </w:p>
    <w:p>
      <w:pPr>
        <w:spacing w:line="540" w:lineRule="exact"/>
        <w:ind w:left="-1" w:right="-1" w:firstLine="646"/>
        <w:jc w:val="left"/>
      </w:pPr>
      <w:r>
        <w:rPr>
          <w:rFonts w:ascii="仿宋_GB2312" w:hAnsi="仿宋_GB2312" w:eastAsia="仿宋_GB2312" w:cs="仿宋_GB2312"/>
          <w:b w:val="0"/>
          <w:color w:val="auto"/>
          <w:sz w:val="32"/>
          <w:u w:val="none"/>
        </w:rPr>
        <w:t>3、残疾人事业发展补助资金-残疾人就业和扶贫项目绩效自评综述：根据年初设定的绩效目标，该项目绩效自评得分为84分。项目全年预算数为1万元，执行数为1万元，完成预算的100%。主要产出和效果：对残疾人进行农村实用技术培训，让每位残疾人掌握最实用的技术，有一技之长，在以后的生产和生活中可以依靠自己致富。发现的问题及原因：农村实用技术培训种类较少。下一步改进措施</w:t>
      </w:r>
      <w:r>
        <w:rPr>
          <w:rFonts w:hint="eastAsia" w:ascii="仿宋_GB2312" w:hAnsi="仿宋_GB2312" w:eastAsia="仿宋_GB2312" w:cs="仿宋_GB2312"/>
          <w:b w:val="0"/>
          <w:color w:val="auto"/>
          <w:sz w:val="32"/>
          <w:u w:val="none"/>
          <w:lang w:val="en-US" w:eastAsia="zh-CN"/>
        </w:rPr>
        <w:t>:</w:t>
      </w:r>
      <w:r>
        <w:rPr>
          <w:rFonts w:ascii="仿宋_GB2312" w:hAnsi="仿宋_GB2312" w:eastAsia="仿宋_GB2312" w:cs="仿宋_GB2312"/>
          <w:b w:val="0"/>
          <w:color w:val="auto"/>
          <w:sz w:val="32"/>
          <w:u w:val="none"/>
        </w:rPr>
        <w:t>了解大家感兴趣、最实用的技能，拓展技术培训面，加大培训的力度。</w:t>
      </w:r>
    </w:p>
    <w:p>
      <w:pPr>
        <w:spacing w:line="540" w:lineRule="exact"/>
        <w:ind w:left="-1" w:right="-1" w:firstLine="646"/>
        <w:jc w:val="left"/>
      </w:pPr>
      <w:r>
        <w:rPr>
          <w:rFonts w:ascii="仿宋_GB2312" w:hAnsi="仿宋_GB2312" w:eastAsia="仿宋_GB2312" w:cs="仿宋_GB2312"/>
          <w:b w:val="0"/>
          <w:color w:val="auto"/>
          <w:sz w:val="32"/>
          <w:u w:val="none"/>
        </w:rPr>
        <w:t>4、困难残疾人生活补贴和重度残疾人护理补贴项目绩效自评综述：根据年初设定的绩效目标，该项目绩效自评得分为85分。项目全年预算数为102.34万元，执行数为102.34万元，完成预算的100%。主要产出和效果：给予重度残疾人护理补助、困难残疾人生活补助，改善特殊困难残疾人的生活现状，进一步提高和改善我县残疾人生活水平。发现的问题及原因：无。下一步改进措施：无。</w:t>
      </w:r>
    </w:p>
    <w:p>
      <w:pPr>
        <w:spacing w:line="540" w:lineRule="exact"/>
        <w:ind w:left="-1" w:right="-1" w:firstLine="646"/>
        <w:jc w:val="left"/>
      </w:pPr>
      <w:r>
        <w:rPr>
          <w:rFonts w:ascii="仿宋_GB2312" w:hAnsi="仿宋_GB2312" w:eastAsia="仿宋_GB2312" w:cs="仿宋_GB2312"/>
          <w:b w:val="0"/>
          <w:color w:val="auto"/>
          <w:sz w:val="32"/>
          <w:u w:val="none"/>
        </w:rPr>
        <w:t>5、残疾人事业发展补助资金-其他残疾人事业支出项目绩效自评综述：根据年初设定的绩效目标，该项目绩效自评得分为88分。项目全年预算数为2.82万元，执行数为2.82万元，完成预算的100%。主要产出和效果：已完成2018年残疾人基本服务状况和需求信息数据动态更新工作，进一步提高我县残疾人康复水平，能高效透明的运行惠残政策。发现的问题及原因：无。下一步改进措施：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208（类）11（款）04（项）指：残疾人康复。208（类）11（款）05（项）指：残疾人就业和扶贫。208（类）11（款）99（项）指：其他残疾人事业支出。221（类）02（款）01（项）指：住房公积金。208（类）11（款）01（项）指：行政运行。208（类）11（款）07（项）指：残疾人生活和护理补贴。208（类）05（款）05（项）指：机关事业单位基本养老保险缴费支出。229（类）60（款）06（项）指：用于残疾人事业的彩票公益金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hint="eastAsia" w:ascii="宋体" w:hAnsi="宋体" w:eastAsia="宋体"/>
        <w:sz w:val="28"/>
        <w:lang w:eastAsia="zh-CN"/>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-12-</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15D6785"/>
    <w:rsid w:val="015D6F77"/>
    <w:rsid w:val="028847F9"/>
    <w:rsid w:val="03AA79F6"/>
    <w:rsid w:val="04741FE5"/>
    <w:rsid w:val="04CD56ED"/>
    <w:rsid w:val="04DB02C7"/>
    <w:rsid w:val="06B856EE"/>
    <w:rsid w:val="07FE5938"/>
    <w:rsid w:val="084604BC"/>
    <w:rsid w:val="08883825"/>
    <w:rsid w:val="09725983"/>
    <w:rsid w:val="0A382BB5"/>
    <w:rsid w:val="0AA4543A"/>
    <w:rsid w:val="0BE61132"/>
    <w:rsid w:val="0C270312"/>
    <w:rsid w:val="0C9B0DD6"/>
    <w:rsid w:val="0CE4791C"/>
    <w:rsid w:val="0E063C64"/>
    <w:rsid w:val="0EBD23C9"/>
    <w:rsid w:val="0F4C7B96"/>
    <w:rsid w:val="0FFB575E"/>
    <w:rsid w:val="10845F1B"/>
    <w:rsid w:val="11463A00"/>
    <w:rsid w:val="11600918"/>
    <w:rsid w:val="11B0398F"/>
    <w:rsid w:val="1255393F"/>
    <w:rsid w:val="13B960C5"/>
    <w:rsid w:val="152777F4"/>
    <w:rsid w:val="15C674B6"/>
    <w:rsid w:val="18D54A0D"/>
    <w:rsid w:val="1A4106A0"/>
    <w:rsid w:val="1A4F5437"/>
    <w:rsid w:val="1AB77CD0"/>
    <w:rsid w:val="1E807156"/>
    <w:rsid w:val="1EA657F6"/>
    <w:rsid w:val="1F097CB6"/>
    <w:rsid w:val="1F13617B"/>
    <w:rsid w:val="1FFA491D"/>
    <w:rsid w:val="2166156B"/>
    <w:rsid w:val="21B02D83"/>
    <w:rsid w:val="22315E65"/>
    <w:rsid w:val="22A236F5"/>
    <w:rsid w:val="238F492E"/>
    <w:rsid w:val="23995975"/>
    <w:rsid w:val="2432220E"/>
    <w:rsid w:val="248303BA"/>
    <w:rsid w:val="24837E47"/>
    <w:rsid w:val="252E01AA"/>
    <w:rsid w:val="26630A24"/>
    <w:rsid w:val="2680023E"/>
    <w:rsid w:val="279D25F1"/>
    <w:rsid w:val="29680352"/>
    <w:rsid w:val="297D3880"/>
    <w:rsid w:val="2A020F75"/>
    <w:rsid w:val="2B007AEE"/>
    <w:rsid w:val="2BC14C56"/>
    <w:rsid w:val="2C1B026F"/>
    <w:rsid w:val="2CC61F55"/>
    <w:rsid w:val="2D143545"/>
    <w:rsid w:val="2D2648E8"/>
    <w:rsid w:val="2D69771B"/>
    <w:rsid w:val="2EF7452F"/>
    <w:rsid w:val="2F1D13B4"/>
    <w:rsid w:val="2FAA3DA6"/>
    <w:rsid w:val="30682E1F"/>
    <w:rsid w:val="30E210D2"/>
    <w:rsid w:val="311371D6"/>
    <w:rsid w:val="31EB64C9"/>
    <w:rsid w:val="332E2322"/>
    <w:rsid w:val="336D0D6F"/>
    <w:rsid w:val="352E4BEC"/>
    <w:rsid w:val="35CB670F"/>
    <w:rsid w:val="36282B72"/>
    <w:rsid w:val="37C02D59"/>
    <w:rsid w:val="37DD5594"/>
    <w:rsid w:val="382451B1"/>
    <w:rsid w:val="388D5C78"/>
    <w:rsid w:val="38A00C30"/>
    <w:rsid w:val="38F24FA8"/>
    <w:rsid w:val="3A98342A"/>
    <w:rsid w:val="3AB6780E"/>
    <w:rsid w:val="3AD56D70"/>
    <w:rsid w:val="3B2920C2"/>
    <w:rsid w:val="3BE41ABD"/>
    <w:rsid w:val="3C5421A9"/>
    <w:rsid w:val="3C982CF0"/>
    <w:rsid w:val="3CDC429D"/>
    <w:rsid w:val="3D903B21"/>
    <w:rsid w:val="3E0018C2"/>
    <w:rsid w:val="3F440741"/>
    <w:rsid w:val="406E0C6A"/>
    <w:rsid w:val="41FC306C"/>
    <w:rsid w:val="44BE5554"/>
    <w:rsid w:val="451E0908"/>
    <w:rsid w:val="452C2D31"/>
    <w:rsid w:val="45D26E14"/>
    <w:rsid w:val="46A541B1"/>
    <w:rsid w:val="46DC4F04"/>
    <w:rsid w:val="48582D25"/>
    <w:rsid w:val="48C57772"/>
    <w:rsid w:val="49782886"/>
    <w:rsid w:val="49A54661"/>
    <w:rsid w:val="4A6F0D28"/>
    <w:rsid w:val="4AAF085C"/>
    <w:rsid w:val="4AEB7E60"/>
    <w:rsid w:val="4B4B135B"/>
    <w:rsid w:val="4BC7055F"/>
    <w:rsid w:val="4BF516DB"/>
    <w:rsid w:val="4CFC7DB2"/>
    <w:rsid w:val="4E7C187D"/>
    <w:rsid w:val="508941AD"/>
    <w:rsid w:val="50E65530"/>
    <w:rsid w:val="51457139"/>
    <w:rsid w:val="51490D2D"/>
    <w:rsid w:val="51574DBD"/>
    <w:rsid w:val="51EC1DA8"/>
    <w:rsid w:val="528816C6"/>
    <w:rsid w:val="52FC5524"/>
    <w:rsid w:val="532D7A17"/>
    <w:rsid w:val="54AF4562"/>
    <w:rsid w:val="54C9674B"/>
    <w:rsid w:val="556318EA"/>
    <w:rsid w:val="55A60AA1"/>
    <w:rsid w:val="56451615"/>
    <w:rsid w:val="57FC5774"/>
    <w:rsid w:val="59B332C9"/>
    <w:rsid w:val="5A44758A"/>
    <w:rsid w:val="5A501886"/>
    <w:rsid w:val="5BA33F67"/>
    <w:rsid w:val="5BEC4BB3"/>
    <w:rsid w:val="5C070B55"/>
    <w:rsid w:val="5CB96DCE"/>
    <w:rsid w:val="5CE61580"/>
    <w:rsid w:val="5D175666"/>
    <w:rsid w:val="5D556A3C"/>
    <w:rsid w:val="5D7B25C9"/>
    <w:rsid w:val="5ECB44B4"/>
    <w:rsid w:val="5EE2043C"/>
    <w:rsid w:val="5F920AF3"/>
    <w:rsid w:val="602D2E37"/>
    <w:rsid w:val="61460FBE"/>
    <w:rsid w:val="62775810"/>
    <w:rsid w:val="62D83744"/>
    <w:rsid w:val="62F72442"/>
    <w:rsid w:val="630F4048"/>
    <w:rsid w:val="63594C44"/>
    <w:rsid w:val="63732DCB"/>
    <w:rsid w:val="63AA02E5"/>
    <w:rsid w:val="64700DE9"/>
    <w:rsid w:val="65B41DD4"/>
    <w:rsid w:val="65C613BD"/>
    <w:rsid w:val="65FD118C"/>
    <w:rsid w:val="66D40BD0"/>
    <w:rsid w:val="682C3D89"/>
    <w:rsid w:val="68611305"/>
    <w:rsid w:val="6A162DE0"/>
    <w:rsid w:val="6A331428"/>
    <w:rsid w:val="6AAE5126"/>
    <w:rsid w:val="6B2E5CB6"/>
    <w:rsid w:val="6B3D4886"/>
    <w:rsid w:val="6D7B1295"/>
    <w:rsid w:val="6DF8675E"/>
    <w:rsid w:val="6EA80098"/>
    <w:rsid w:val="6F8D70FF"/>
    <w:rsid w:val="6FFE5011"/>
    <w:rsid w:val="701844BE"/>
    <w:rsid w:val="70660445"/>
    <w:rsid w:val="7178734D"/>
    <w:rsid w:val="71791096"/>
    <w:rsid w:val="717B0C34"/>
    <w:rsid w:val="71FB78FD"/>
    <w:rsid w:val="7275064A"/>
    <w:rsid w:val="733F750B"/>
    <w:rsid w:val="735702E2"/>
    <w:rsid w:val="75EA478C"/>
    <w:rsid w:val="765F635A"/>
    <w:rsid w:val="76B73454"/>
    <w:rsid w:val="76D254BD"/>
    <w:rsid w:val="77727ACD"/>
    <w:rsid w:val="78071142"/>
    <w:rsid w:val="79296B37"/>
    <w:rsid w:val="7A364D9A"/>
    <w:rsid w:val="7A4C4C40"/>
    <w:rsid w:val="7AA0518E"/>
    <w:rsid w:val="7B041636"/>
    <w:rsid w:val="7B6B531C"/>
    <w:rsid w:val="7CA86749"/>
    <w:rsid w:val="7E180B9F"/>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unhideWhenUsed/>
    <w:qFormat/>
    <w:uiPriority w:val="99"/>
    <w:rPr>
      <w:b/>
      <w:bCs/>
    </w:rPr>
  </w:style>
  <w:style w:type="character" w:styleId="9">
    <w:name w:val="page number"/>
    <w:basedOn w:val="8"/>
    <w:qFormat/>
    <w:uiPriority w:val="0"/>
  </w:style>
  <w:style w:type="character" w:styleId="10">
    <w:name w:val="annotation reference"/>
    <w:basedOn w:val="8"/>
    <w:unhideWhenUsed/>
    <w:qFormat/>
    <w:uiPriority w:val="99"/>
    <w:rPr>
      <w:sz w:val="21"/>
      <w:szCs w:val="21"/>
    </w:rPr>
  </w:style>
  <w:style w:type="character" w:customStyle="1" w:styleId="11">
    <w:name w:val="页脚 字符"/>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字符"/>
    <w:basedOn w:val="8"/>
    <w:link w:val="2"/>
    <w:semiHidden/>
    <w:qFormat/>
    <w:uiPriority w:val="99"/>
    <w:rPr>
      <w:rFonts w:ascii="Times New Roman" w:hAnsi="Times New Roman" w:eastAsia="宋体" w:cs="Times New Roman"/>
      <w:szCs w:val="24"/>
    </w:rPr>
  </w:style>
  <w:style w:type="character" w:customStyle="1" w:styleId="13">
    <w:name w:val="批注主题 字符"/>
    <w:basedOn w:val="12"/>
    <w:link w:val="6"/>
    <w:semiHidden/>
    <w:qFormat/>
    <w:uiPriority w:val="99"/>
    <w:rPr>
      <w:rFonts w:ascii="Times New Roman" w:hAnsi="Times New Roman" w:eastAsia="宋体" w:cs="Times New Roman"/>
      <w:b/>
      <w:bCs/>
      <w:szCs w:val="24"/>
    </w:rPr>
  </w:style>
  <w:style w:type="character" w:customStyle="1" w:styleId="14">
    <w:name w:val="批注框文本 字符"/>
    <w:basedOn w:val="8"/>
    <w:link w:val="3"/>
    <w:semiHidden/>
    <w:qFormat/>
    <w:uiPriority w:val="99"/>
    <w:rPr>
      <w:rFonts w:ascii="Times New Roman" w:hAnsi="Times New Roman" w:eastAsia="宋体" w:cs="Times New Roman"/>
      <w:sz w:val="18"/>
      <w:szCs w:val="18"/>
    </w:rPr>
  </w:style>
  <w:style w:type="character" w:customStyle="1" w:styleId="15">
    <w:name w:val="页眉 字符"/>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1150</Words>
  <Characters>6560</Characters>
  <Lines>54</Lines>
  <Paragraphs>15</Paragraphs>
  <TotalTime>10</TotalTime>
  <ScaleCrop>false</ScaleCrop>
  <LinksUpToDate>false</LinksUpToDate>
  <CharactersWithSpaces>7695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教科文科</cp:lastModifiedBy>
  <dcterms:modified xsi:type="dcterms:W3CDTF">2021-06-01T15:42:16Z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