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both"/>
        <w:rPr>
          <w:kern w:val="0"/>
          <w:sz w:val="30"/>
          <w:szCs w:val="30"/>
        </w:rPr>
      </w:pPr>
    </w:p>
    <w:p>
      <w:pPr>
        <w:pStyle w:val="49"/>
        <w:spacing w:line="540" w:lineRule="exact"/>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hint="eastAsia" w:ascii="仿宋_GB2312" w:hAnsi="仿宋_GB2312" w:eastAsia="仿宋_GB2312" w:cs="仿宋_GB2312"/>
          <w:kern w:val="0"/>
          <w:sz w:val="36"/>
          <w:szCs w:val="36"/>
          <w:lang w:val="zh-TW" w:eastAsia="zh-TW"/>
        </w:rPr>
        <w:t>年全民健康体检补助经费</w:t>
      </w:r>
      <w:r>
        <w:rPr>
          <w:rFonts w:hint="eastAsia" w:ascii="仿宋_GB2312" w:hAnsi="仿宋_GB2312" w:eastAsia="仿宋_GB2312" w:cs="仿宋_GB2312"/>
          <w:kern w:val="0"/>
          <w:sz w:val="36"/>
          <w:szCs w:val="36"/>
          <w:lang w:val="zh-TW" w:eastAsia="zh-CN"/>
        </w:rPr>
        <w:t>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黑体" w:hAnsi="黑体" w:eastAsia="黑体"/>
          <w:b w:val="0"/>
          <w:spacing w:val="-4"/>
          <w:sz w:val="32"/>
          <w:szCs w:val="32"/>
        </w:rPr>
      </w:pPr>
    </w:p>
    <w:p>
      <w:pPr>
        <w:pStyle w:val="49"/>
        <w:spacing w:line="700" w:lineRule="exact"/>
        <w:ind w:firstLine="624" w:firstLineChars="200"/>
        <w:jc w:val="left"/>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adjustRightInd w:val="0"/>
        <w:snapToGrid w:val="0"/>
        <w:spacing w:line="560" w:lineRule="exact"/>
        <w:rPr>
          <w:rStyle w:val="20"/>
          <w:rFonts w:hint="eastAsia" w:ascii="楷体" w:hAnsi="楷体" w:eastAsia="楷体"/>
          <w:spacing w:val="-4"/>
          <w:sz w:val="32"/>
          <w:szCs w:val="32"/>
          <w:highlight w:val="none"/>
        </w:rPr>
      </w:pPr>
      <w:r>
        <w:rPr>
          <w:rStyle w:val="20"/>
          <w:rFonts w:hint="eastAsia" w:ascii="楷体" w:hAnsi="楷体" w:eastAsia="楷体"/>
          <w:spacing w:val="-4"/>
          <w:sz w:val="32"/>
          <w:szCs w:val="32"/>
          <w:highlight w:val="none"/>
          <w:lang w:val="en-US" w:eastAsia="zh-CN"/>
        </w:rPr>
        <w:t xml:space="preserve">   </w:t>
      </w:r>
      <w:r>
        <w:rPr>
          <w:rStyle w:val="20"/>
          <w:rFonts w:hint="eastAsia" w:ascii="楷体" w:hAnsi="楷体" w:eastAsia="楷体"/>
          <w:spacing w:val="-4"/>
          <w:sz w:val="32"/>
          <w:szCs w:val="32"/>
          <w:highlight w:val="none"/>
        </w:rPr>
        <w:t>（一）项目单位基本情况</w:t>
      </w:r>
    </w:p>
    <w:p>
      <w:pPr>
        <w:snapToGrid w:val="0"/>
        <w:spacing w:line="560" w:lineRule="exac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Style w:val="20"/>
          <w:rFonts w:hint="eastAsia" w:ascii="楷体" w:hAnsi="楷体" w:eastAsia="楷体"/>
          <w:spacing w:val="-4"/>
          <w:sz w:val="32"/>
          <w:szCs w:val="32"/>
          <w:highlight w:val="yellow"/>
        </w:rPr>
      </w:pPr>
      <w:bookmarkStart w:id="0" w:name="_GoBack"/>
      <w:bookmarkEnd w:id="0"/>
      <w:r>
        <w:rPr>
          <w:rFonts w:hint="eastAsia" w:ascii="仿宋_GB2312" w:hAnsi="仿宋_GB2312" w:eastAsia="仿宋_GB2312" w:cs="仿宋_GB2312"/>
          <w:kern w:val="2"/>
          <w:sz w:val="32"/>
          <w:szCs w:val="32"/>
        </w:rPr>
        <w:t xml:space="preserve"> 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60" w:lineRule="exact"/>
        <w:ind w:left="64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）项目预期目标：</w:t>
      </w:r>
      <w:r>
        <w:rPr>
          <w:rFonts w:hint="eastAsia" w:ascii="仿宋" w:hAnsi="仿宋" w:eastAsia="仿宋" w:cs="仿宋"/>
          <w:sz w:val="32"/>
          <w:szCs w:val="32"/>
        </w:rPr>
        <w:t>逐步提高为人民群众提供各类医疗服务水平，逐步提高居民健康保健意识和知晓率。</w:t>
      </w:r>
    </w:p>
    <w:p>
      <w:pPr>
        <w:adjustRightInd w:val="0"/>
        <w:snapToGrid w:val="0"/>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）项目阶段性目标：</w:t>
      </w:r>
      <w:r>
        <w:rPr>
          <w:rFonts w:hint="eastAsia" w:ascii="仿宋" w:hAnsi="仿宋" w:eastAsia="仿宋" w:cs="仿宋"/>
          <w:kern w:val="0"/>
          <w:sz w:val="32"/>
          <w:szCs w:val="32"/>
        </w:rPr>
        <w:t>充分发挥县、乡镇、村（社区）三级卫生服务机构的作用，认真落实公共卫生服务项目，扎实开展全民健康体检工程，建立居民健康档案，全面了解群众健康状况，分析各族群众疾病的变化趋势及其影响因素，制定科学性、针对性、操作性强的干预策略与应对措施，进一步提高全县各族群众的健康水平和生活质量，增强各族干部群众维护祖国统一、维护社会</w:t>
      </w:r>
      <w:r>
        <w:rPr>
          <w:rFonts w:hint="eastAsia" w:ascii="仿宋" w:hAnsi="仿宋" w:eastAsia="仿宋" w:cs="仿宋"/>
          <w:kern w:val="0"/>
          <w:sz w:val="32"/>
          <w:szCs w:val="32"/>
          <w:lang w:val="en-US" w:eastAsia="zh-CN"/>
        </w:rPr>
        <w:t>和谐</w:t>
      </w:r>
      <w:r>
        <w:rPr>
          <w:rFonts w:hint="eastAsia" w:ascii="仿宋" w:hAnsi="仿宋" w:eastAsia="仿宋" w:cs="仿宋"/>
          <w:kern w:val="0"/>
          <w:sz w:val="32"/>
          <w:szCs w:val="32"/>
        </w:rPr>
        <w:t>、维护民族团结的自觉性、主动性和坚定性，为建设团结和谐、繁荣富裕、文明进步、安居乐业的塔县,实现总目标奠定良好的人心基础。</w:t>
      </w:r>
    </w:p>
    <w:p>
      <w:pPr>
        <w:adjustRightInd w:val="0"/>
        <w:snapToGrid w:val="0"/>
        <w:spacing w:line="560" w:lineRule="exact"/>
        <w:ind w:firstLine="640" w:firstLineChars="200"/>
        <w:rPr>
          <w:rFonts w:ascii="仿宋" w:hAnsi="仿宋" w:eastAsia="仿宋"/>
          <w:b/>
          <w:bCs/>
          <w:spacing w:val="-4"/>
          <w:sz w:val="32"/>
          <w:szCs w:val="32"/>
        </w:rPr>
      </w:pPr>
      <w:r>
        <w:rPr>
          <w:rFonts w:hint="eastAsia" w:eastAsia="仿宋_GB2312"/>
          <w:kern w:val="0"/>
          <w:sz w:val="32"/>
          <w:szCs w:val="32"/>
          <w:lang w:val="en-US" w:eastAsia="zh-CN"/>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auto"/>
          <w:spacing w:val="-4"/>
          <w:sz w:val="32"/>
          <w:szCs w:val="32"/>
        </w:rPr>
        <w:t>本项目性质为延续项目</w:t>
      </w:r>
      <w:r>
        <w:rPr>
          <w:rFonts w:hint="eastAsia" w:ascii="仿宋" w:hAnsi="仿宋" w:eastAsia="仿宋"/>
          <w:bCs/>
          <w:color w:val="auto"/>
          <w:spacing w:val="-4"/>
          <w:sz w:val="32"/>
          <w:szCs w:val="32"/>
          <w:lang w:eastAsia="zh-CN"/>
        </w:rPr>
        <w:t>。</w:t>
      </w:r>
    </w:p>
    <w:p>
      <w:pPr>
        <w:numPr>
          <w:ilvl w:val="0"/>
          <w:numId w:val="2"/>
        </w:numPr>
        <w:adjustRightInd w:val="0"/>
        <w:snapToGrid w:val="0"/>
        <w:spacing w:line="560" w:lineRule="exact"/>
        <w:ind w:firstLine="627" w:firstLineChars="200"/>
        <w:rPr>
          <w:rFonts w:hint="eastAsia" w:ascii="仿宋" w:hAnsi="仿宋" w:eastAsia="仿宋"/>
          <w:b/>
          <w:bCs/>
          <w:spacing w:val="-4"/>
          <w:sz w:val="32"/>
          <w:szCs w:val="32"/>
        </w:rPr>
      </w:pPr>
      <w:r>
        <w:rPr>
          <w:rFonts w:hint="eastAsia" w:ascii="仿宋" w:hAnsi="仿宋" w:eastAsia="仿宋"/>
          <w:b/>
          <w:bCs/>
          <w:spacing w:val="-4"/>
          <w:sz w:val="32"/>
          <w:szCs w:val="32"/>
        </w:rPr>
        <w:t>项目用途及范围</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项目实施范围：塔什库尔干县辖区人口。</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项目实施内容：</w:t>
      </w:r>
      <w:r>
        <w:rPr>
          <w:rFonts w:hint="eastAsia" w:ascii="仿宋" w:hAnsi="仿宋" w:eastAsia="仿宋" w:cs="仿宋"/>
          <w:kern w:val="0"/>
          <w:sz w:val="32"/>
          <w:szCs w:val="32"/>
          <w:lang w:val="zh-TW" w:eastAsia="zh-TW"/>
        </w:rPr>
        <w:t>201</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lang w:val="zh-TW" w:eastAsia="zh-TW"/>
        </w:rPr>
        <w:t>年全民健康体检补助经费</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kern w:val="0"/>
          <w:sz w:val="32"/>
          <w:szCs w:val="32"/>
        </w:rPr>
        <w:t>充分发挥县、乡镇、村（社区）三级卫生服务机构的作用，认真落实公共卫生服务项目，扎实开展全民健康体检工程，建立居民健康档案，全面了解群众健康状况，分析各族群众疾病的变化趋势及其影响因素，制定科学性、针对性、操作性强的干预策略与应对措施，进一步提高全县各族群众的健康水平和生活质量，增强各族干部群众维护祖国统一、维护社会</w:t>
      </w:r>
      <w:r>
        <w:rPr>
          <w:rFonts w:hint="eastAsia" w:ascii="仿宋" w:hAnsi="仿宋" w:eastAsia="仿宋" w:cs="仿宋"/>
          <w:kern w:val="0"/>
          <w:sz w:val="32"/>
          <w:szCs w:val="32"/>
          <w:lang w:val="en-US" w:eastAsia="zh-CN"/>
        </w:rPr>
        <w:t>和谐</w:t>
      </w:r>
      <w:r>
        <w:rPr>
          <w:rFonts w:hint="eastAsia" w:ascii="仿宋" w:hAnsi="仿宋" w:eastAsia="仿宋" w:cs="仿宋"/>
          <w:kern w:val="0"/>
          <w:sz w:val="32"/>
          <w:szCs w:val="32"/>
        </w:rPr>
        <w:t>、维护民族团结的自觉性、主动性和坚定性，为建设团结和谐、繁荣富裕、文明进步、安居乐业的塔县,实现总目标奠定良好的人心基础。</w:t>
      </w:r>
      <w:r>
        <w:rPr>
          <w:rFonts w:hint="eastAsia" w:ascii="仿宋" w:hAnsi="仿宋" w:eastAsia="仿宋" w:cs="仿宋"/>
          <w:sz w:val="32"/>
          <w:szCs w:val="32"/>
        </w:rPr>
        <w:t>面随访，随访由乡镇卫生院、社区卫生服务中心负责重性精神疾病管理工作人员负责。</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s="仿宋"/>
          <w:bCs/>
          <w:color w:val="FF0000"/>
          <w:spacing w:val="-4"/>
          <w:sz w:val="32"/>
          <w:szCs w:val="32"/>
          <w:lang w:eastAsia="zh-CN"/>
        </w:rPr>
      </w:pPr>
      <w:r>
        <w:rPr>
          <w:rFonts w:hint="eastAsia" w:ascii="仿宋" w:hAnsi="仿宋" w:eastAsia="仿宋" w:cs="仿宋"/>
          <w:kern w:val="0"/>
          <w:sz w:val="32"/>
          <w:szCs w:val="32"/>
          <w:lang w:val="zh-TW" w:eastAsia="zh-TW"/>
        </w:rPr>
        <w:t>全民健康体检补助经费</w:t>
      </w:r>
      <w:r>
        <w:rPr>
          <w:rFonts w:hint="eastAsia" w:ascii="仿宋" w:hAnsi="仿宋" w:eastAsia="仿宋" w:cs="仿宋"/>
          <w:color w:val="auto"/>
          <w:kern w:val="0"/>
          <w:sz w:val="32"/>
          <w:szCs w:val="32"/>
          <w:lang w:val="zh-TW" w:eastAsia="zh-TW"/>
        </w:rPr>
        <w:t>目</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46</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46</w:t>
      </w:r>
      <w:r>
        <w:rPr>
          <w:rFonts w:hint="eastAsia" w:ascii="仿宋" w:hAnsi="仿宋" w:eastAsia="仿宋" w:cs="仿宋"/>
          <w:bCs/>
          <w:color w:val="auto"/>
          <w:spacing w:val="-4"/>
          <w:sz w:val="32"/>
          <w:szCs w:val="32"/>
        </w:rPr>
        <w:t>万元，201</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年实际收到预算资金</w:t>
      </w:r>
      <w:r>
        <w:rPr>
          <w:rFonts w:hint="eastAsia" w:ascii="仿宋" w:hAnsi="仿宋" w:eastAsia="仿宋" w:cs="仿宋"/>
          <w:bCs/>
          <w:color w:val="auto"/>
          <w:spacing w:val="-4"/>
          <w:sz w:val="32"/>
          <w:szCs w:val="32"/>
          <w:lang w:val="en-US" w:eastAsia="zh-CN"/>
        </w:rPr>
        <w:t>46</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46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kern w:val="0"/>
          <w:sz w:val="32"/>
          <w:szCs w:val="32"/>
          <w:lang w:val="zh-TW" w:eastAsia="zh-TW"/>
        </w:rPr>
        <w:t>全民健康体检补助经费</w:t>
      </w:r>
      <w:r>
        <w:rPr>
          <w:rFonts w:hint="eastAsia" w:ascii="仿宋" w:hAnsi="仿宋" w:eastAsia="仿宋" w:cs="仿宋"/>
          <w:kern w:val="0"/>
          <w:sz w:val="32"/>
          <w:szCs w:val="32"/>
          <w:lang w:val="zh-TW" w:eastAsia="zh-CN"/>
        </w:rPr>
        <w:t>。</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hint="eastAsia" w:ascii="仿宋" w:hAnsi="仿宋" w:eastAsia="仿宋"/>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在</w:t>
      </w:r>
      <w:r>
        <w:rPr>
          <w:rFonts w:hint="eastAsia" w:ascii="仿宋" w:hAnsi="仿宋" w:eastAsia="仿宋" w:cs="仿宋"/>
          <w:kern w:val="0"/>
          <w:sz w:val="32"/>
          <w:szCs w:val="32"/>
          <w:lang w:val="zh-TW" w:eastAsia="zh-TW"/>
        </w:rPr>
        <w:t>全民健康体检补助经费</w:t>
      </w:r>
      <w:r>
        <w:rPr>
          <w:rFonts w:hint="eastAsia" w:ascii="仿宋" w:hAnsi="仿宋" w:eastAsia="仿宋" w:cs="仿宋"/>
          <w:sz w:val="32"/>
          <w:szCs w:val="32"/>
        </w:rPr>
        <w:t>直补发放过程中，严格按照国家规定的使用范围和扶持方式使用，不存在挤占、截留、挪用情况。</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不定期对项目进度情况进行督导检查，对检查过程中发现的问题及时督促整改，确保了项目按时保质完成</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3</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三级指标</w:t>
      </w:r>
      <w:r>
        <w:rPr>
          <w:rFonts w:hint="eastAsia" w:ascii="仿宋" w:hAnsi="仿宋" w:eastAsia="仿宋"/>
          <w:bCs/>
          <w:color w:val="auto"/>
          <w:spacing w:val="-4"/>
          <w:sz w:val="32"/>
          <w:szCs w:val="32"/>
          <w:lang w:val="en-US" w:eastAsia="zh-CN"/>
        </w:rPr>
        <w:t>19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19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95</w:t>
      </w:r>
      <w:r>
        <w:rPr>
          <w:rFonts w:hint="eastAsia" w:ascii="仿宋" w:hAnsi="仿宋" w:eastAsia="仿宋"/>
          <w:bCs/>
          <w:color w:val="auto"/>
          <w:spacing w:val="-4"/>
          <w:sz w:val="32"/>
          <w:szCs w:val="32"/>
        </w:rPr>
        <w:t>%。</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经济性：主要根据项目实际情况和项目经济效益设置的指标进行综合分析，主要包括项目成本控制情况和项目成本节约情况。</w:t>
      </w:r>
    </w:p>
    <w:p>
      <w:pPr>
        <w:adjustRightInd w:val="0"/>
        <w:snapToGrid w:val="0"/>
        <w:spacing w:line="560" w:lineRule="exact"/>
        <w:ind w:firstLine="624" w:firstLineChars="200"/>
        <w:rPr>
          <w:rStyle w:val="20"/>
          <w:rFonts w:ascii="仿宋" w:hAnsi="仿宋" w:eastAsia="仿宋"/>
          <w:b w:val="0"/>
          <w:color w:val="auto"/>
          <w:spacing w:val="-4"/>
          <w:sz w:val="32"/>
          <w:szCs w:val="32"/>
        </w:rPr>
      </w:pPr>
      <w:r>
        <w:rPr>
          <w:rStyle w:val="20"/>
          <w:rFonts w:hint="eastAsia" w:ascii="仿宋" w:hAnsi="仿宋" w:eastAsia="仿宋"/>
          <w:b w:val="0"/>
          <w:color w:val="auto"/>
          <w:spacing w:val="-4"/>
          <w:sz w:val="32"/>
          <w:szCs w:val="32"/>
        </w:rPr>
        <w:t>效率性：主要通过对比分析项目的实施进度和完成质量。</w:t>
      </w:r>
    </w:p>
    <w:p>
      <w:pPr>
        <w:adjustRightInd w:val="0"/>
        <w:snapToGrid w:val="0"/>
        <w:spacing w:line="560" w:lineRule="exact"/>
        <w:ind w:firstLine="624" w:firstLineChars="200"/>
        <w:rPr>
          <w:rFonts w:ascii="仿宋" w:hAnsi="仿宋" w:eastAsia="仿宋"/>
          <w:bCs/>
          <w:color w:val="auto"/>
          <w:spacing w:val="-4"/>
          <w:sz w:val="32"/>
          <w:szCs w:val="32"/>
        </w:rPr>
      </w:pPr>
      <w:r>
        <w:rPr>
          <w:rStyle w:val="20"/>
          <w:rFonts w:hint="eastAsia" w:ascii="仿宋" w:hAnsi="仿宋" w:eastAsia="仿宋"/>
          <w:b w:val="0"/>
          <w:color w:val="auto"/>
          <w:spacing w:val="-4"/>
          <w:sz w:val="32"/>
          <w:szCs w:val="32"/>
        </w:rPr>
        <w:t>效益性：主要分析项目实施后对于经济和社会的影响。</w:t>
      </w:r>
    </w:p>
    <w:p>
      <w:pPr>
        <w:adjustRightInd w:val="0"/>
        <w:snapToGrid w:val="0"/>
        <w:spacing w:line="560" w:lineRule="exact"/>
        <w:ind w:firstLine="627" w:firstLineChars="200"/>
        <w:outlineLvl w:val="0"/>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color w:val="auto"/>
          <w:spacing w:val="-4"/>
          <w:sz w:val="32"/>
          <w:szCs w:val="32"/>
        </w:rPr>
        <w:t>201</w:t>
      </w:r>
      <w:r>
        <w:rPr>
          <w:rFonts w:hint="eastAsia" w:ascii="仿宋" w:hAnsi="仿宋" w:eastAsia="仿宋"/>
          <w:color w:val="auto"/>
          <w:spacing w:val="-4"/>
          <w:sz w:val="32"/>
          <w:szCs w:val="32"/>
          <w:lang w:val="en-US" w:eastAsia="zh-CN"/>
        </w:rPr>
        <w:t>8</w:t>
      </w:r>
      <w:r>
        <w:rPr>
          <w:rFonts w:hint="eastAsia" w:ascii="仿宋" w:hAnsi="仿宋" w:eastAsia="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 w:val="0"/>
          <w:bCs/>
          <w:color w:val="auto"/>
          <w:spacing w:val="-4"/>
          <w:sz w:val="32"/>
          <w:szCs w:val="32"/>
        </w:rPr>
      </w:pPr>
      <w:r>
        <w:rPr>
          <w:rFonts w:ascii="仿宋" w:hAnsi="仿宋" w:eastAsia="仿宋"/>
          <w:b w:val="0"/>
          <w:bCs/>
          <w:color w:val="auto"/>
          <w:spacing w:val="-4"/>
          <w:sz w:val="32"/>
          <w:szCs w:val="32"/>
        </w:rPr>
        <w:t>长期性项目主要分析下一年度计划及安排等。</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1、主要经验及做法</w:t>
      </w:r>
    </w:p>
    <w:p>
      <w:pPr>
        <w:ind w:firstLine="640" w:firstLineChars="200"/>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rPr>
        <w:t>推进九项惠民工程、为城乡居民免费体检、坚持医疗惠民重要指示精神，通过为全县城乡居民提供免费健康检查，筛查、预防重大疾病，体现党和政府对各族群众的关心关怀关爱</w:t>
      </w:r>
      <w:r>
        <w:rPr>
          <w:rFonts w:hint="eastAsia" w:ascii="仿宋" w:hAnsi="仿宋" w:eastAsia="仿宋" w:cs="仿宋"/>
          <w:kern w:val="0"/>
          <w:sz w:val="32"/>
          <w:szCs w:val="32"/>
          <w:highlight w:val="none"/>
          <w:lang w:eastAsia="zh-CN"/>
        </w:rPr>
        <w:t>。</w:t>
      </w:r>
    </w:p>
    <w:p>
      <w:pPr>
        <w:numPr>
          <w:ilvl w:val="0"/>
          <w:numId w:val="3"/>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存在的问题</w:t>
      </w:r>
    </w:p>
    <w:p>
      <w:pPr>
        <w:numPr>
          <w:ilvl w:val="0"/>
          <w:numId w:val="0"/>
        </w:numPr>
        <w:adjustRightInd w:val="0"/>
        <w:snapToGrid w:val="0"/>
        <w:spacing w:line="560" w:lineRule="exact"/>
        <w:ind w:firstLine="936" w:firstLineChars="300"/>
        <w:rPr>
          <w:rFonts w:hint="eastAsia" w:ascii="仿宋" w:hAnsi="仿宋" w:eastAsia="仿宋"/>
          <w:bCs/>
          <w:spacing w:val="-4"/>
          <w:sz w:val="32"/>
          <w:szCs w:val="32"/>
        </w:rPr>
      </w:pPr>
      <w:r>
        <w:rPr>
          <w:rFonts w:hint="eastAsia" w:ascii="仿宋" w:hAnsi="仿宋" w:eastAsia="仿宋"/>
          <w:b w:val="0"/>
          <w:bCs w:val="0"/>
          <w:spacing w:val="-4"/>
          <w:sz w:val="32"/>
          <w:szCs w:val="32"/>
          <w:lang w:eastAsia="zh-CN"/>
        </w:rPr>
        <w:t>居民健康保健意识和知晓率有所提高，还需进一步进行宣传等。</w:t>
      </w:r>
    </w:p>
    <w:p>
      <w:pPr>
        <w:numPr>
          <w:ilvl w:val="0"/>
          <w:numId w:val="3"/>
        </w:numPr>
        <w:adjustRightInd w:val="0"/>
        <w:snapToGrid w:val="0"/>
        <w:spacing w:line="560" w:lineRule="exact"/>
        <w:ind w:left="0" w:leftChars="0"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firstLine="936" w:firstLineChars="300"/>
        <w:outlineLvl w:val="0"/>
        <w:rPr>
          <w:rFonts w:hint="eastAsia" w:ascii="仿宋" w:hAnsi="仿宋" w:eastAsia="仿宋"/>
          <w:b w:val="0"/>
          <w:bCs w:val="0"/>
          <w:spacing w:val="-4"/>
          <w:sz w:val="32"/>
          <w:szCs w:val="32"/>
          <w:lang w:eastAsia="zh-CN"/>
        </w:rPr>
      </w:pPr>
      <w:r>
        <w:rPr>
          <w:rFonts w:hint="eastAsia" w:ascii="仿宋" w:hAnsi="仿宋" w:eastAsia="仿宋"/>
          <w:b w:val="0"/>
          <w:bCs w:val="0"/>
          <w:spacing w:val="-4"/>
          <w:sz w:val="32"/>
          <w:szCs w:val="32"/>
          <w:lang w:eastAsia="zh-CN"/>
        </w:rPr>
        <w:t>对基层医疗卫生机构综合服务区服务能力建设进一步加强。</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auto"/>
          <w:spacing w:val="-4"/>
          <w:sz w:val="32"/>
          <w:szCs w:val="32"/>
        </w:rPr>
      </w:pPr>
      <w:r>
        <w:rPr>
          <w:rFonts w:hint="eastAsia" w:ascii="仿宋" w:hAnsi="仿宋" w:eastAsia="仿宋"/>
          <w:color w:val="auto"/>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pStyle w:val="49"/>
        <w:spacing w:line="700" w:lineRule="exact"/>
        <w:ind w:firstLine="624" w:firstLineChars="200"/>
        <w:jc w:val="left"/>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kern w:val="0"/>
          <w:sz w:val="32"/>
          <w:szCs w:val="32"/>
          <w:lang w:val="zh-TW" w:eastAsia="zh-TW"/>
        </w:rPr>
        <w:t>全民健康体检补助经费</w:t>
      </w:r>
      <w:r>
        <w:rPr>
          <w:rFonts w:hint="eastAsia" w:ascii="仿宋" w:hAnsi="仿宋" w:eastAsia="仿宋" w:cs="仿宋"/>
          <w:color w:val="auto"/>
          <w:spacing w:val="-4"/>
          <w:sz w:val="32"/>
          <w:szCs w:val="32"/>
        </w:rPr>
        <w:t>的使用效率和效果，项目管理过程规范，完成了预期绩效目标等。同时，通过开展自我评价来总结经验和教训</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20"/>
          <w:rFonts w:ascii="仿宋" w:hAnsi="仿宋" w:eastAsia="仿宋"/>
          <w:spacing w:val="-4"/>
          <w:sz w:val="32"/>
          <w:szCs w:val="32"/>
        </w:rPr>
      </w:pPr>
    </w:p>
    <w:p>
      <w:pPr>
        <w:adjustRightInd w:val="0"/>
        <w:snapToGrid w:val="0"/>
        <w:spacing w:line="560" w:lineRule="exact"/>
        <w:rPr>
          <w:rStyle w:val="20"/>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29627D47"/>
    <w:multiLevelType w:val="singleLevel"/>
    <w:tmpl w:val="29627D47"/>
    <w:lvl w:ilvl="0" w:tentative="0">
      <w:start w:val="3"/>
      <w:numFmt w:val="decimal"/>
      <w:suff w:val="nothing"/>
      <w:lvlText w:val="%1、"/>
      <w:lvlJc w:val="left"/>
    </w:lvl>
  </w:abstractNum>
  <w:abstractNum w:abstractNumId="2">
    <w:nsid w:val="5BAB5F04"/>
    <w:multiLevelType w:val="singleLevel"/>
    <w:tmpl w:val="5BAB5F04"/>
    <w:lvl w:ilvl="0" w:tentative="0">
      <w:start w:val="3"/>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11C314C"/>
    <w:rsid w:val="05AE06BB"/>
    <w:rsid w:val="0A403CC6"/>
    <w:rsid w:val="0AB56CE2"/>
    <w:rsid w:val="0B0E416A"/>
    <w:rsid w:val="0EB107EC"/>
    <w:rsid w:val="0F702238"/>
    <w:rsid w:val="20DA50E5"/>
    <w:rsid w:val="21454B50"/>
    <w:rsid w:val="275833BE"/>
    <w:rsid w:val="2EAB0219"/>
    <w:rsid w:val="347F16BE"/>
    <w:rsid w:val="36EE03B6"/>
    <w:rsid w:val="37042234"/>
    <w:rsid w:val="397F4FE8"/>
    <w:rsid w:val="39D4357E"/>
    <w:rsid w:val="3AFC1217"/>
    <w:rsid w:val="3FCA27AF"/>
    <w:rsid w:val="43A16543"/>
    <w:rsid w:val="4D6062F9"/>
    <w:rsid w:val="4EFD6A38"/>
    <w:rsid w:val="5A7F02EA"/>
    <w:rsid w:val="5AC94DDF"/>
    <w:rsid w:val="5C142817"/>
    <w:rsid w:val="61BC1174"/>
    <w:rsid w:val="6FDF50BA"/>
    <w:rsid w:val="77B838AF"/>
    <w:rsid w:val="78BE6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Plain Text"/>
    <w:basedOn w:val="1"/>
    <w:unhideWhenUsed/>
    <w:uiPriority w:val="99"/>
    <w:rPr>
      <w:rFonts w:ascii="宋体" w:cs="Courier New"/>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1"/>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qFormat/>
    <w:uiPriority w:val="0"/>
    <w:rPr>
      <w:rFonts w:hint="default" w:ascii="Times New Roman" w:hAnsi="Times New Roman" w:cs="Times New Roman"/>
      <w:color w:val="000000"/>
      <w:sz w:val="24"/>
      <w:szCs w:val="24"/>
      <w:u w:val="none"/>
    </w:rPr>
  </w:style>
  <w:style w:type="character" w:customStyle="1" w:styleId="51">
    <w:name w:val="font01"/>
    <w:basedOn w:val="19"/>
    <w:qFormat/>
    <w:uiPriority w:val="0"/>
    <w:rPr>
      <w:rFonts w:hint="eastAsia" w:ascii="宋体" w:hAnsi="宋体" w:eastAsia="宋体" w:cs="宋体"/>
      <w:color w:val="000000"/>
      <w:sz w:val="24"/>
      <w:szCs w:val="24"/>
      <w:u w:val="none"/>
    </w:rPr>
  </w:style>
  <w:style w:type="character" w:customStyle="1" w:styleId="52">
    <w:name w:val="font11"/>
    <w:basedOn w:val="1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0</TotalTime>
  <ScaleCrop>false</ScaleCrop>
  <LinksUpToDate>false</LinksUpToDate>
  <CharactersWithSpaces>1916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2019-09-25T05:27:05Z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