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拥军优属项目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武存社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</w:p>
    <w:p>
      <w:pPr>
        <w:pStyle w:val="51"/>
        <w:spacing w:line="70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27" w:firstLineChars="200"/>
        <w:jc w:val="left"/>
        <w:textAlignment w:val="auto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27" w:firstLineChars="200"/>
        <w:textAlignment w:val="auto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县民政局是塔什库尔干县人民政府主管社会事务的重要部门，承担着全县城乡社会救助和社会福利、基层民主政治建设、服务军队和国防建设、管理专项社会事务四大方面二十项工作职能。目前县民政局有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设6个职能股室：办公室（社工办）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民间组织管理、救灾救济、社会福利、社会救助股（慈善总会）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社会事务股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优抚安置军休股（退伍军人安置办）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基层政权建设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城乡医疗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35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  <w:lang w:val="en-US" w:eastAsia="zh-CN"/>
        </w:rPr>
        <w:t>1、</w:t>
      </w: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机构情况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民政局（本级）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根据国家、自治区关于民政工作的基本方针、政策、规章和法律、法规，研究提出塔什库尔干县民政事业发展规划；组织实施和监督检查塔什库尔干县民政系统执行国家、自治区民政工作有关政策法规。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国家、自治区社团管理、民办非企业组织和基金会的法规，负责全县社团、民办非企业和基金会及其分支机构的登记和年度检查；监督他们的活动，查处他们的违法行为和未经登记而以社团、民办非企业和基金会名义开展活动的非法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负责全县拥军优属、优待抚恤和革命烈士的初审申报工作；负责复员干部、退伍义务兵和转业士官的；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负责移交地方安置的军队离退休干部、士官和无军籍退休职工的接收安排工作。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负责全县救灾工作。组织核查灾情，统计汇总上报灾情，接收、管理和分配救灾款物并监督使用；组织指导救灾捐赠，指导灾区开展生产自救。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组织和指导扶贫济困等社会互助活动；管理城乡社会救济、五保户的供应、社会福利院管理。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指导全县基层政权和基层群众自治建设；指导村民委员会民主选举、民主决策、民主管理和民主监督工作，推动村务公开和基层民主政治建设；指导社区居委会建设，制定社区工作及社区服务管理办法，推动全县社区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负责全县婚姻登记和儿童收养工作，依法指导妇女儿童权益保护工作；积极倡导婚姻习俗改革；承办全县儿童收养业务；推行殡葬改革，负责全县的殡葬管理工作；负责县城内流浪乞讨人员的救助管理工作。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组织拟订和实施全县社会福利发展规划，推动社会化服务体系的建立和发展；会同有关部门研究拟订残疾人事业发展规划；负责全县社会福利有奖募捐工作。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编制社工规划，储备社工人才，建立社工队伍，探索自治县的社工工作。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城乡低保中心  主要负责组织和指导扶贫济困等社会互助活动；管理城乡社会救济、五保户的供应，和全县城乡居民第二次医疗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。审批城乡居民的医疗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</w:rPr>
        <w:t>、建档工作，负责协医疗机构对全县的居民治病实行一站式服务，协助卫生行政部门对医疗机构的监管。</w:t>
      </w:r>
    </w:p>
    <w:p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35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  <w:lang w:val="en-US" w:eastAsia="zh-CN"/>
        </w:rPr>
        <w:t>2、</w:t>
      </w: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人员情况，包括当年变动情况及原因。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慰问驻县部队18个；深入驻县军警部队看望、走访慰问子弟兵，开展拥军优属、拥政爱民的宣传教育活动，表示党和政府对子弟兵的关怀和节日问候，官兵满意度95%、部队满意度100%。。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本项目资金主要用于“八一”慰问驻县部队、走访慰问残疾军人、军队离退休干部。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使用范围：</w:t>
      </w:r>
      <w:r>
        <w:rPr>
          <w:rStyle w:val="21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慰问驻县部队。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主要内容：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用于“八一”慰问驻县部队、走访慰问残疾军人、军队离退休干部。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拥军优属项目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预算安排总额为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43.1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万元，其中财政资金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43.1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万元，2018年实际收到预算资金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43.1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43.1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项目资金主要用于支付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优抚对象、拥军优属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43.1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《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拥军优属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条例》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相关管理制度，会计人员集中核算工作管理制度、财务收支审批制度、财务稽核制度、财务牵制制度、会计主管岗位职责等制度规定，资金的拨付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有完整的审批程序和手续，不存在截留、挤占、挪用等情况。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该项目属于经常性项目,没有达到招投标限额,由本单位自行组织实施。实施过程均按照本单位制定的管理制度执行。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为保证项目质量项目实施完成后，由本项目相关人员于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2018年12月31日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完成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打电话核实落实情况。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塔什库尔干县民政局双拥办科严格按照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《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拥军优属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条例》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实施慰问，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保障项目的顺利实施。项目的实施遵守相关法律法规和业务管理规定，项目资料齐全并及时归档。已建立《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拥军优属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日常检查监督检查机制》，不定期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不定期抽查专项资金发放情况，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对检查过程中发现的问题及时督促整改，确保了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专项资金专款专用。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经济性：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效率性：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在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“八一”建军节来临之前，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按时将拥军优属资金发放到各驻县部队，确保其资金无截留、挪用。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效益性：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加强了军民团结一家亲。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年本项目绩效目标全部达成，不存在未完成原因分析。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outlineLvl w:val="0"/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eastAsia="zh-CN"/>
        </w:rPr>
        <w:t>做好慰问后的反馈工作。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1、主要经验及做法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慰问驻县部队18个；深入驻县军警部队看望、走访慰问子弟兵，开展拥军优属、拥政爱民的宣传教育活动，表示党和政府对子弟兵的关怀和节日问候，官兵满意度95%、部队满意度100%</w:t>
      </w:r>
    </w:p>
    <w:p>
      <w:pPr>
        <w:keepNext w:val="0"/>
        <w:keepLines w:val="0"/>
        <w:pageBreakBefore w:val="0"/>
        <w:tabs>
          <w:tab w:val="left" w:pos="546"/>
          <w:tab w:val="left" w:pos="6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  <w:t>2、存在的问题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tabs>
          <w:tab w:val="left" w:pos="5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  <w:t>3、</w:t>
      </w: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建议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拥军优属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项目资金的使用效率和效果，项目管理过程规范，完成了预期绩效目标等。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960" w:lineRule="exact"/>
        <w:ind w:firstLine="627" w:firstLineChars="200"/>
        <w:textAlignment w:val="auto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032A7387"/>
    <w:rsid w:val="12695183"/>
    <w:rsid w:val="1336109A"/>
    <w:rsid w:val="139244BF"/>
    <w:rsid w:val="19820E9D"/>
    <w:rsid w:val="1E556A28"/>
    <w:rsid w:val="202D31A5"/>
    <w:rsid w:val="2ABC315F"/>
    <w:rsid w:val="311D1F59"/>
    <w:rsid w:val="48FB0D4A"/>
    <w:rsid w:val="4B057596"/>
    <w:rsid w:val="583F4C81"/>
    <w:rsid w:val="5B4319AB"/>
    <w:rsid w:val="62F25F05"/>
    <w:rsid w:val="662C0011"/>
    <w:rsid w:val="6DB07C1B"/>
    <w:rsid w:val="6EFA2E41"/>
    <w:rsid w:val="724E46DE"/>
    <w:rsid w:val="77DA6184"/>
    <w:rsid w:val="79B3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unhideWhenUsed/>
    <w:qFormat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7">
    <w:name w:val="Normal (Web)"/>
    <w:basedOn w:val="1"/>
    <w:qFormat/>
    <w:uiPriority w:val="0"/>
    <w:rPr>
      <w:sz w:val="24"/>
    </w:rPr>
  </w:style>
  <w:style w:type="paragraph" w:styleId="18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semiHidden/>
    <w:unhideWhenUsed/>
    <w:qFormat/>
    <w:uiPriority w:val="99"/>
    <w:rPr>
      <w:color w:val="0000FF"/>
      <w:u w:val="single"/>
    </w:rPr>
  </w:style>
  <w:style w:type="character" w:customStyle="1" w:styleId="24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9"/>
    <w:link w:val="18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9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Char"/>
    <w:basedOn w:val="19"/>
    <w:link w:val="37"/>
    <w:qFormat/>
    <w:uiPriority w:val="29"/>
    <w:rPr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Char"/>
    <w:basedOn w:val="19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5"/>
    </w:rPr>
  </w:style>
  <w:style w:type="character" w:customStyle="1" w:styleId="42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5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Char"/>
    <w:basedOn w:val="19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文档结构图 Char"/>
    <w:basedOn w:val="19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50">
    <w:name w:val="批注框文本 Char"/>
    <w:basedOn w:val="19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51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16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2019-01-15T12:52:00Z</cp:lastPrinted>
  <dcterms:modified xsi:type="dcterms:W3CDTF">2019-09-22T10:39:30Z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