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 xml:space="preserve"> 财政对其他基本医疗保险基金的补助项目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保障城乡居民基本医疗权益，最大限度减轻困难群众（一类救助对象-特困供养人员主要包括农村五保人、城市“三无”、孤儿名、由国家全额供养的重度精神疾病患者，二类救助对象城乡最低生活保障人员、生活困难的重点优抚对象、建档立卡贫困户中的重残、重病患者）医疗支出负担，解决因病致贫、因病返贫现象，提升困难群众的幸福感，为实现社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和长治久安总目标奠定坚实基础。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此资金主要用于其他基本医疗保险待遇落实。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发放范围：城乡居民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主要内容：其他基本医疗保险基金。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其他基本医疗保险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总额为11.81万元，其中财政资金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11.81万元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11.81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11.81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其他基本医疗保险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支出11.81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其他基本医疗保险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了《其他基本医疗保险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条列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其他基本医疗保险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提高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医疗保险报销及时率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</w:t>
      </w:r>
      <w:bookmarkStart w:id="0" w:name="_GoBack"/>
      <w:bookmarkEnd w:id="0"/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1、按时足额报销医疗费。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确保县城内建档立卡贫困人口医疗保险和医疗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费用“一站式”结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算，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确保社会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和谐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和长治久安。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本次评价通过文件研读、实地调研、数据分析等方式，全面了解机关事业单位基本养老保险的使用效率和效果，项目管理过程规范，完成了预期绩效目标等。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A711B41"/>
    <w:rsid w:val="0D276EBE"/>
    <w:rsid w:val="0FAA32EA"/>
    <w:rsid w:val="10DD4D2A"/>
    <w:rsid w:val="12695183"/>
    <w:rsid w:val="1336109A"/>
    <w:rsid w:val="14345567"/>
    <w:rsid w:val="18FE7FE5"/>
    <w:rsid w:val="1AFA055F"/>
    <w:rsid w:val="1CEC65F5"/>
    <w:rsid w:val="2469318C"/>
    <w:rsid w:val="2E9E0044"/>
    <w:rsid w:val="311D1F59"/>
    <w:rsid w:val="426E7088"/>
    <w:rsid w:val="46316124"/>
    <w:rsid w:val="48FB0D4A"/>
    <w:rsid w:val="495D28C1"/>
    <w:rsid w:val="531B5397"/>
    <w:rsid w:val="58BE13B1"/>
    <w:rsid w:val="5DEE075F"/>
    <w:rsid w:val="62F25F05"/>
    <w:rsid w:val="69F61E28"/>
    <w:rsid w:val="6A9A69CC"/>
    <w:rsid w:val="6AF54812"/>
    <w:rsid w:val="7097561A"/>
    <w:rsid w:val="7744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5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