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项目名称：其他残疾人事业支出项目</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实施单位（公章）：塔什库尔干县残疾人联合会</w:t>
      </w:r>
    </w:p>
    <w:p>
      <w:pPr>
        <w:pStyle w:val="45"/>
        <w:spacing w:line="700" w:lineRule="exact"/>
        <w:ind w:left="718" w:leftChars="342" w:firstLine="0" w:firstLineChars="0"/>
        <w:jc w:val="left"/>
        <w:rPr>
          <w:rFonts w:hint="eastAsia" w:ascii="Times New Roman" w:hAnsi="宋体" w:eastAsia="仿宋_GB2312" w:cs="宋体"/>
          <w:color w:val="auto"/>
          <w:kern w:val="0"/>
          <w:sz w:val="36"/>
          <w:szCs w:val="36"/>
          <w:lang w:val="en-US" w:eastAsia="zh-CN" w:bidi="ar-SA"/>
        </w:rPr>
      </w:pPr>
      <w:r>
        <w:rPr>
          <w:rFonts w:hint="eastAsia" w:ascii="Times New Roman" w:hAnsi="宋体" w:eastAsia="仿宋_GB2312" w:cs="宋体"/>
          <w:color w:val="auto"/>
          <w:kern w:val="0"/>
          <w:sz w:val="36"/>
          <w:szCs w:val="36"/>
          <w:lang w:val="zh-TW" w:eastAsia="zh-TW" w:bidi="ar-SA"/>
        </w:rPr>
        <w:t>主管部门（公章）：</w:t>
      </w:r>
      <w:r>
        <w:rPr>
          <w:rFonts w:hint="eastAsia" w:ascii="Times New Roman" w:hAnsi="宋体" w:eastAsia="仿宋_GB2312" w:cs="宋体"/>
          <w:color w:val="auto"/>
          <w:kern w:val="0"/>
          <w:sz w:val="36"/>
          <w:szCs w:val="36"/>
          <w:lang w:val="en-US" w:eastAsia="zh-CN" w:bidi="ar-SA"/>
        </w:rPr>
        <w:t>塔什库尔干县残疾人联合会</w:t>
      </w:r>
      <w:r>
        <w:rPr>
          <w:rFonts w:hint="eastAsia" w:ascii="Times New Roman" w:hAnsi="宋体" w:eastAsia="仿宋_GB2312" w:cs="宋体"/>
          <w:color w:val="auto"/>
          <w:kern w:val="0"/>
          <w:sz w:val="36"/>
          <w:szCs w:val="36"/>
          <w:lang w:val="zh-TW" w:eastAsia="zh-TW" w:bidi="ar-SA"/>
        </w:rPr>
        <w:t>项目负责人（签章）：</w:t>
      </w:r>
      <w:r>
        <w:rPr>
          <w:rFonts w:hint="eastAsia" w:ascii="Times New Roman" w:hAnsi="宋体" w:eastAsia="仿宋_GB2312" w:cs="宋体"/>
          <w:color w:val="auto"/>
          <w:kern w:val="0"/>
          <w:sz w:val="36"/>
          <w:szCs w:val="36"/>
          <w:lang w:val="en-US" w:eastAsia="zh-CN" w:bidi="ar-SA"/>
        </w:rPr>
        <w:t>张继革</w:t>
      </w:r>
    </w:p>
    <w:p>
      <w:pPr>
        <w:pStyle w:val="45"/>
        <w:spacing w:line="700" w:lineRule="exact"/>
        <w:ind w:firstLine="720" w:firstLineChars="200"/>
        <w:jc w:val="left"/>
        <w:rPr>
          <w:rFonts w:hint="eastAsia" w:ascii="Times New Roman" w:hAnsi="宋体" w:eastAsia="仿宋_GB2312" w:cs="宋体"/>
          <w:color w:val="auto"/>
          <w:kern w:val="0"/>
          <w:sz w:val="36"/>
          <w:szCs w:val="36"/>
          <w:lang w:val="zh-TW" w:eastAsia="zh-TW" w:bidi="ar-SA"/>
        </w:rPr>
      </w:pPr>
      <w:r>
        <w:rPr>
          <w:rFonts w:hint="eastAsia" w:ascii="Times New Roman" w:hAnsi="宋体" w:eastAsia="仿宋_GB2312" w:cs="宋体"/>
          <w:color w:val="auto"/>
          <w:kern w:val="0"/>
          <w:sz w:val="36"/>
          <w:szCs w:val="36"/>
          <w:lang w:val="zh-TW" w:eastAsia="zh-TW" w:bidi="ar-SA"/>
        </w:rPr>
        <w:t>填报时间：201</w:t>
      </w:r>
      <w:r>
        <w:rPr>
          <w:rFonts w:hint="eastAsia" w:ascii="Times New Roman" w:hAnsi="宋体" w:eastAsia="仿宋_GB2312" w:cs="宋体"/>
          <w:color w:val="auto"/>
          <w:kern w:val="0"/>
          <w:sz w:val="36"/>
          <w:szCs w:val="36"/>
          <w:lang w:val="en-US" w:eastAsia="zh-CN" w:bidi="ar-SA"/>
        </w:rPr>
        <w:t>8</w:t>
      </w:r>
      <w:r>
        <w:rPr>
          <w:rFonts w:hint="eastAsia" w:ascii="Times New Roman" w:hAnsi="宋体" w:eastAsia="仿宋_GB2312" w:cs="宋体"/>
          <w:color w:val="auto"/>
          <w:kern w:val="0"/>
          <w:sz w:val="36"/>
          <w:szCs w:val="36"/>
          <w:lang w:val="zh-TW" w:eastAsia="zh-TW" w:bidi="ar-SA"/>
        </w:rPr>
        <w:t>年</w:t>
      </w:r>
      <w:r>
        <w:rPr>
          <w:rFonts w:hint="eastAsia" w:ascii="Times New Roman" w:hAnsi="宋体" w:eastAsia="仿宋_GB2312" w:cs="宋体"/>
          <w:color w:val="auto"/>
          <w:kern w:val="0"/>
          <w:sz w:val="36"/>
          <w:szCs w:val="36"/>
          <w:lang w:val="zh-TW" w:eastAsia="zh-CN" w:bidi="ar-SA"/>
        </w:rPr>
        <w:t xml:space="preserve"> </w:t>
      </w:r>
      <w:r>
        <w:rPr>
          <w:rFonts w:hint="eastAsia" w:ascii="Times New Roman" w:hAnsi="宋体" w:eastAsia="仿宋_GB2312" w:cs="宋体"/>
          <w:color w:val="auto"/>
          <w:kern w:val="0"/>
          <w:sz w:val="36"/>
          <w:szCs w:val="36"/>
          <w:lang w:val="en-US" w:eastAsia="zh-CN" w:bidi="ar-SA"/>
        </w:rPr>
        <w:t>12</w:t>
      </w:r>
      <w:r>
        <w:rPr>
          <w:rFonts w:hint="eastAsia" w:ascii="Times New Roman" w:hAnsi="宋体" w:eastAsia="仿宋_GB2312" w:cs="宋体"/>
          <w:color w:val="auto"/>
          <w:kern w:val="0"/>
          <w:sz w:val="36"/>
          <w:szCs w:val="36"/>
          <w:lang w:val="zh-TW" w:eastAsia="zh-CN" w:bidi="ar-SA"/>
        </w:rPr>
        <w:t xml:space="preserve"> </w:t>
      </w:r>
      <w:r>
        <w:rPr>
          <w:rFonts w:hint="eastAsia" w:ascii="Times New Roman" w:hAnsi="宋体" w:eastAsia="仿宋_GB2312" w:cs="宋体"/>
          <w:color w:val="auto"/>
          <w:kern w:val="0"/>
          <w:sz w:val="36"/>
          <w:szCs w:val="36"/>
          <w:lang w:val="zh-TW" w:eastAsia="zh-TW" w:bidi="ar-SA"/>
        </w:rPr>
        <w:t>月</w:t>
      </w:r>
      <w:r>
        <w:rPr>
          <w:rFonts w:hint="eastAsia" w:ascii="Times New Roman" w:hAnsi="宋体" w:eastAsia="仿宋_GB2312" w:cs="宋体"/>
          <w:color w:val="auto"/>
          <w:kern w:val="0"/>
          <w:sz w:val="36"/>
          <w:szCs w:val="36"/>
          <w:lang w:val="en-US" w:eastAsia="zh-CN" w:bidi="ar-SA"/>
        </w:rPr>
        <w:t>31</w:t>
      </w:r>
      <w:r>
        <w:rPr>
          <w:rFonts w:hint="eastAsia" w:ascii="Times New Roman" w:hAnsi="宋体" w:eastAsia="仿宋_GB2312" w:cs="宋体"/>
          <w:color w:val="auto"/>
          <w:kern w:val="0"/>
          <w:sz w:val="36"/>
          <w:szCs w:val="36"/>
          <w:lang w:val="zh-TW" w:eastAsia="zh-TW" w:bidi="ar-SA"/>
        </w:rPr>
        <w:t>日</w:t>
      </w:r>
    </w:p>
    <w:p>
      <w:pPr>
        <w:spacing w:line="540" w:lineRule="exact"/>
        <w:rPr>
          <w:rFonts w:hint="eastAsia" w:ascii="Times New Roman" w:hAnsi="宋体" w:eastAsia="仿宋_GB2312" w:cs="宋体"/>
          <w:color w:val="auto"/>
          <w:kern w:val="0"/>
          <w:sz w:val="36"/>
          <w:szCs w:val="36"/>
          <w:lang w:val="en-US" w:eastAsia="zh-CN" w:bidi="ar-SA"/>
        </w:rPr>
      </w:pPr>
    </w:p>
    <w:p>
      <w:pPr>
        <w:spacing w:line="700" w:lineRule="exact"/>
        <w:ind w:firstLine="849" w:firstLineChars="236"/>
        <w:jc w:val="left"/>
        <w:rPr>
          <w:rFonts w:hAnsi="宋体" w:eastAsia="仿宋_GB2312" w:cs="宋体"/>
          <w:kern w:val="0"/>
          <w:sz w:val="36"/>
          <w:szCs w:val="36"/>
        </w:rPr>
      </w:pP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一、项目概况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（一）项目单位基本情况</w:t>
      </w:r>
    </w:p>
    <w:p>
      <w:pPr>
        <w:spacing w:line="540" w:lineRule="exact"/>
        <w:ind w:firstLine="640" w:firstLineChars="200"/>
        <w:rPr>
          <w:rStyle w:val="16"/>
          <w:rFonts w:ascii="仿宋_GB2312" w:eastAsia="仿宋_GB2312"/>
          <w:b w:val="0"/>
          <w:bCs w:val="0"/>
          <w:sz w:val="32"/>
          <w:szCs w:val="32"/>
        </w:rPr>
      </w:pPr>
      <w:r>
        <w:rPr>
          <w:rFonts w:hint="eastAsia" w:ascii="仿宋_GB2312" w:eastAsia="仿宋_GB2312"/>
          <w:sz w:val="32"/>
          <w:szCs w:val="32"/>
        </w:rPr>
        <w:t>塔什库尔干塔吉克自治县残疾人联合会为正科级参公事业单位，归口县人民政府办管理，现有在编人员3人，公益岗位2人。根据2018年全国残疾人基本服务状况和需求信息数据动态更新工作系统反馈，我县现有各类持证残疾人1059人。</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（二）项目预算</w:t>
      </w:r>
      <w:r>
        <w:rPr>
          <w:rStyle w:val="16"/>
          <w:rFonts w:ascii="楷体" w:hAnsi="楷体" w:eastAsia="楷体"/>
          <w:spacing w:val="-4"/>
          <w:sz w:val="32"/>
          <w:szCs w:val="32"/>
        </w:rPr>
        <w:t>绩效目标</w:t>
      </w:r>
      <w:r>
        <w:rPr>
          <w:rStyle w:val="16"/>
          <w:rFonts w:hint="eastAsia" w:ascii="楷体" w:hAnsi="楷体" w:eastAsia="楷体"/>
          <w:spacing w:val="-4"/>
          <w:sz w:val="32"/>
          <w:szCs w:val="32"/>
        </w:rPr>
        <w:t>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目标1：按照文件要求发放2018年残疾人事业发展补助资金：发放阳光家园计划补贴人数5人；发放残疾人燃油补贴人数70人。</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目标2：加大残疾人基本服务状况和需求信息数据动态更新系统使用力度，有效提高残疾人精准康复水平，并让惠残政策高效透明的运行。</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目标3：持续提高和改善残疾人生活水平，进一步推进残疾人小康进程。</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2018年发放残疾人事业发展补助资金涉及符合发放条件残疾人75人。</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adjustRightInd w:val="0"/>
        <w:spacing w:line="540" w:lineRule="exact"/>
        <w:ind w:firstLine="640" w:firstLineChars="200"/>
        <w:jc w:val="left"/>
        <w:rPr>
          <w:rStyle w:val="16"/>
          <w:rFonts w:ascii="仿宋_GB2312" w:hAnsi="宋体" w:eastAsia="仿宋_GB2312"/>
          <w:b w:val="0"/>
          <w:bCs w:val="0"/>
          <w:sz w:val="32"/>
          <w:szCs w:val="32"/>
        </w:rPr>
      </w:pPr>
      <w:r>
        <w:rPr>
          <w:rFonts w:hint="eastAsia" w:ascii="仿宋_GB2312" w:eastAsia="仿宋_GB2312"/>
          <w:sz w:val="32"/>
          <w:szCs w:val="32"/>
        </w:rPr>
        <w:t>2018年上级下拨专项资金为2.82万元，针对塔县12个乡（镇）符合补助发放条件的75名残疾人发放。资金包括：</w:t>
      </w:r>
      <w:r>
        <w:rPr>
          <w:rFonts w:hint="eastAsia" w:ascii="仿宋_GB2312" w:hAnsi="宋体" w:eastAsia="仿宋_GB2312"/>
          <w:sz w:val="32"/>
          <w:szCs w:val="32"/>
        </w:rPr>
        <w:t>发放阳光家园计划补贴人数5人,补贴资金1万元；发放残疾人燃油补贴人数70人，补贴资金1.82万元</w:t>
      </w:r>
      <w:r>
        <w:rPr>
          <w:rFonts w:hint="eastAsia" w:ascii="仿宋_GB2312" w:eastAsia="仿宋_GB2312"/>
          <w:sz w:val="32"/>
          <w:szCs w:val="32"/>
        </w:rPr>
        <w:t>。</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二、项目资金使用及管理情况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（一）项目资金安排落实、总投入等情况分析</w:t>
      </w:r>
    </w:p>
    <w:p>
      <w:pPr>
        <w:ind w:firstLine="640" w:firstLineChars="200"/>
        <w:outlineLvl w:val="0"/>
        <w:rPr>
          <w:rStyle w:val="16"/>
          <w:rFonts w:ascii="仿宋_GB2312" w:eastAsia="仿宋_GB2312"/>
          <w:b w:val="0"/>
          <w:color w:val="000000"/>
          <w:sz w:val="32"/>
          <w:szCs w:val="32"/>
        </w:rPr>
      </w:pPr>
      <w:r>
        <w:rPr>
          <w:rFonts w:hint="eastAsia" w:ascii="仿宋_GB2312" w:eastAsia="仿宋_GB2312"/>
          <w:bCs/>
          <w:color w:val="000000"/>
          <w:sz w:val="32"/>
          <w:szCs w:val="32"/>
        </w:rPr>
        <w:t>项目年初预算安排情况：</w:t>
      </w:r>
      <w:r>
        <w:rPr>
          <w:rFonts w:hint="eastAsia" w:ascii="仿宋_GB2312" w:eastAsia="仿宋_GB2312"/>
          <w:sz w:val="32"/>
          <w:szCs w:val="32"/>
        </w:rPr>
        <w:t>阳光家园计划补贴资金1万元，残疾人燃油补贴资金1.82万元</w:t>
      </w:r>
      <w:r>
        <w:rPr>
          <w:rFonts w:hint="eastAsia" w:ascii="仿宋_GB2312" w:eastAsia="仿宋_GB2312"/>
          <w:bCs/>
          <w:color w:val="000000"/>
          <w:sz w:val="32"/>
          <w:szCs w:val="32"/>
        </w:rPr>
        <w:t>，共计2.82万元。</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（二）项目资金实际使用情况分析</w:t>
      </w:r>
    </w:p>
    <w:p>
      <w:pPr>
        <w:ind w:firstLine="640" w:firstLineChars="200"/>
        <w:outlineLvl w:val="0"/>
        <w:rPr>
          <w:rFonts w:ascii="仿宋_GB2312" w:eastAsia="仿宋_GB2312"/>
          <w:bCs/>
          <w:color w:val="000000"/>
          <w:sz w:val="32"/>
          <w:szCs w:val="32"/>
        </w:rPr>
      </w:pPr>
      <w:r>
        <w:rPr>
          <w:rFonts w:hint="eastAsia" w:ascii="仿宋_GB2312" w:hAnsi="宋体" w:eastAsia="仿宋_GB2312"/>
          <w:sz w:val="32"/>
          <w:szCs w:val="32"/>
        </w:rPr>
        <w:t>阳光家园计划补贴人数5人,补贴资金1万元</w:t>
      </w:r>
      <w:r>
        <w:rPr>
          <w:rFonts w:hint="eastAsia" w:ascii="仿宋_GB2312" w:eastAsia="仿宋_GB2312"/>
          <w:bCs/>
          <w:color w:val="000000"/>
          <w:sz w:val="32"/>
          <w:szCs w:val="32"/>
        </w:rPr>
        <w:t>，此项资金已全部用于给在县社会福利院托养的残疾人发放补贴。</w:t>
      </w:r>
    </w:p>
    <w:p>
      <w:pPr>
        <w:ind w:firstLine="640" w:firstLineChars="200"/>
        <w:outlineLvl w:val="0"/>
        <w:rPr>
          <w:rStyle w:val="16"/>
          <w:rFonts w:ascii="仿宋_GB2312" w:eastAsia="仿宋_GB2312"/>
          <w:b w:val="0"/>
          <w:color w:val="000000"/>
          <w:sz w:val="32"/>
          <w:szCs w:val="32"/>
        </w:rPr>
      </w:pPr>
      <w:r>
        <w:rPr>
          <w:rFonts w:hint="eastAsia" w:ascii="仿宋_GB2312" w:hAnsi="宋体" w:eastAsia="仿宋_GB2312"/>
          <w:sz w:val="32"/>
          <w:szCs w:val="32"/>
        </w:rPr>
        <w:t>残疾人燃油补贴人数70人，补贴资金1.82万元</w:t>
      </w:r>
      <w:r>
        <w:rPr>
          <w:rFonts w:hint="eastAsia" w:ascii="仿宋_GB2312" w:eastAsia="仿宋_GB2312"/>
          <w:bCs/>
          <w:color w:val="000000"/>
          <w:sz w:val="32"/>
          <w:szCs w:val="32"/>
        </w:rPr>
        <w:t>，此项资金已全部用于给符合标准残疾人发放燃油补贴。</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（三）项目资金管理情况分析</w:t>
      </w:r>
    </w:p>
    <w:p>
      <w:pPr>
        <w:ind w:firstLine="640" w:firstLineChars="200"/>
        <w:outlineLvl w:val="0"/>
        <w:rPr>
          <w:rFonts w:ascii="仿宋_GB2312" w:eastAsia="仿宋_GB2312"/>
          <w:bCs/>
          <w:color w:val="000000"/>
          <w:sz w:val="32"/>
          <w:szCs w:val="32"/>
        </w:rPr>
      </w:pPr>
      <w:r>
        <w:rPr>
          <w:rFonts w:hint="eastAsia" w:ascii="仿宋_GB2312" w:hAnsi="楷体_GB2312" w:eastAsia="仿宋_GB2312" w:cs="楷体_GB2312"/>
          <w:sz w:val="32"/>
          <w:szCs w:val="32"/>
        </w:rPr>
        <w:t>此项资金根据财政统一安排，实施国库集中支付，</w:t>
      </w:r>
      <w:r>
        <w:rPr>
          <w:rFonts w:hint="eastAsia" w:ascii="仿宋_GB2312" w:hAnsi="仿宋_GB2312" w:eastAsia="仿宋_GB2312" w:cs="仿宋_GB2312"/>
          <w:bCs/>
          <w:color w:val="000000"/>
          <w:sz w:val="32"/>
          <w:szCs w:val="32"/>
        </w:rPr>
        <w:t>严格按照财政资金审批制度实施执行。</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专项资金管理制度：</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专项资金实行“专人负责、专门流程、专项使用”。</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资金的拨付本着专款专用的原则，严格执行项目资金批准的使用计划，不准擅自调项、扩项、缩项，更不准拆借、挪用、挤占和随意扣压；资金使用用途，按不同专项资金的要求执行，不准任意改变；特殊状况，务必请示。</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严格执行专项资金审核制度，各类专项资金审批程序，以该专项资金审批表所列资料和文件要求为准。</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专项资金报账拨付要附真实、有效、合法的凭证。</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对专项资金要定期或不定期进行督查，确保项目资金专款专用。</w:t>
      </w:r>
    </w:p>
    <w:p>
      <w:pPr>
        <w:spacing w:line="540" w:lineRule="exact"/>
        <w:ind w:firstLine="640" w:firstLineChars="200"/>
        <w:rPr>
          <w:rStyle w:val="16"/>
          <w:rFonts w:ascii="仿宋" w:hAnsi="仿宋" w:eastAsia="仿宋"/>
          <w:b w:val="0"/>
          <w:spacing w:val="-4"/>
          <w:sz w:val="32"/>
          <w:szCs w:val="32"/>
        </w:rPr>
      </w:pPr>
      <w:r>
        <w:rPr>
          <w:rFonts w:hint="eastAsia" w:ascii="仿宋_GB2312" w:eastAsia="仿宋_GB2312"/>
          <w:bCs/>
          <w:color w:val="000000"/>
          <w:sz w:val="32"/>
          <w:szCs w:val="32"/>
        </w:rPr>
        <w:t>根据上级来文，县残联向喀什地区财政局申请预算拨款2.82万元，截止2018年12月，县残联已使用残疾人发展补助资金2.82万元。</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三、项目组织实施情况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（一）项目组织情况分析</w:t>
      </w:r>
    </w:p>
    <w:p>
      <w:pPr>
        <w:spacing w:line="540" w:lineRule="exact"/>
        <w:ind w:firstLine="640" w:firstLineChars="200"/>
        <w:rPr>
          <w:rStyle w:val="16"/>
          <w:rFonts w:ascii="仿宋" w:hAnsi="仿宋" w:eastAsia="仿宋"/>
          <w:b w:val="0"/>
          <w:spacing w:val="-4"/>
          <w:sz w:val="32"/>
          <w:szCs w:val="32"/>
        </w:rPr>
      </w:pPr>
      <w:r>
        <w:rPr>
          <w:rFonts w:hint="eastAsia" w:ascii="仿宋_GB2312" w:eastAsia="仿宋_GB2312"/>
          <w:sz w:val="32"/>
          <w:szCs w:val="32"/>
        </w:rPr>
        <w:t>2018年上级行业部门下拨专项资金：阳光家园计划资金1万元，残疾人燃油补贴资金1.82万元</w:t>
      </w:r>
      <w:r>
        <w:rPr>
          <w:rFonts w:hint="eastAsia" w:ascii="仿宋_GB2312" w:eastAsia="仿宋_GB2312"/>
          <w:bCs/>
          <w:color w:val="000000"/>
          <w:sz w:val="32"/>
          <w:szCs w:val="32"/>
        </w:rPr>
        <w:t>，共计2.82万元，支出2.82万元，无结余。</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（二）项目管理情况分析</w:t>
      </w:r>
    </w:p>
    <w:p>
      <w:pPr>
        <w:ind w:firstLine="640" w:firstLineChars="200"/>
        <w:outlineLvl w:val="0"/>
        <w:rPr>
          <w:rStyle w:val="16"/>
          <w:rFonts w:ascii="仿宋_GB2312" w:eastAsia="仿宋_GB2312"/>
          <w:b w:val="0"/>
          <w:color w:val="000000"/>
          <w:sz w:val="32"/>
          <w:szCs w:val="32"/>
        </w:rPr>
      </w:pPr>
      <w:r>
        <w:rPr>
          <w:rFonts w:hint="eastAsia" w:ascii="仿宋_GB2312" w:eastAsia="仿宋_GB2312"/>
          <w:bCs/>
          <w:color w:val="000000"/>
          <w:sz w:val="32"/>
          <w:szCs w:val="32"/>
        </w:rPr>
        <w:t>2018年9月24日，县残联在中秋节期间慰问在社会福利院托养的5名残疾人，询问他们对居住环境、饮食是否满意，并检查了社会福利院厨房、监控室以及应急药品储备情况，检查中未发现问题。</w:t>
      </w:r>
    </w:p>
    <w:p>
      <w:pPr>
        <w:spacing w:line="540" w:lineRule="exact"/>
        <w:ind w:firstLine="624" w:firstLineChars="200"/>
        <w:rPr>
          <w:rStyle w:val="16"/>
          <w:rFonts w:ascii="黑体" w:hAnsi="黑体" w:eastAsia="黑体"/>
        </w:rPr>
      </w:pPr>
      <w:r>
        <w:rPr>
          <w:rStyle w:val="16"/>
          <w:rFonts w:hint="eastAsia" w:ascii="黑体" w:hAnsi="黑体" w:eastAsia="黑体"/>
          <w:b w:val="0"/>
          <w:spacing w:val="-4"/>
          <w:sz w:val="32"/>
          <w:szCs w:val="32"/>
        </w:rPr>
        <w:t>四、项目绩效情况</w:t>
      </w:r>
      <w:r>
        <w:rPr>
          <w:rStyle w:val="16"/>
          <w:rFonts w:hint="eastAsia" w:ascii="黑体" w:hAnsi="黑体" w:eastAsia="黑体"/>
        </w:rPr>
        <w:t xml:space="preserve"> </w:t>
      </w:r>
    </w:p>
    <w:p>
      <w:pPr>
        <w:spacing w:line="540" w:lineRule="exact"/>
        <w:ind w:firstLine="627" w:firstLineChars="200"/>
        <w:rPr>
          <w:rStyle w:val="16"/>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产出指标分析及文字说明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1、数量指标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（1）阳光家园计划补贴人数5人，补助资金1万元，实际执行1万元。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（2）残疾人燃油补贴人数70人，补助资金1.82万元，实际执行1.82万元。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2、质量指标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（1）足额发放阳光家园计划补贴预期完成率100%，实际完成率100%。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（2）足额发放残疾人燃油补贴预期完成率100%，实际完成率100%。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3、时效指标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残疾人事业发展补助资金足额发放及时率100%，实际完成率100%。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4、成本指标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（1）残疾人阳光家园计划资金补助标准0.2万元/人/年，按标准发放；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（2）残疾人燃油补贴资金补助标准0.026万元/人/年，按标准发放；</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绩效定性指标分析及详细文字说明：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1、经济效益指标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本项目直接发放和间接补贴的方式为符合发放条件的残疾人减轻生活负担，增加收入2.82万元，主要体现在：其他残疾人事业支出资金的使用为我县残疾人老有所养、便利出行提供了资金保障。</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2、社会效益指标</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（1）计划享受残疾人事业发展补助资金残疾人共计75人,实际补助75人。</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通过建立残疾人基本信息实名制台账和建档立卡贫困残疾人基本信息实名制台账，县残联能够更加准确、全面的掌握残疾人基本状况，并实地了解建档立卡残疾人家庭困难和需求，让残疾人惠残政策运行高效透明。</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eastAsia="仿宋_GB2312"/>
          <w:sz w:val="32"/>
          <w:szCs w:val="32"/>
        </w:rPr>
        <w:t>（3）本项目的实施，旨在加强我县残疾人社会保障体系和服务体系建设，提高生活质量，从残疾人生活的医、食、住、行全方位加快推进残疾人小康进程。</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3、生态效益指标（无）</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4、可持续影响指标</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通过残疾人事业发展补助资金的发放，持续提高和改善残疾人生活水平，此项工作需要长期坚持。</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eastAsia="仿宋_GB2312"/>
          <w:sz w:val="32"/>
          <w:szCs w:val="32"/>
        </w:rPr>
        <w:t>通过残疾人康复资金的使用，让轻度残疾人通过先进医疗手段进行手术、康复，最终恢复正常。让中、重度残疾人通过手术、康复以及辅助器具适配恢复自理能力，减轻家庭负担，重燃生活信心。</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firstLineChars="200"/>
        <w:rPr>
          <w:rFonts w:ascii="仿宋" w:hAnsi="仿宋" w:eastAsia="仿宋"/>
          <w:spacing w:val="-4"/>
          <w:sz w:val="32"/>
          <w:szCs w:val="32"/>
        </w:rPr>
      </w:pPr>
      <w:r>
        <w:rPr>
          <w:rFonts w:hint="eastAsia" w:ascii="仿宋_GB2312" w:eastAsia="仿宋_GB2312"/>
          <w:bCs/>
          <w:color w:val="000000"/>
          <w:sz w:val="32"/>
          <w:szCs w:val="32"/>
        </w:rPr>
        <w:t>全部项目已完成。</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五、其他需要说明的问题</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firstLineChars="200"/>
        <w:rPr>
          <w:rFonts w:ascii="仿宋_GB2312" w:eastAsia="仿宋_GB2312"/>
          <w:spacing w:val="-4"/>
          <w:sz w:val="32"/>
          <w:szCs w:val="32"/>
        </w:rPr>
      </w:pPr>
      <w:r>
        <w:rPr>
          <w:rFonts w:hint="eastAsia" w:ascii="仿宋_GB2312" w:eastAsia="仿宋_GB2312"/>
          <w:bCs/>
          <w:color w:val="000000"/>
          <w:sz w:val="32"/>
          <w:szCs w:val="32"/>
        </w:rPr>
        <w:t>县残联将更加充分的利用残疾人事业发展补助资金，解决残疾人</w:t>
      </w:r>
      <w:r>
        <w:rPr>
          <w:rFonts w:hint="eastAsia" w:ascii="仿宋_GB2312" w:hAnsi="仿宋" w:eastAsia="仿宋_GB2312"/>
          <w:sz w:val="32"/>
          <w:szCs w:val="32"/>
        </w:rPr>
        <w:t>最关心、最直接、最现实的（残疾人康复、托养、就业、扶贫等）利益问题，</w:t>
      </w:r>
      <w:r>
        <w:rPr>
          <w:rFonts w:hint="eastAsia" w:ascii="仿宋_GB2312" w:hAnsi="宋体" w:eastAsia="仿宋_GB2312" w:cs="宋体"/>
          <w:color w:val="000000"/>
          <w:sz w:val="32"/>
          <w:szCs w:val="32"/>
        </w:rPr>
        <w:t>以逐步改善残疾人的基本生活为重点，创造良好的社会环境，使残疾人事业健康发展。</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项目实施过程中好的经验总结：</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合理利用专业系统核实我县残疾人基本信息，建立各类精准台账，为发放残疾人事业发展补助提供真实可靠的信息保障。</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项目实施过程中存在的问题及原因分析：</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1、残联的人员编制少，使残疾人事业的宣传具有局限性，形成了一些人对发展残疾人事业的认识不深、理解不够。</w:t>
      </w:r>
    </w:p>
    <w:p>
      <w:pPr>
        <w:ind w:firstLine="640" w:firstLineChars="200"/>
        <w:outlineLvl w:val="0"/>
        <w:rPr>
          <w:rFonts w:ascii="仿宋_GB2312" w:eastAsia="仿宋_GB2312"/>
          <w:bCs/>
          <w:color w:val="000000"/>
          <w:sz w:val="32"/>
          <w:szCs w:val="32"/>
        </w:rPr>
      </w:pPr>
      <w:r>
        <w:rPr>
          <w:rFonts w:hint="eastAsia" w:ascii="仿宋_GB2312" w:hAnsi="仿宋" w:eastAsia="仿宋_GB2312"/>
          <w:sz w:val="32"/>
          <w:szCs w:val="32"/>
        </w:rPr>
        <w:t>2、各乡、镇民政干事人员流动性大，没有形成专人专责工作制度，造成对残疾人事业发展补助资金使用情况认识不到位，对残疾人进行政策宣讲和解读不到位。</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对下一年度项目实施的改进意见或措施：</w:t>
      </w:r>
    </w:p>
    <w:p>
      <w:pPr>
        <w:pStyle w:val="44"/>
        <w:spacing w:line="56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1、以健全“两个体系”（保障体系和服务体系）和“大力扶持、帮助贫困残疾人”为主题结合实际宣传在残疾人事业中取得的丰硕成果。开展多种形式的助残活动，进一步扩大扶残、助残的影响面，在全社会营造关心残疾人，支持残疾人事业的局面。积极开展各项活动，建立自治县残疾人文体人才库，提高残疾人参与社会的能力。</w:t>
      </w:r>
    </w:p>
    <w:p>
      <w:pPr>
        <w:spacing w:line="540" w:lineRule="exact"/>
        <w:ind w:firstLine="640" w:firstLineChars="200"/>
        <w:rPr>
          <w:rFonts w:ascii="仿宋_GB2312" w:hAnsi="楷体" w:eastAsia="仿宋_GB2312"/>
          <w:b/>
          <w:spacing w:val="-4"/>
          <w:sz w:val="32"/>
          <w:szCs w:val="32"/>
        </w:rPr>
      </w:pPr>
      <w:r>
        <w:rPr>
          <w:rFonts w:hint="eastAsia" w:ascii="仿宋_GB2312" w:eastAsia="仿宋_GB2312"/>
          <w:bCs/>
          <w:color w:val="000000"/>
          <w:sz w:val="32"/>
          <w:szCs w:val="32"/>
        </w:rPr>
        <w:t>2、</w:t>
      </w:r>
      <w:r>
        <w:rPr>
          <w:rFonts w:hint="eastAsia" w:ascii="仿宋_GB2312" w:hAnsi="仿宋" w:eastAsia="仿宋_GB2312"/>
          <w:sz w:val="32"/>
          <w:szCs w:val="32"/>
        </w:rPr>
        <w:t>对各乡、镇民政干事进行残疾人事业发展补助资金文件进行培训，进一步巩固民政干事对政策的认识和理解。</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24" w:firstLineChars="200"/>
        <w:rPr>
          <w:rFonts w:ascii="仿宋_GB2312" w:hAnsi="楷体" w:eastAsia="仿宋_GB2312"/>
          <w:spacing w:val="-4"/>
          <w:sz w:val="32"/>
          <w:szCs w:val="32"/>
        </w:rPr>
      </w:pPr>
      <w:r>
        <w:rPr>
          <w:rFonts w:hint="eastAsia" w:ascii="仿宋_GB2312" w:hAnsi="楷体" w:eastAsia="仿宋_GB2312"/>
          <w:spacing w:val="-4"/>
          <w:sz w:val="32"/>
          <w:szCs w:val="32"/>
        </w:rPr>
        <w:t>（无）</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六、项目评价工作情况</w:t>
      </w:r>
    </w:p>
    <w:p>
      <w:pPr>
        <w:spacing w:line="450" w:lineRule="atLeast"/>
        <w:ind w:firstLine="567"/>
        <w:rPr>
          <w:rFonts w:ascii="仿宋" w:hAnsi="仿宋" w:eastAsia="仿宋"/>
          <w:bCs/>
          <w:spacing w:val="-4"/>
          <w:sz w:val="32"/>
          <w:szCs w:val="32"/>
        </w:rPr>
      </w:pPr>
      <w:r>
        <w:rPr>
          <w:rFonts w:hint="eastAsia" w:ascii="仿宋" w:hAnsi="仿宋" w:eastAsia="仿宋"/>
          <w:bCs/>
          <w:spacing w:val="-4"/>
          <w:sz w:val="32"/>
          <w:szCs w:val="32"/>
        </w:rPr>
        <w:t>本次绩效评价共分三个阶段</w:t>
      </w:r>
      <w:r>
        <w:rPr>
          <w:rFonts w:ascii="仿宋" w:hAnsi="仿宋" w:eastAsia="仿宋"/>
          <w:bCs/>
          <w:spacing w:val="-4"/>
          <w:sz w:val="32"/>
          <w:szCs w:val="32"/>
        </w:rPr>
        <w:t>,</w:t>
      </w:r>
      <w:r>
        <w:rPr>
          <w:rFonts w:hint="eastAsia" w:ascii="仿宋" w:hAnsi="仿宋" w:eastAsia="仿宋"/>
          <w:bCs/>
          <w:spacing w:val="-4"/>
          <w:sz w:val="32"/>
          <w:szCs w:val="32"/>
        </w:rPr>
        <w:t>一是绩效评价准备。召开学习准备会，通过对财政预算绩效评价相关文件的学习，制定实施方案，成立评价小组。二是绩效评价实施。严格按照规定组织实施绩效评价，查阅和收集有关数据资料，并进行认真分析，初步计算出各评价指标分值。三是绩效评价报告形成。通过对各项资料进行归纳整理，形成绩效评价报告。</w:t>
      </w:r>
    </w:p>
    <w:p>
      <w:pPr>
        <w:spacing w:line="540" w:lineRule="exact"/>
        <w:ind w:firstLine="624" w:firstLineChars="200"/>
        <w:rPr>
          <w:rStyle w:val="16"/>
          <w:rFonts w:ascii="黑体" w:hAnsi="黑体" w:eastAsia="黑体"/>
          <w:b w:val="0"/>
          <w:spacing w:val="-4"/>
          <w:sz w:val="32"/>
          <w:szCs w:val="32"/>
        </w:rPr>
      </w:pPr>
      <w:bookmarkStart w:id="0" w:name="_GoBack"/>
      <w:bookmarkEnd w:id="0"/>
      <w:r>
        <w:rPr>
          <w:rStyle w:val="16"/>
          <w:rFonts w:hint="eastAsia" w:ascii="黑体" w:hAnsi="黑体" w:eastAsia="黑体"/>
          <w:b w:val="0"/>
          <w:spacing w:val="-4"/>
          <w:sz w:val="32"/>
          <w:szCs w:val="32"/>
        </w:rPr>
        <w:t>七、附表</w:t>
      </w:r>
    </w:p>
    <w:p>
      <w:pPr>
        <w:spacing w:line="540" w:lineRule="exact"/>
        <w:ind w:firstLine="624" w:firstLineChars="200"/>
        <w:rPr>
          <w:rStyle w:val="16"/>
          <w:rFonts w:ascii="仿宋" w:hAnsi="仿宋" w:eastAsia="仿宋"/>
          <w:b w:val="0"/>
          <w:spacing w:val="-4"/>
          <w:sz w:val="32"/>
          <w:szCs w:val="32"/>
        </w:rPr>
      </w:pPr>
      <w:r>
        <w:rPr>
          <w:rStyle w:val="16"/>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442EA"/>
    <w:rsid w:val="000472A7"/>
    <w:rsid w:val="002549A7"/>
    <w:rsid w:val="002A73D1"/>
    <w:rsid w:val="002E0EBA"/>
    <w:rsid w:val="004452D9"/>
    <w:rsid w:val="0046585E"/>
    <w:rsid w:val="004B4BE5"/>
    <w:rsid w:val="005162F1"/>
    <w:rsid w:val="00535153"/>
    <w:rsid w:val="00560236"/>
    <w:rsid w:val="006358FB"/>
    <w:rsid w:val="006A25D2"/>
    <w:rsid w:val="00835C4A"/>
    <w:rsid w:val="00855E3A"/>
    <w:rsid w:val="008E658A"/>
    <w:rsid w:val="008F65F6"/>
    <w:rsid w:val="00915EAF"/>
    <w:rsid w:val="009172CC"/>
    <w:rsid w:val="00922CB9"/>
    <w:rsid w:val="00A15C6E"/>
    <w:rsid w:val="00A26421"/>
    <w:rsid w:val="00A4293B"/>
    <w:rsid w:val="00B41F61"/>
    <w:rsid w:val="00C507D7"/>
    <w:rsid w:val="00C56C72"/>
    <w:rsid w:val="00CA6457"/>
    <w:rsid w:val="00CF0D57"/>
    <w:rsid w:val="00D17F2E"/>
    <w:rsid w:val="00D56FD3"/>
    <w:rsid w:val="00DB47D0"/>
    <w:rsid w:val="00E551DB"/>
    <w:rsid w:val="00E61A3F"/>
    <w:rsid w:val="00E769FE"/>
    <w:rsid w:val="00E81FFB"/>
    <w:rsid w:val="00EA2CBE"/>
    <w:rsid w:val="00F32FEE"/>
    <w:rsid w:val="00FB22E2"/>
    <w:rsid w:val="06B659E1"/>
    <w:rsid w:val="09BA5B63"/>
    <w:rsid w:val="12C6333F"/>
    <w:rsid w:val="24702034"/>
    <w:rsid w:val="46C5619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Emphasis"/>
    <w:basedOn w:val="15"/>
    <w:qFormat/>
    <w:uiPriority w:val="20"/>
    <w:rPr>
      <w:rFonts w:asciiTheme="minorHAnsi" w:hAnsiTheme="minorHAnsi"/>
      <w:b/>
      <w:i/>
      <w:iCs/>
    </w:rPr>
  </w:style>
  <w:style w:type="character" w:customStyle="1" w:styleId="19">
    <w:name w:val="标题 1 Char"/>
    <w:basedOn w:val="15"/>
    <w:link w:val="2"/>
    <w:qFormat/>
    <w:uiPriority w:val="9"/>
    <w:rPr>
      <w:rFonts w:asciiTheme="majorHAnsi" w:hAnsiTheme="majorHAnsi" w:eastAsiaTheme="majorEastAsia"/>
      <w:b/>
      <w:bCs/>
      <w:kern w:val="32"/>
      <w:sz w:val="32"/>
      <w:szCs w:val="32"/>
    </w:rPr>
  </w:style>
  <w:style w:type="character" w:customStyle="1" w:styleId="20">
    <w:name w:val="标题 2 Char"/>
    <w:basedOn w:val="15"/>
    <w:link w:val="3"/>
    <w:semiHidden/>
    <w:qFormat/>
    <w:uiPriority w:val="9"/>
    <w:rPr>
      <w:rFonts w:asciiTheme="majorHAnsi" w:hAnsiTheme="majorHAnsi" w:eastAsiaTheme="majorEastAsia"/>
      <w:b/>
      <w:bCs/>
      <w:i/>
      <w:iCs/>
      <w:sz w:val="28"/>
      <w:szCs w:val="28"/>
    </w:rPr>
  </w:style>
  <w:style w:type="character" w:customStyle="1" w:styleId="21">
    <w:name w:val="标题 3 Char"/>
    <w:basedOn w:val="15"/>
    <w:link w:val="4"/>
    <w:semiHidden/>
    <w:qFormat/>
    <w:uiPriority w:val="9"/>
    <w:rPr>
      <w:rFonts w:asciiTheme="majorHAnsi" w:hAnsiTheme="majorHAnsi" w:eastAsiaTheme="majorEastAsia"/>
      <w:b/>
      <w:bCs/>
      <w:sz w:val="26"/>
      <w:szCs w:val="26"/>
    </w:rPr>
  </w:style>
  <w:style w:type="character" w:customStyle="1" w:styleId="22">
    <w:name w:val="标题 4 Char"/>
    <w:basedOn w:val="15"/>
    <w:link w:val="5"/>
    <w:semiHidden/>
    <w:qFormat/>
    <w:uiPriority w:val="9"/>
    <w:rPr>
      <w:b/>
      <w:bCs/>
      <w:sz w:val="28"/>
      <w:szCs w:val="28"/>
    </w:rPr>
  </w:style>
  <w:style w:type="character" w:customStyle="1" w:styleId="23">
    <w:name w:val="标题 5 Char"/>
    <w:basedOn w:val="15"/>
    <w:link w:val="6"/>
    <w:semiHidden/>
    <w:uiPriority w:val="9"/>
    <w:rPr>
      <w:b/>
      <w:bCs/>
      <w:i/>
      <w:iCs/>
      <w:sz w:val="26"/>
      <w:szCs w:val="26"/>
    </w:rPr>
  </w:style>
  <w:style w:type="character" w:customStyle="1" w:styleId="24">
    <w:name w:val="标题 6 Char"/>
    <w:basedOn w:val="15"/>
    <w:link w:val="7"/>
    <w:semiHidden/>
    <w:qFormat/>
    <w:uiPriority w:val="9"/>
    <w:rPr>
      <w:b/>
      <w:bCs/>
    </w:rPr>
  </w:style>
  <w:style w:type="character" w:customStyle="1" w:styleId="25">
    <w:name w:val="标题 7 Char"/>
    <w:basedOn w:val="15"/>
    <w:link w:val="8"/>
    <w:semiHidden/>
    <w:uiPriority w:val="9"/>
    <w:rPr>
      <w:sz w:val="24"/>
      <w:szCs w:val="24"/>
    </w:rPr>
  </w:style>
  <w:style w:type="character" w:customStyle="1" w:styleId="26">
    <w:name w:val="标题 8 Char"/>
    <w:basedOn w:val="15"/>
    <w:link w:val="9"/>
    <w:semiHidden/>
    <w:qFormat/>
    <w:uiPriority w:val="9"/>
    <w:rPr>
      <w:i/>
      <w:iCs/>
      <w:sz w:val="24"/>
      <w:szCs w:val="24"/>
    </w:rPr>
  </w:style>
  <w:style w:type="character" w:customStyle="1" w:styleId="27">
    <w:name w:val="标题 9 Char"/>
    <w:basedOn w:val="15"/>
    <w:link w:val="10"/>
    <w:semiHidden/>
    <w:qFormat/>
    <w:uiPriority w:val="9"/>
    <w:rPr>
      <w:rFonts w:asciiTheme="majorHAnsi" w:hAnsiTheme="majorHAnsi" w:eastAsiaTheme="majorEastAsia"/>
    </w:rPr>
  </w:style>
  <w:style w:type="character" w:customStyle="1" w:styleId="28">
    <w:name w:val="标题 Char"/>
    <w:basedOn w:val="15"/>
    <w:link w:val="14"/>
    <w:qFormat/>
    <w:uiPriority w:val="10"/>
    <w:rPr>
      <w:rFonts w:asciiTheme="majorHAnsi" w:hAnsiTheme="majorHAnsi" w:eastAsiaTheme="majorEastAsia"/>
      <w:b/>
      <w:bCs/>
      <w:kern w:val="28"/>
      <w:sz w:val="32"/>
      <w:szCs w:val="32"/>
    </w:rPr>
  </w:style>
  <w:style w:type="character" w:customStyle="1" w:styleId="29">
    <w:name w:val="副标题 Char"/>
    <w:basedOn w:val="15"/>
    <w:link w:val="13"/>
    <w:qFormat/>
    <w:uiPriority w:val="11"/>
    <w:rPr>
      <w:rFonts w:asciiTheme="majorHAnsi" w:hAnsiTheme="majorHAnsi" w:eastAsiaTheme="majorEastAsia"/>
      <w:sz w:val="24"/>
      <w:szCs w:val="24"/>
    </w:rPr>
  </w:style>
  <w:style w:type="paragraph" w:customStyle="1"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5"/>
    <w:link w:val="32"/>
    <w:qFormat/>
    <w:uiPriority w:val="29"/>
    <w:rPr>
      <w:i/>
      <w:sz w:val="24"/>
      <w:szCs w:val="24"/>
    </w:rPr>
  </w:style>
  <w:style w:type="paragraph" w:customStyle="1"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5"/>
    <w:link w:val="34"/>
    <w:qFormat/>
    <w:uiPriority w:val="30"/>
    <w:rPr>
      <w:b/>
      <w:i/>
      <w:sz w:val="24"/>
    </w:rPr>
  </w:style>
  <w:style w:type="character" w:customStyle="1" w:styleId="36">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7">
    <w:name w:val="Intense Emphasis"/>
    <w:basedOn w:val="15"/>
    <w:qFormat/>
    <w:uiPriority w:val="21"/>
    <w:rPr>
      <w:b/>
      <w:i/>
      <w:sz w:val="24"/>
      <w:szCs w:val="24"/>
      <w:u w:val="single"/>
    </w:rPr>
  </w:style>
  <w:style w:type="character" w:customStyle="1" w:styleId="38">
    <w:name w:val="Subtle Reference"/>
    <w:basedOn w:val="15"/>
    <w:qFormat/>
    <w:uiPriority w:val="31"/>
    <w:rPr>
      <w:sz w:val="24"/>
      <w:szCs w:val="24"/>
      <w:u w:val="single"/>
    </w:rPr>
  </w:style>
  <w:style w:type="character" w:customStyle="1" w:styleId="39">
    <w:name w:val="Intense Reference"/>
    <w:basedOn w:val="15"/>
    <w:qFormat/>
    <w:uiPriority w:val="32"/>
    <w:rPr>
      <w:b/>
      <w:sz w:val="24"/>
      <w:u w:val="single"/>
    </w:rPr>
  </w:style>
  <w:style w:type="character" w:customStyle="1" w:styleId="40">
    <w:name w:val="Book Title"/>
    <w:basedOn w:val="15"/>
    <w:qFormat/>
    <w:uiPriority w:val="33"/>
    <w:rPr>
      <w:rFonts w:asciiTheme="majorHAnsi" w:hAnsiTheme="majorHAnsi" w:eastAsiaTheme="majorEastAsia"/>
      <w:b/>
      <w:i/>
      <w:sz w:val="24"/>
      <w:szCs w:val="24"/>
    </w:rPr>
  </w:style>
  <w:style w:type="paragraph" w:customStyle="1" w:styleId="41">
    <w:name w:val="TOC Heading"/>
    <w:basedOn w:val="2"/>
    <w:next w:val="1"/>
    <w:unhideWhenUsed/>
    <w:qFormat/>
    <w:uiPriority w:val="39"/>
    <w:pPr>
      <w:outlineLvl w:val="9"/>
    </w:pPr>
    <w:rPr>
      <w:lang w:eastAsia="en-US" w:bidi="en-US"/>
    </w:rPr>
  </w:style>
  <w:style w:type="character" w:customStyle="1" w:styleId="42">
    <w:name w:val="页眉 Char"/>
    <w:basedOn w:val="15"/>
    <w:link w:val="12"/>
    <w:qFormat/>
    <w:uiPriority w:val="99"/>
    <w:rPr>
      <w:rFonts w:ascii="Calibri" w:hAnsi="Calibri" w:eastAsia="宋体"/>
      <w:kern w:val="2"/>
      <w:sz w:val="18"/>
      <w:szCs w:val="18"/>
    </w:rPr>
  </w:style>
  <w:style w:type="character" w:customStyle="1" w:styleId="43">
    <w:name w:val="页脚 Char"/>
    <w:basedOn w:val="15"/>
    <w:link w:val="11"/>
    <w:qFormat/>
    <w:uiPriority w:val="99"/>
    <w:rPr>
      <w:rFonts w:ascii="Calibri" w:hAnsi="Calibri" w:eastAsia="宋体"/>
      <w:kern w:val="2"/>
      <w:sz w:val="18"/>
      <w:szCs w:val="18"/>
    </w:rPr>
  </w:style>
  <w:style w:type="paragraph" w:customStyle="1" w:styleId="44">
    <w:name w:val="p0"/>
    <w:basedOn w:val="1"/>
    <w:qFormat/>
    <w:uiPriority w:val="0"/>
    <w:pPr>
      <w:widowControl/>
    </w:pPr>
    <w:rPr>
      <w:kern w:val="0"/>
    </w:rPr>
  </w:style>
  <w:style w:type="paragraph" w:customStyle="1" w:styleId="45">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427</Words>
  <Characters>2434</Characters>
  <Lines>20</Lines>
  <Paragraphs>5</Paragraphs>
  <ScaleCrop>false</ScaleCrop>
  <LinksUpToDate>false</LinksUpToDate>
  <CharactersWithSpaces>2856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2019-09-21T12:19:29Z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