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sz w:val="52"/>
          <w:szCs w:val="52"/>
          <w:lang w:val="zh-TW" w:eastAsia="zh-TW"/>
        </w:rPr>
        <w:t>新疆财政支出绩效自评报告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sz w:val="36"/>
          <w:szCs w:val="36"/>
        </w:rPr>
        <w:t>8</w:t>
      </w: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rPr>
          <w:sz w:val="30"/>
          <w:szCs w:val="30"/>
        </w:rPr>
      </w:pP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塔什库尔干县“灾后应急建设”人民医院维修加固建设项目</w:t>
      </w: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塔什库尔干塔吉克自治县人民医院</w:t>
      </w: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塔什库尔干塔吉克自治县卫计委</w:t>
      </w: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徐雪梅</w:t>
      </w:r>
    </w:p>
    <w:p>
      <w:pPr>
        <w:pStyle w:val="48"/>
        <w:spacing w:line="700" w:lineRule="exact"/>
        <w:ind w:firstLine="200"/>
        <w:jc w:val="left"/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填报时间：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2018年 12 月 22 日</w:t>
      </w:r>
    </w:p>
    <w:p>
      <w:pPr>
        <w:pStyle w:val="48"/>
        <w:spacing w:line="700" w:lineRule="exact"/>
        <w:ind w:firstLine="200"/>
        <w:jc w:val="left"/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700" w:lineRule="exact"/>
        <w:ind w:firstLine="200"/>
        <w:jc w:val="left"/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</w:pPr>
      <w:bookmarkStart w:id="0" w:name="_GoBack"/>
      <w:bookmarkEnd w:id="0"/>
    </w:p>
    <w:p>
      <w:pPr>
        <w:pStyle w:val="48"/>
        <w:spacing w:line="700" w:lineRule="exact"/>
        <w:ind w:firstLine="566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napToGrid w:val="0"/>
        <w:spacing w:line="560" w:lineRule="exact"/>
        <w:ind w:firstLine="566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566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塔什库尔干县人民医院作为县域内唯一一所二级综合性公立医院，医院占地约3.3万平方米，建筑面积1.03万平方米，业务用房8800平方米，编制床位数100张，实际开放床位数110张，人员编制108人，实际在编97人， 聘用人员101人，设有急诊科、内科、儿科、重症医学科、传染科、外科、妇产科、门诊、医技、行政管理及后勤等29个科室。承担县域居民的常见病、多发病诊疗，危急重症抢救与疑难病转诊，农村基层医疗卫生机构中医类别人员培训指导，以及部分公共卫生服务、自然灾害和突发公共卫生事件应急处置等工作</w:t>
      </w:r>
    </w:p>
    <w:p>
      <w:pPr>
        <w:snapToGrid w:val="0"/>
        <w:spacing w:line="560" w:lineRule="exact"/>
        <w:ind w:firstLine="566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院有医疗设备：德国西门子双排CT机、中科美仑数字化X光机、日本原装进口480欧林帕斯全自动生化分析仪、血气分析仪、血球分析仪、电解质分析仪、阿洛卡彩超、菲利普彩超、美国世纪动态血压、日本TM动态心电图、深圳迈瑞插件式监护仪、脑电图机、电子阴道镜、日本产欧林帕斯电子胃镜肠镜、史塞克内窥镜、德尔格麻醉机、美国纽邦呼吸机、飞利浦除颤监护仪、日本拓普康非接触性眼压计和角膜屈率计、韩国迈加耳鼻喉科综合治疗台、德国西诺德牙科综合治疗台、医用空气加压氧舱设备、中心供氧负压吸引系统</w:t>
      </w:r>
      <w:r>
        <w:rPr>
          <w:rFonts w:hint="eastAsia" w:ascii="仿宋" w:hAnsi="仿宋" w:eastAsia="仿宋" w:cs="仿宋"/>
          <w:spacing w:val="-20"/>
          <w:sz w:val="32"/>
          <w:szCs w:val="32"/>
        </w:rPr>
        <w:t>等医疗设备，为医院业务技术的提升奠定了坚实的基础。</w:t>
      </w:r>
    </w:p>
    <w:p>
      <w:pPr>
        <w:snapToGrid w:val="0"/>
        <w:spacing w:line="560" w:lineRule="exact"/>
        <w:ind w:firstLine="566"/>
        <w:jc w:val="both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napToGrid w:val="0"/>
        <w:spacing w:line="560" w:lineRule="exact"/>
        <w:ind w:firstLine="566"/>
        <w:jc w:val="both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1、项目预期目标及阶段性目标</w:t>
      </w:r>
    </w:p>
    <w:p>
      <w:pPr>
        <w:pStyle w:val="48"/>
        <w:spacing w:line="560" w:lineRule="exact"/>
        <w:ind w:firstLine="566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塔什库尔干县“灾后应急建设”人民医院维修加固建设项目维修加固面积7000平方米，使用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自然灾害灾后重建补助700万元，计划当年完工验收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snapToGrid w:val="0"/>
        <w:spacing w:line="560" w:lineRule="exact"/>
        <w:ind w:firstLine="566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2、项目基本性质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塔什库尔干县“灾后应急建设”人民医院维修加固建设项目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性质为延续性项目。</w:t>
      </w:r>
    </w:p>
    <w:p>
      <w:pPr>
        <w:snapToGrid w:val="0"/>
        <w:spacing w:line="560" w:lineRule="exact"/>
        <w:ind w:firstLine="566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3、项目用途及范围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塔什库尔干县“灾后应急建设”人民医院维修加固建设项目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维修加固面积7000平方米范围包括：人民医院综合楼、制氧中心、食堂、氧气保管室、发电机房、锅炉房的维修加固。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塔什库尔干县“灾后应急建设”人民医院维修加固建设项目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预算安排总额为700万元，资金来源均为中央预算内资金。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塔什库尔干县“灾后应急建设”人民医院维修加固建设项目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实际支付资金700万元，预算执行率100%。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napToGrid w:val="0"/>
        <w:spacing w:line="560" w:lineRule="exact"/>
        <w:ind w:firstLine="566"/>
        <w:rPr>
          <w:rStyle w:val="19"/>
          <w:rFonts w:ascii="仿宋" w:hAnsi="仿宋" w:eastAsia="仿宋" w:cs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支出符合我县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塔什库尔干县“灾后应急建设”人民医院维修加固建设项目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不存在调整情况。为保证项目质量和成本控制，项目实施完成后，由我单位组织相关部门于2018年7月2日完成检查验收，检查验收合格后按合同规定支付款项。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pStyle w:val="48"/>
        <w:spacing w:line="560" w:lineRule="exact"/>
        <w:ind w:firstLine="566"/>
        <w:jc w:val="left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项目实施过程中，遵守相关法律法规和业务管理规定，项目资料齐全并及时归档。已建立《201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塔什库尔干县灾后应急建设人民医院维修加固建设项目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日常检查监督检查机制》，不定期对项目进度情况进行督导检查，对检查过程中发现的问题及时督促整改，确保了项目按时保质完成。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566"/>
        <w:jc w:val="both"/>
        <w:rPr>
          <w:rFonts w:ascii="仿宋" w:hAnsi="仿宋" w:eastAsia="仿宋" w:cs="仿宋"/>
          <w:sz w:val="32"/>
          <w:szCs w:val="32"/>
          <w:lang w:val="zh-TW" w:eastAsia="zh-TW"/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塔什库尔干县“灾后应急建设”人民医院维修加固建设项目</w:t>
      </w:r>
    </w:p>
    <w:p>
      <w:pPr>
        <w:spacing w:line="560" w:lineRule="exact"/>
        <w:ind w:firstLine="566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数量指标：维修加固面积7000平方米</w:t>
      </w:r>
    </w:p>
    <w:p>
      <w:pPr>
        <w:spacing w:line="560" w:lineRule="exact"/>
        <w:ind w:firstLine="566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质量指标:维修加固建设项目工程验收合格率100%</w:t>
      </w:r>
    </w:p>
    <w:p>
      <w:pPr>
        <w:spacing w:line="560" w:lineRule="exact"/>
        <w:ind w:firstLine="566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时效指标:项目按预定计划开工、竣工时间、验收、工程款按合同及时支付率100%。</w:t>
      </w:r>
    </w:p>
    <w:p>
      <w:pPr>
        <w:spacing w:line="560" w:lineRule="exact"/>
        <w:ind w:firstLine="566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成本指标：项目单位投资成本3500元/平方米。</w:t>
      </w:r>
    </w:p>
    <w:p>
      <w:pPr>
        <w:spacing w:line="560" w:lineRule="exact"/>
        <w:ind w:firstLine="566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社会效益指标：改善了医院的就医环境。</w:t>
      </w:r>
    </w:p>
    <w:p>
      <w:pPr>
        <w:spacing w:line="560" w:lineRule="exact"/>
        <w:ind w:firstLine="566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可持续影响指标：该建设项目使用年限预期指标值为≧50年。</w:t>
      </w:r>
    </w:p>
    <w:p>
      <w:pPr>
        <w:spacing w:line="560" w:lineRule="exact"/>
        <w:ind w:firstLine="566"/>
        <w:jc w:val="both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>满意度指标：医院患者满意度≥95%。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napToGrid w:val="0"/>
        <w:spacing w:line="560" w:lineRule="exact"/>
        <w:ind w:firstLine="566"/>
        <w:outlineLvl w:val="0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无。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严格执行项目管理程序，加强医院管理及使用。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主要经验及做法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我单位项目实施过程中，在跑办前期方面，提前做准备，对于项目实施必要性前期手续，能提前办理的提前办理，待项目启动通知下达后实施，有效的节省了项目前期工作推进时间。</w:t>
      </w:r>
    </w:p>
    <w:p>
      <w:pPr>
        <w:numPr>
          <w:ilvl w:val="0"/>
          <w:numId w:val="1"/>
        </w:num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存在的问题</w:t>
      </w:r>
    </w:p>
    <w:p>
      <w:pPr>
        <w:snapToGrid w:val="0"/>
        <w:spacing w:line="560" w:lineRule="exact"/>
        <w:ind w:left="882" w:leftChars="420"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无。</w:t>
      </w:r>
    </w:p>
    <w:p>
      <w:pPr>
        <w:numPr>
          <w:ilvl w:val="0"/>
          <w:numId w:val="1"/>
        </w:num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建议</w:t>
      </w:r>
    </w:p>
    <w:p>
      <w:pPr>
        <w:snapToGrid w:val="0"/>
        <w:spacing w:line="560" w:lineRule="exact"/>
        <w:ind w:left="882" w:leftChars="420"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无。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无其他说明内容。</w:t>
      </w:r>
    </w:p>
    <w:p>
      <w:pPr>
        <w:snapToGrid w:val="0"/>
        <w:spacing w:line="560" w:lineRule="exact"/>
        <w:ind w:firstLine="566"/>
        <w:outlineLvl w:val="0"/>
        <w:rPr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pStyle w:val="48"/>
        <w:spacing w:line="560" w:lineRule="exact"/>
        <w:ind w:firstLine="566"/>
        <w:jc w:val="left"/>
        <w:rPr>
          <w:rFonts w:ascii="仿宋" w:hAnsi="仿宋" w:eastAsia="仿宋" w:cs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本次评价通过文件研读、实地调研、数据分析等方式，全面了解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资金的使用效率和效果，项目管理过程规范，完成了预期绩效目标等。同时，通过开展自我评价来总结经验和教训，为医院今后的项目开展提供参考建议。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napToGrid w:val="0"/>
        <w:spacing w:line="560" w:lineRule="exact"/>
        <w:ind w:firstLine="566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《项目支出绩效目标自评表》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decimal" w:start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Malgun Gothic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34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34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34"/>
    <w:family w:val="modern"/>
    <w:pitch w:val="default"/>
    <w:sig w:usb0="00000000" w:usb1="00000000" w:usb2="00000016" w:usb3="00000000" w:csb0="00040001" w:csb1="00000000"/>
  </w:font>
  <w:font w:name="黑体">
    <w:panose1 w:val="02010600030101010101"/>
    <w:charset w:val="34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34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34"/>
    <w:family w:val="modern"/>
    <w:pitch w:val="default"/>
    <w:sig w:usb0="00000001" w:usb1="080E0000" w:usb2="00000000" w:usb3="00000000" w:csb0="0004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rPr>
        <w:sz w:val="20"/>
      </w:rP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 cap="flat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2547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BpXH6NGQIAAA8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PAGE  \* MERGEFORMAT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000000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00000"/>
    <w:multiLevelType w:val="multilevel"/>
    <w:tmpl w:val="2F000000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suff w:val="nothing"/>
      <w:lvlText w:val="%1、"/>
      <w:lvlJc w:val="left"/>
    </w:lvl>
    <w:lvl w:ilvl="2" w:tentative="0">
      <w:start w:val="1"/>
      <w:numFmt w:val="decimal"/>
      <w:suff w:val="nothing"/>
      <w:lvlText w:val="%1、"/>
      <w:lvlJc w:val="left"/>
    </w:lvl>
    <w:lvl w:ilvl="3" w:tentative="0">
      <w:start w:val="1"/>
      <w:numFmt w:val="decimal"/>
      <w:suff w:val="nothing"/>
      <w:lvlText w:val="%1、"/>
      <w:lvlJc w:val="left"/>
    </w:lvl>
    <w:lvl w:ilvl="4" w:tentative="0">
      <w:start w:val="1"/>
      <w:numFmt w:val="decimal"/>
      <w:suff w:val="nothing"/>
      <w:lvlText w:val="%1、"/>
      <w:lvlJc w:val="left"/>
    </w:lvl>
    <w:lvl w:ilvl="5" w:tentative="0">
      <w:start w:val="1"/>
      <w:numFmt w:val="decimal"/>
      <w:suff w:val="nothing"/>
      <w:lvlText w:val="%1、"/>
      <w:lvlJc w:val="left"/>
    </w:lvl>
    <w:lvl w:ilvl="6" w:tentative="0">
      <w:start w:val="1"/>
      <w:numFmt w:val="decimal"/>
      <w:suff w:val="nothing"/>
      <w:lvlText w:val="%1、"/>
      <w:lvlJc w:val="left"/>
    </w:lvl>
    <w:lvl w:ilvl="7" w:tentative="0">
      <w:start w:val="1"/>
      <w:numFmt w:val="decimal"/>
      <w:suff w:val="nothing"/>
      <w:lvlText w:val="%1、"/>
      <w:lvlJc w:val="left"/>
    </w:lvl>
    <w:lvl w:ilvl="8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ocumentProtection w:enforcement="0"/>
  <w:defaultTabStop w:val="420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balanceSingleByteDoubleByteWidth/>
    <w:ulTrailSpace/>
    <w:adjustLineHeightInTable/>
    <w:useFELayout/>
    <w:compatSetting w:name="compatibilityMode" w:uri="http://schemas.microsoft.com/office/word" w:val="14"/>
  </w:compat>
  <w:rsids>
    <w:rsidRoot w:val="00000000"/>
    <w:rsid w:val="4FD8154F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iPriority="8" w:semiHidden="0" w:name="heading 2"/>
    <w:lsdException w:qFormat="1" w:uiPriority="9" w:semiHidden="0" w:name="heading 3"/>
    <w:lsdException w:qFormat="1" w:uiPriority="10" w:semiHidden="0" w:name="heading 4"/>
    <w:lsdException w:qFormat="1" w:uiPriority="11" w:semiHidden="0" w:name="heading 5"/>
    <w:lsdException w:qFormat="1" w:uiPriority="12" w:semiHidden="0" w:name="heading 6"/>
    <w:lsdException w:qFormat="1" w:uiPriority="13" w:semiHidden="0" w:name="heading 7"/>
    <w:lsdException w:qFormat="1" w:uiPriority="14" w:semiHidden="0" w:name="heading 8"/>
    <w:lsdException w:qFormat="1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154" w:semiHidden="0" w:name="header"/>
    <w:lsdException w:qFormat="1" w:uiPriority="153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qFormat="1" w:uiPriority="151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152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7"/>
    <w:pPr>
      <w:spacing w:before="240" w:after="60"/>
      <w:jc w:val="left"/>
      <w:outlineLvl w:val="0"/>
    </w:pPr>
    <w:rPr>
      <w:rFonts w:asciiTheme="majorHAnsi" w:hAnsiTheme="majorHAnsi" w:eastAsiaTheme="majorEastAsia"/>
      <w:b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8"/>
    <w:pPr>
      <w:spacing w:before="240" w:after="60"/>
      <w:jc w:val="left"/>
      <w:outlineLvl w:val="1"/>
    </w:pPr>
    <w:rPr>
      <w:rFonts w:asciiTheme="majorHAnsi" w:hAnsiTheme="majorHAnsi" w:eastAsiaTheme="majorEastAsia"/>
      <w:b/>
      <w:i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before="240" w:after="60"/>
      <w:jc w:val="left"/>
      <w:outlineLvl w:val="2"/>
    </w:pPr>
    <w:rPr>
      <w:rFonts w:asciiTheme="majorHAnsi" w:hAnsiTheme="majorHAnsi" w:eastAsiaTheme="majorEastAsia"/>
      <w:b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10"/>
    <w:pPr>
      <w:spacing w:before="240" w:after="60"/>
      <w:jc w:val="left"/>
      <w:outlineLvl w:val="3"/>
    </w:pPr>
    <w:rPr>
      <w:rFonts w:asciiTheme="minorHAnsi" w:hAnsiTheme="minorHAnsi" w:eastAsiaTheme="minorEastAsia"/>
      <w:b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11"/>
    <w:pPr>
      <w:spacing w:before="240" w:after="60"/>
      <w:jc w:val="left"/>
      <w:outlineLvl w:val="4"/>
    </w:pPr>
    <w:rPr>
      <w:rFonts w:asciiTheme="minorHAnsi" w:hAnsiTheme="minorHAnsi" w:eastAsiaTheme="minorEastAsia"/>
      <w:b/>
      <w:i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12"/>
    <w:pPr>
      <w:spacing w:before="240" w:after="60"/>
      <w:jc w:val="left"/>
      <w:outlineLvl w:val="5"/>
    </w:pPr>
    <w:rPr>
      <w:rFonts w:asciiTheme="minorHAnsi" w:hAnsiTheme="minorHAnsi" w:eastAsiaTheme="minorEastAsia"/>
      <w:b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13"/>
    <w:pPr>
      <w:spacing w:before="240" w:after="60"/>
      <w:jc w:val="left"/>
      <w:outlineLvl w:val="6"/>
    </w:pPr>
    <w:rPr>
      <w:rFonts w:asciiTheme="minorHAnsi" w:hAnsiTheme="minorHAnsi" w:eastAsiaTheme="minorEastAsia"/>
      <w:sz w:val="24"/>
      <w:szCs w:val="24"/>
    </w:rPr>
  </w:style>
  <w:style w:type="paragraph" w:styleId="9">
    <w:name w:val="heading 8"/>
    <w:basedOn w:val="1"/>
    <w:next w:val="1"/>
    <w:link w:val="28"/>
    <w:unhideWhenUsed/>
    <w:qFormat/>
    <w:uiPriority w:val="14"/>
    <w:pPr>
      <w:spacing w:before="240" w:after="60"/>
      <w:jc w:val="left"/>
      <w:outlineLvl w:val="7"/>
    </w:pPr>
    <w:rPr>
      <w:rFonts w:asciiTheme="minorHAnsi" w:hAnsiTheme="minorHAnsi" w:eastAsiaTheme="minorEastAsia"/>
      <w:i/>
      <w:sz w:val="24"/>
      <w:szCs w:val="24"/>
    </w:rPr>
  </w:style>
  <w:style w:type="paragraph" w:styleId="10">
    <w:name w:val="heading 9"/>
    <w:basedOn w:val="1"/>
    <w:next w:val="1"/>
    <w:link w:val="29"/>
    <w:unhideWhenUsed/>
    <w:qFormat/>
    <w:uiPriority w:val="15"/>
    <w:pPr>
      <w:spacing w:before="240" w:after="60"/>
      <w:jc w:val="left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semiHidden/>
    <w:unhideWhenUsed/>
    <w:qFormat/>
    <w:uiPriority w:val="2"/>
  </w:style>
  <w:style w:type="table" w:default="1" w:styleId="17">
    <w:name w:val="Normal Table"/>
    <w:semiHidden/>
    <w:unhideWhenUsed/>
    <w:qFormat/>
    <w:uiPriority w:val="3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151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152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15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154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6"/>
    <w:pPr>
      <w:spacing w:after="60"/>
      <w:jc w:val="center"/>
      <w:outlineLvl w:val="1"/>
    </w:pPr>
    <w:rPr>
      <w:rFonts w:asciiTheme="majorHAnsi" w:hAnsiTheme="majorHAnsi" w:eastAsiaTheme="majorEastAsia"/>
      <w:sz w:val="24"/>
      <w:szCs w:val="24"/>
    </w:rPr>
  </w:style>
  <w:style w:type="paragraph" w:styleId="16">
    <w:name w:val="Title"/>
    <w:basedOn w:val="1"/>
    <w:next w:val="1"/>
    <w:link w:val="30"/>
    <w:qFormat/>
    <w:uiPriority w:val="6"/>
    <w:pPr>
      <w:spacing w:before="240" w:after="60"/>
      <w:jc w:val="center"/>
      <w:outlineLvl w:val="0"/>
    </w:pPr>
    <w:rPr>
      <w:rFonts w:asciiTheme="majorHAnsi" w:hAnsiTheme="majorHAnsi" w:eastAsiaTheme="majorEastAsia"/>
      <w:b/>
      <w:sz w:val="32"/>
      <w:szCs w:val="32"/>
    </w:rPr>
  </w:style>
  <w:style w:type="character" w:styleId="19">
    <w:name w:val="Strong"/>
    <w:basedOn w:val="18"/>
    <w:qFormat/>
    <w:uiPriority w:val="20"/>
    <w:rPr>
      <w:b/>
    </w:rPr>
  </w:style>
  <w:style w:type="character" w:styleId="20">
    <w:name w:val="Emphasis"/>
    <w:basedOn w:val="18"/>
    <w:qFormat/>
    <w:uiPriority w:val="18"/>
    <w:rPr>
      <w:rFonts w:asciiTheme="minorHAnsi" w:hAnsiTheme="minorHAnsi"/>
      <w:b/>
      <w:i/>
    </w:rPr>
  </w:style>
  <w:style w:type="character" w:customStyle="1" w:styleId="21">
    <w:name w:val="标题 1 Char"/>
    <w:basedOn w:val="18"/>
    <w:link w:val="2"/>
    <w:qFormat/>
    <w:uiPriority w:val="155"/>
    <w:rPr>
      <w:rFonts w:asciiTheme="majorHAnsi" w:hAnsiTheme="majorHAnsi" w:eastAsiaTheme="majorEastAsia"/>
      <w:b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156"/>
    <w:rPr>
      <w:rFonts w:asciiTheme="majorHAnsi" w:hAnsiTheme="majorHAnsi" w:eastAsiaTheme="majorEastAsia"/>
      <w:b/>
      <w:i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157"/>
    <w:rPr>
      <w:rFonts w:asciiTheme="majorHAnsi" w:hAnsiTheme="majorHAnsi" w:eastAsiaTheme="majorEastAsia"/>
      <w:b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158"/>
    <w:rPr>
      <w:b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159"/>
    <w:rPr>
      <w:b/>
      <w:i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160"/>
    <w:rPr>
      <w:b/>
    </w:rPr>
  </w:style>
  <w:style w:type="character" w:customStyle="1" w:styleId="27">
    <w:name w:val="标题 7 Char"/>
    <w:basedOn w:val="18"/>
    <w:link w:val="8"/>
    <w:semiHidden/>
    <w:qFormat/>
    <w:uiPriority w:val="161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162"/>
    <w:rPr>
      <w:i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163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64"/>
    <w:rPr>
      <w:rFonts w:asciiTheme="majorHAnsi" w:hAnsiTheme="majorHAnsi" w:eastAsiaTheme="majorEastAsia"/>
      <w:b/>
      <w:sz w:val="32"/>
      <w:szCs w:val="32"/>
    </w:rPr>
  </w:style>
  <w:style w:type="character" w:customStyle="1" w:styleId="31">
    <w:name w:val="副标题 Char"/>
    <w:basedOn w:val="18"/>
    <w:link w:val="15"/>
    <w:qFormat/>
    <w:uiPriority w:val="165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66"/>
    <w:pPr>
      <w:jc w:val="left"/>
    </w:pPr>
    <w:rPr>
      <w:rFonts w:asciiTheme="minorHAnsi" w:hAnsiTheme="minorHAnsi" w:eastAsiaTheme="minorEastAsia"/>
      <w:sz w:val="24"/>
      <w:szCs w:val="24"/>
      <w:lang w:eastAsia="en-US" w:bidi="en-US"/>
    </w:rPr>
  </w:style>
  <w:style w:type="paragraph" w:customStyle="1" w:styleId="33">
    <w:name w:val="列出段落1"/>
    <w:basedOn w:val="1"/>
    <w:qFormat/>
    <w:uiPriority w:val="167"/>
    <w:pPr>
      <w:ind w:left="720" w:firstLine="0"/>
      <w:contextualSpacing/>
      <w:jc w:val="left"/>
    </w:pPr>
    <w:rPr>
      <w:rFonts w:asciiTheme="minorHAnsi" w:hAnsiTheme="minorHAnsi" w:eastAsiaTheme="minorEastAsia"/>
      <w:sz w:val="24"/>
      <w:szCs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168"/>
    <w:pPr>
      <w:jc w:val="left"/>
    </w:pPr>
    <w:rPr>
      <w:rFonts w:asciiTheme="minorHAnsi" w:hAnsiTheme="minorHAnsi" w:eastAsiaTheme="minorEastAsia"/>
      <w:i/>
      <w:sz w:val="24"/>
      <w:szCs w:val="24"/>
    </w:rPr>
  </w:style>
  <w:style w:type="character" w:customStyle="1" w:styleId="35">
    <w:name w:val="引用 Char"/>
    <w:basedOn w:val="18"/>
    <w:link w:val="34"/>
    <w:qFormat/>
    <w:uiPriority w:val="16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170"/>
    <w:pPr>
      <w:ind w:left="720" w:right="720" w:firstLine="0"/>
      <w:jc w:val="left"/>
    </w:pPr>
    <w:rPr>
      <w:rFonts w:asciiTheme="minorHAnsi" w:hAnsiTheme="minorHAnsi" w:eastAsiaTheme="minorEastAsia"/>
      <w:b/>
      <w:i/>
      <w:sz w:val="24"/>
      <w:szCs w:val="24"/>
    </w:rPr>
  </w:style>
  <w:style w:type="character" w:customStyle="1" w:styleId="37">
    <w:name w:val="明显引用 Char"/>
    <w:basedOn w:val="18"/>
    <w:link w:val="36"/>
    <w:qFormat/>
    <w:uiPriority w:val="171"/>
    <w:rPr>
      <w:b/>
      <w:i/>
      <w:sz w:val="24"/>
      <w:szCs w:val="24"/>
    </w:rPr>
  </w:style>
  <w:style w:type="character" w:customStyle="1" w:styleId="38">
    <w:name w:val="不明显强调1"/>
    <w:qFormat/>
    <w:uiPriority w:val="172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173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174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175"/>
    <w:rPr>
      <w:b/>
      <w:sz w:val="24"/>
      <w:szCs w:val="24"/>
      <w:u w:val="single"/>
    </w:rPr>
  </w:style>
  <w:style w:type="character" w:customStyle="1" w:styleId="42">
    <w:name w:val="书籍标题1"/>
    <w:basedOn w:val="18"/>
    <w:qFormat/>
    <w:uiPriority w:val="176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177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178"/>
    <w:rPr>
      <w:rFonts w:ascii="Calibri" w:hAnsi="Calibri" w:eastAsia="宋体"/>
      <w:sz w:val="18"/>
      <w:szCs w:val="18"/>
    </w:rPr>
  </w:style>
  <w:style w:type="character" w:customStyle="1" w:styleId="45">
    <w:name w:val="页脚 Char"/>
    <w:basedOn w:val="18"/>
    <w:link w:val="13"/>
    <w:qFormat/>
    <w:uiPriority w:val="179"/>
    <w:rPr>
      <w:rFonts w:ascii="Calibri" w:hAnsi="Calibri" w:eastAsia="宋体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180"/>
    <w:rPr>
      <w:rFonts w:ascii="宋体" w:hAnsi="Times New Roman" w:eastAsia="宋体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181"/>
    <w:rPr>
      <w:rFonts w:ascii="Times New Roman" w:hAnsi="Times New Roman" w:eastAsia="宋体"/>
      <w:sz w:val="18"/>
      <w:szCs w:val="18"/>
    </w:rPr>
  </w:style>
  <w:style w:type="paragraph" w:customStyle="1" w:styleId="48">
    <w:name w:val="正文 A"/>
    <w:qFormat/>
    <w:uiPriority w:val="182"/>
    <w:pPr>
      <w:jc w:val="both"/>
    </w:pPr>
    <w:rPr>
      <w:rFonts w:ascii="Arial Unicode MS" w:hAnsi="Arial Unicode MS" w:eastAsia="Arial Unicode MS" w:cs="Arial Unicode MS"/>
      <w:color w:val="00000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533</Words>
  <Characters>3565</Characters>
  <Lines>25</Lines>
  <Paragraphs>7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2019-09-20T14:30:44Z</dcterms:created>
  <dc:creator>赵 恺（预算处）</dc:creator>
  <cp:lastModifiedBy>Administrator</cp:lastModifiedBy>
  <dcterms:modified xsi:type="dcterms:W3CDTF">2019-09-20T14:30:54Z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