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塔什库尔干塔吉克自治县马尔洋乡卫生院2024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BFBB79">
      <w:r>
        <w:br w:type="page"/>
      </w:r>
    </w:p>
    <w:p w14:paraId="19714C33">
      <w:pPr>
        <w:spacing w:line="640" w:lineRule="exact"/>
        <w:jc w:val="center"/>
        <w:outlineLvl w:val="1"/>
      </w:pPr>
      <w:r>
        <w:rPr>
          <w:rFonts w:ascii="黑体" w:hAnsi="黑体" w:eastAsia="黑体"/>
          <w:sz w:val="32"/>
        </w:rPr>
        <w:t>第一部分 单位概况</w:t>
      </w:r>
    </w:p>
    <w:p w14:paraId="111DA5B1">
      <w:pPr>
        <w:spacing w:line="640" w:lineRule="exact"/>
        <w:ind w:firstLine="640"/>
        <w:jc w:val="both"/>
        <w:outlineLvl w:val="2"/>
      </w:pPr>
      <w:r>
        <w:rPr>
          <w:rFonts w:ascii="黑体" w:hAnsi="黑体" w:eastAsia="黑体"/>
          <w:sz w:val="32"/>
        </w:rPr>
        <w:t>一、主要职能</w:t>
      </w:r>
    </w:p>
    <w:p w14:paraId="3E024215">
      <w:pPr>
        <w:spacing w:line="580" w:lineRule="exact"/>
        <w:ind w:firstLine="640"/>
        <w:jc w:val="both"/>
      </w:pPr>
      <w:r>
        <w:rPr>
          <w:rFonts w:ascii="仿宋_GB2312" w:hAnsi="仿宋_GB2312" w:eastAsia="仿宋_GB2312"/>
          <w:sz w:val="32"/>
        </w:rPr>
        <w:t>1.乡镇（场）卫生机构是新型农村合作医疗工作中医疗和辖区内社会公共卫生管理卫生机构。</w:t>
      </w:r>
    </w:p>
    <w:p w14:paraId="152FBFCE">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7A6F7C1B">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5A0DDE4C">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795CE1FD">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54B02AC0">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4911A385">
      <w:pPr>
        <w:spacing w:line="580" w:lineRule="exact"/>
        <w:ind w:firstLine="640"/>
        <w:jc w:val="both"/>
      </w:pPr>
      <w:r>
        <w:rPr>
          <w:rFonts w:ascii="仿宋_GB2312" w:hAnsi="仿宋_GB2312" w:eastAsia="仿宋_GB2312"/>
          <w:sz w:val="32"/>
        </w:rPr>
        <w:t>7.严格遵守财经纪律和新型合作医疗的相关规章制度。</w:t>
      </w:r>
    </w:p>
    <w:p w14:paraId="173FF4D4">
      <w:pPr>
        <w:spacing w:line="580" w:lineRule="exact"/>
        <w:ind w:firstLine="640"/>
        <w:jc w:val="both"/>
      </w:pPr>
      <w:r>
        <w:rPr>
          <w:rFonts w:ascii="仿宋_GB2312" w:hAnsi="仿宋_GB2312" w:eastAsia="仿宋_GB2312"/>
          <w:sz w:val="32"/>
        </w:rPr>
        <w:t>8.按月结算中心报销，做好账户，规范软件管理工作。</w:t>
      </w:r>
    </w:p>
    <w:p w14:paraId="3AF4E1DA">
      <w:pPr>
        <w:spacing w:line="640" w:lineRule="exact"/>
        <w:ind w:firstLine="640"/>
        <w:jc w:val="both"/>
        <w:outlineLvl w:val="2"/>
      </w:pPr>
      <w:r>
        <w:rPr>
          <w:rFonts w:ascii="黑体" w:hAnsi="黑体" w:eastAsia="黑体"/>
          <w:sz w:val="32"/>
        </w:rPr>
        <w:t>二、机构设置及人员情况</w:t>
      </w:r>
    </w:p>
    <w:p w14:paraId="341D70CE">
      <w:pPr>
        <w:spacing w:line="580" w:lineRule="exact"/>
        <w:ind w:firstLine="640"/>
        <w:jc w:val="both"/>
      </w:pPr>
      <w:r>
        <w:rPr>
          <w:rFonts w:ascii="仿宋_GB2312" w:hAnsi="仿宋_GB2312" w:eastAsia="仿宋_GB2312"/>
          <w:sz w:val="32"/>
        </w:rPr>
        <w:t>塔什库尔干塔吉克自治县马尔洋乡卫生院2024年度，实有人数17人，其中：在职人员13人，减少6人；离休人员0人，增加0人；退休人员4人,增加0人。</w:t>
      </w:r>
    </w:p>
    <w:p w14:paraId="3AA958F9">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6922C509">
      <w:r>
        <w:br w:type="page"/>
      </w:r>
    </w:p>
    <w:p w14:paraId="75A745CE">
      <w:pPr>
        <w:spacing w:line="240" w:lineRule="auto"/>
        <w:jc w:val="center"/>
        <w:outlineLvl w:val="1"/>
      </w:pPr>
      <w:r>
        <w:rPr>
          <w:rFonts w:ascii="黑体" w:hAnsi="黑体" w:eastAsia="黑体"/>
          <w:sz w:val="32"/>
        </w:rPr>
        <w:t>第二部分 部门决算情况说明</w:t>
      </w:r>
    </w:p>
    <w:p w14:paraId="26292A90">
      <w:pPr>
        <w:spacing w:line="640" w:lineRule="exact"/>
        <w:ind w:firstLine="640"/>
        <w:jc w:val="both"/>
        <w:outlineLvl w:val="2"/>
      </w:pPr>
      <w:r>
        <w:rPr>
          <w:rFonts w:ascii="黑体" w:hAnsi="黑体" w:eastAsia="黑体"/>
          <w:sz w:val="32"/>
        </w:rPr>
        <w:t>一、收入支出决算总体情况说明</w:t>
      </w:r>
    </w:p>
    <w:p w14:paraId="75BCB054">
      <w:pPr>
        <w:spacing w:line="580" w:lineRule="exact"/>
        <w:ind w:firstLine="640"/>
        <w:jc w:val="both"/>
      </w:pPr>
      <w:r>
        <w:rPr>
          <w:rFonts w:ascii="仿宋_GB2312" w:hAnsi="仿宋_GB2312" w:eastAsia="仿宋_GB2312"/>
          <w:b/>
          <w:sz w:val="32"/>
        </w:rPr>
        <w:t>2024年度收入总计441.02万元，</w:t>
      </w:r>
      <w:r>
        <w:rPr>
          <w:rFonts w:ascii="仿宋_GB2312" w:hAnsi="仿宋_GB2312" w:eastAsia="仿宋_GB2312"/>
          <w:b w:val="0"/>
          <w:sz w:val="32"/>
        </w:rPr>
        <w:t>其中：本年收入合计441.02万元，使用非财政拨款结余（含专用结余）0.00万元，年初结转和结余0.00万元。</w:t>
      </w:r>
    </w:p>
    <w:p w14:paraId="53564B71">
      <w:pPr>
        <w:spacing w:line="580" w:lineRule="exact"/>
        <w:ind w:firstLine="640"/>
        <w:jc w:val="both"/>
      </w:pPr>
      <w:r>
        <w:rPr>
          <w:rFonts w:ascii="仿宋_GB2312" w:hAnsi="仿宋_GB2312" w:eastAsia="仿宋_GB2312"/>
          <w:b/>
          <w:sz w:val="32"/>
        </w:rPr>
        <w:t>2024年度支出总计441.02万元，</w:t>
      </w:r>
      <w:r>
        <w:rPr>
          <w:rFonts w:ascii="仿宋_GB2312" w:hAnsi="仿宋_GB2312" w:eastAsia="仿宋_GB2312"/>
          <w:b w:val="0"/>
          <w:sz w:val="32"/>
        </w:rPr>
        <w:t>其中：本年支出合计441.02万元，结余分配0.00万元，年末结转和结余0.00万元。</w:t>
      </w:r>
    </w:p>
    <w:p w14:paraId="671F27DF">
      <w:pPr>
        <w:spacing w:line="580" w:lineRule="exact"/>
        <w:ind w:firstLine="640"/>
        <w:jc w:val="both"/>
      </w:pPr>
      <w:r>
        <w:rPr>
          <w:rFonts w:ascii="仿宋_GB2312" w:hAnsi="仿宋_GB2312" w:eastAsia="仿宋_GB2312"/>
          <w:b w:val="0"/>
          <w:sz w:val="32"/>
        </w:rPr>
        <w:t>收入支出总体与上年相比，增加4.20万元，增长0.96%，主要原因是：1.本年在职人员工资调薪，工资、社保、公积金等相关人员经费增加；2.自治区公共卫生服务（地方公共卫生）补助项目资金较上年增加。</w:t>
      </w:r>
    </w:p>
    <w:p w14:paraId="7C4E9723">
      <w:pPr>
        <w:spacing w:line="640" w:lineRule="exact"/>
        <w:ind w:firstLine="640"/>
        <w:jc w:val="both"/>
        <w:outlineLvl w:val="2"/>
      </w:pPr>
      <w:r>
        <w:rPr>
          <w:rFonts w:ascii="黑体" w:hAnsi="黑体" w:eastAsia="黑体"/>
          <w:sz w:val="32"/>
        </w:rPr>
        <w:t>二、收入决算情况说明</w:t>
      </w:r>
    </w:p>
    <w:p w14:paraId="3CD597B7">
      <w:pPr>
        <w:spacing w:line="580" w:lineRule="exact"/>
        <w:ind w:firstLine="640"/>
        <w:jc w:val="both"/>
      </w:pPr>
      <w:r>
        <w:rPr>
          <w:rFonts w:ascii="仿宋_GB2312" w:hAnsi="仿宋_GB2312" w:eastAsia="仿宋_GB2312"/>
          <w:b/>
          <w:sz w:val="32"/>
        </w:rPr>
        <w:t>本年收入441.02万元，</w:t>
      </w:r>
      <w:r>
        <w:rPr>
          <w:rFonts w:ascii="仿宋_GB2312" w:hAnsi="仿宋_GB2312" w:eastAsia="仿宋_GB2312"/>
          <w:b w:val="0"/>
          <w:sz w:val="32"/>
        </w:rPr>
        <w:t>其中：财政拨款收入441.02万元，占100.00%；上级补助收入0.00万元，占0.00%；事业收入0.00万元，占0.00%；经营收入0.00万元，占0.00%；附属单位上缴收入0.00万元，占0.00%；其他收入0.00万元，占0.00%。</w:t>
      </w:r>
    </w:p>
    <w:p w14:paraId="07981A99">
      <w:pPr>
        <w:spacing w:line="640" w:lineRule="exact"/>
        <w:ind w:firstLine="640"/>
        <w:jc w:val="both"/>
        <w:outlineLvl w:val="2"/>
      </w:pPr>
      <w:r>
        <w:rPr>
          <w:rFonts w:ascii="黑体" w:hAnsi="黑体" w:eastAsia="黑体"/>
          <w:sz w:val="32"/>
        </w:rPr>
        <w:t>三、支出决算情况说明</w:t>
      </w:r>
    </w:p>
    <w:p w14:paraId="43D10310">
      <w:pPr>
        <w:spacing w:line="580" w:lineRule="exact"/>
        <w:ind w:firstLine="640"/>
        <w:jc w:val="both"/>
      </w:pPr>
      <w:r>
        <w:rPr>
          <w:rFonts w:ascii="仿宋_GB2312" w:hAnsi="仿宋_GB2312" w:eastAsia="仿宋_GB2312"/>
          <w:b/>
          <w:sz w:val="32"/>
        </w:rPr>
        <w:t>本年支出441.02万元，</w:t>
      </w:r>
      <w:r>
        <w:rPr>
          <w:rFonts w:ascii="仿宋_GB2312" w:hAnsi="仿宋_GB2312" w:eastAsia="仿宋_GB2312"/>
          <w:b w:val="0"/>
          <w:sz w:val="32"/>
        </w:rPr>
        <w:t>其中：基本支出420.15万元，占95.27%；项目支出20.87万元，占4.73%；上缴上级支出0.00万元，占0.00%；经营支出0.00万元，占0.00%；对附属单位补助支出0.00万元，占0.00%。</w:t>
      </w:r>
    </w:p>
    <w:p w14:paraId="07D71D6C">
      <w:pPr>
        <w:spacing w:line="640" w:lineRule="exact"/>
        <w:ind w:firstLine="640"/>
        <w:jc w:val="both"/>
        <w:outlineLvl w:val="2"/>
      </w:pPr>
      <w:r>
        <w:rPr>
          <w:rFonts w:ascii="黑体" w:hAnsi="黑体" w:eastAsia="黑体"/>
          <w:sz w:val="32"/>
        </w:rPr>
        <w:t>四、财政拨款收入支出决算总体情况说明</w:t>
      </w:r>
    </w:p>
    <w:p w14:paraId="0750261B">
      <w:pPr>
        <w:spacing w:line="580" w:lineRule="exact"/>
        <w:ind w:firstLine="640"/>
        <w:jc w:val="both"/>
      </w:pPr>
      <w:r>
        <w:rPr>
          <w:rFonts w:ascii="仿宋_GB2312" w:hAnsi="仿宋_GB2312" w:eastAsia="仿宋_GB2312"/>
          <w:b/>
          <w:sz w:val="32"/>
        </w:rPr>
        <w:t>2024年度财政拨款收入总计441.02万元，</w:t>
      </w:r>
      <w:r>
        <w:rPr>
          <w:rFonts w:ascii="仿宋_GB2312" w:hAnsi="仿宋_GB2312" w:eastAsia="仿宋_GB2312"/>
          <w:b w:val="0"/>
          <w:sz w:val="32"/>
        </w:rPr>
        <w:t>其中：年初财政拨款结转和结余0.00万元，本年财政拨款收入441.02万元。</w:t>
      </w:r>
      <w:r>
        <w:rPr>
          <w:rFonts w:ascii="仿宋_GB2312" w:hAnsi="仿宋_GB2312" w:eastAsia="仿宋_GB2312"/>
          <w:b/>
          <w:sz w:val="32"/>
        </w:rPr>
        <w:t>财政拨款支出总计441.02万元，</w:t>
      </w:r>
      <w:r>
        <w:rPr>
          <w:rFonts w:ascii="仿宋_GB2312" w:hAnsi="仿宋_GB2312" w:eastAsia="仿宋_GB2312"/>
          <w:b w:val="0"/>
          <w:sz w:val="32"/>
        </w:rPr>
        <w:t>其中：年末财政拨款结转和结余0.00万元，本年财政拨款支出441.02万元。</w:t>
      </w:r>
    </w:p>
    <w:p w14:paraId="2555E56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增加4.20万元，增长0.96%，主要原因是：1.本年在职人员工资调薪，工资、社保、公积金等相关人员经费增加；2.自治区公共卫生服务（地方公共卫生）补助项目资金较上年增加。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384.53万元，决算数441.02万元，预决算差异率14.69%，主要原因是：年中追加人员工资、社保、公积金基数调增部分资金及中央基本公共卫生服务补助项目，自治区基本公共卫生服务补助项目，导致预决算存在差异。</w:t>
      </w:r>
    </w:p>
    <w:p w14:paraId="4AA450F4">
      <w:pPr>
        <w:spacing w:line="640" w:lineRule="exact"/>
        <w:ind w:firstLine="640"/>
        <w:jc w:val="both"/>
        <w:outlineLvl w:val="2"/>
      </w:pPr>
      <w:r>
        <w:rPr>
          <w:rFonts w:ascii="黑体" w:hAnsi="黑体" w:eastAsia="黑体"/>
          <w:sz w:val="32"/>
        </w:rPr>
        <w:t>五、一般公共预算财政拨款支出决算情况说明</w:t>
      </w:r>
    </w:p>
    <w:p w14:paraId="0DB5719A">
      <w:pPr>
        <w:spacing w:line="640" w:lineRule="exact"/>
        <w:ind w:firstLine="640"/>
        <w:jc w:val="both"/>
        <w:outlineLvl w:val="3"/>
      </w:pPr>
      <w:r>
        <w:rPr>
          <w:rFonts w:ascii="楷体_GB2312" w:hAnsi="楷体_GB2312" w:eastAsia="楷体_GB2312"/>
          <w:b/>
          <w:sz w:val="32"/>
        </w:rPr>
        <w:t>（一）一般公共预算财政拨款支出决算总体情况</w:t>
      </w:r>
    </w:p>
    <w:p w14:paraId="731C7012">
      <w:pPr>
        <w:spacing w:line="580" w:lineRule="exact"/>
        <w:ind w:firstLine="640"/>
        <w:jc w:val="both"/>
      </w:pPr>
      <w:r>
        <w:rPr>
          <w:rFonts w:ascii="仿宋_GB2312" w:hAnsi="仿宋_GB2312" w:eastAsia="仿宋_GB2312"/>
          <w:b/>
          <w:sz w:val="32"/>
        </w:rPr>
        <w:t>2024年度一般公共预算财政拨款支出441.02万元，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增加4.20万元，增长0.96%，主要原因是：1.本年在职人员工资调薪，工资、社保、公积金等相关人员经费增加；2.自治区公共卫生服务（地方公共卫生）补助项目资金较上年增加。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384.53万元，决算数441.02万元，预决算差异率14.69%，主要原因是：年中追加人员工资、社保、公积金基数调增部分资金及中央基本公共卫生服务补助项目，自治区基本公共卫生服务补助项目，导致预决算存在差异。</w:t>
      </w:r>
    </w:p>
    <w:p w14:paraId="3F55A86D">
      <w:pPr>
        <w:spacing w:line="640" w:lineRule="exact"/>
        <w:ind w:firstLine="640"/>
        <w:jc w:val="both"/>
        <w:outlineLvl w:val="3"/>
      </w:pPr>
      <w:r>
        <w:rPr>
          <w:rFonts w:ascii="楷体_GB2312" w:hAnsi="楷体_GB2312" w:eastAsia="楷体_GB2312"/>
          <w:b/>
          <w:sz w:val="32"/>
        </w:rPr>
        <w:t>（二）一般公共预算财政拨款支出决算结构情况</w:t>
      </w:r>
    </w:p>
    <w:p w14:paraId="3336BEB5">
      <w:pPr>
        <w:spacing w:line="580" w:lineRule="exact"/>
        <w:ind w:firstLine="640"/>
        <w:jc w:val="both"/>
      </w:pPr>
      <w:r>
        <w:rPr>
          <w:rFonts w:ascii="仿宋_GB2312" w:hAnsi="仿宋_GB2312" w:eastAsia="仿宋_GB2312"/>
          <w:b w:val="0"/>
          <w:sz w:val="32"/>
        </w:rPr>
        <w:t>1.社会保障和就业支出(类)42.21万元,占9.57%。</w:t>
      </w:r>
    </w:p>
    <w:p w14:paraId="6ADC8D77">
      <w:pPr>
        <w:spacing w:line="580" w:lineRule="exact"/>
        <w:ind w:firstLine="640"/>
        <w:jc w:val="both"/>
      </w:pPr>
      <w:r>
        <w:rPr>
          <w:rFonts w:ascii="仿宋_GB2312" w:hAnsi="仿宋_GB2312" w:eastAsia="仿宋_GB2312"/>
          <w:b w:val="0"/>
          <w:sz w:val="32"/>
        </w:rPr>
        <w:t>2.卫生健康支出(类)398.81万元,占90.43%。</w:t>
      </w:r>
    </w:p>
    <w:p w14:paraId="23A25A17">
      <w:pPr>
        <w:spacing w:line="640" w:lineRule="exact"/>
        <w:ind w:firstLine="640"/>
        <w:jc w:val="both"/>
        <w:outlineLvl w:val="3"/>
      </w:pPr>
      <w:r>
        <w:rPr>
          <w:rFonts w:ascii="楷体_GB2312" w:hAnsi="楷体_GB2312" w:eastAsia="楷体_GB2312"/>
          <w:b/>
          <w:sz w:val="32"/>
        </w:rPr>
        <w:t>（三）一般公共预算财政拨款支出决算具体情况</w:t>
      </w:r>
    </w:p>
    <w:p w14:paraId="1D48270A">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42.21万元，比上年决算增加8.39万元，增长24.81%,主要原因是：本年在职人员工资基数调增，养老缴费基数上涨，相应支出增加。</w:t>
      </w:r>
    </w:p>
    <w:p w14:paraId="52C07A90">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7.23万元，下降100.00%,主要原因是：本年功能科目调整，机关事业单位职业年金缴费上年度单独列支，本年调整至主科目列支，导致经费较上年减少。</w:t>
      </w:r>
    </w:p>
    <w:p w14:paraId="55EE2A98">
      <w:pPr>
        <w:spacing w:line="580" w:lineRule="exact"/>
        <w:ind w:firstLine="640"/>
        <w:jc w:val="both"/>
      </w:pPr>
      <w:r>
        <w:rPr>
          <w:rFonts w:ascii="仿宋_GB2312" w:hAnsi="仿宋_GB2312" w:eastAsia="仿宋_GB2312"/>
          <w:b w:val="0"/>
          <w:sz w:val="32"/>
        </w:rPr>
        <w:t>3.卫生健康支出(类)基层医疗卫生机构(款)乡镇卫生院(项):支出决算数为377.94万元，比上年决算增加10.27万元，增长2.79%,主要原因是：本年在职人员工资调增，相应支出增加。</w:t>
      </w:r>
    </w:p>
    <w:p w14:paraId="59C5A3D3">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4.卫生健康支出(类)基层医疗卫生机构(款)其他基层医疗卫生机构支出(项):支出决算数为3.32万元，比上年决算减少5.21万元，下降61.08%,主要原因是：劳务外包服务项目较上年减少。</w:t>
      </w:r>
    </w:p>
    <w:p w14:paraId="7F74DAC7">
      <w:pPr>
        <w:spacing w:line="580" w:lineRule="exact"/>
        <w:ind w:firstLine="640"/>
        <w:jc w:val="both"/>
      </w:pPr>
      <w:r>
        <w:rPr>
          <w:rFonts w:ascii="仿宋_GB2312" w:hAnsi="仿宋_GB2312" w:eastAsia="仿宋_GB2312"/>
          <w:b w:val="0"/>
          <w:sz w:val="32"/>
        </w:rPr>
        <w:t>5.卫生健康支出(类)公共卫生(款)基本公共卫生服务(项):支出决算数为12.16万元，比上年决算减少2.39万元，下降16.43%,主要原因是：中央基本公共卫生服务补助项目，自治区基本公共卫生服务补助项目资金较上年减少。</w:t>
      </w:r>
    </w:p>
    <w:p w14:paraId="037C111B">
      <w:pPr>
        <w:spacing w:line="580" w:lineRule="exact"/>
        <w:ind w:firstLine="640"/>
        <w:jc w:val="both"/>
      </w:pPr>
      <w:r>
        <w:rPr>
          <w:rFonts w:ascii="仿宋_GB2312" w:hAnsi="仿宋_GB2312" w:eastAsia="仿宋_GB2312"/>
          <w:b w:val="0"/>
          <w:sz w:val="32"/>
        </w:rPr>
        <w:t>6.卫生健康支出(类)公共卫生(款)其他公共卫生支出(项):支出决算数为5.39万元，比上年决算增加0.58万元，增长12.06%,主要原因是：自治区公共卫生服务（地方公共卫生）补助项目资金较上年增加。</w:t>
      </w:r>
    </w:p>
    <w:p w14:paraId="75075EDB">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0.22万元，下降100.00%,主要原因是：本年功能科目调整，住房公积金上年度单独列支，本年调整至主科目列支，导致经费较上年减少。</w:t>
      </w:r>
    </w:p>
    <w:p w14:paraId="4CBD1E21">
      <w:pPr>
        <w:spacing w:line="640" w:lineRule="exact"/>
        <w:ind w:firstLine="640"/>
        <w:jc w:val="both"/>
        <w:outlineLvl w:val="2"/>
      </w:pPr>
      <w:r>
        <w:rPr>
          <w:rFonts w:ascii="黑体" w:hAnsi="黑体" w:eastAsia="黑体"/>
          <w:sz w:val="32"/>
        </w:rPr>
        <w:t>六、一般公共预算财政拨款基本支出决算情况说明</w:t>
      </w:r>
    </w:p>
    <w:p w14:paraId="2EDBD825">
      <w:pPr>
        <w:spacing w:line="580" w:lineRule="exact"/>
        <w:ind w:firstLine="640"/>
        <w:jc w:val="both"/>
      </w:pPr>
      <w:r>
        <w:rPr>
          <w:rFonts w:ascii="仿宋_GB2312" w:hAnsi="仿宋_GB2312" w:eastAsia="仿宋_GB2312"/>
          <w:b w:val="0"/>
          <w:sz w:val="32"/>
        </w:rPr>
        <w:t>2024年度一般公共预算财政拨款基本支出420.15万元，其中：</w:t>
      </w:r>
      <w:r>
        <w:rPr>
          <w:rFonts w:ascii="仿宋_GB2312" w:hAnsi="仿宋_GB2312" w:eastAsia="仿宋_GB2312"/>
          <w:b/>
          <w:sz w:val="32"/>
        </w:rPr>
        <w:t>人员经费420.15万元，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5D8DD79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681F739">
      <w:pPr>
        <w:spacing w:line="640" w:lineRule="exact"/>
        <w:ind w:firstLine="640"/>
        <w:jc w:val="both"/>
        <w:outlineLvl w:val="2"/>
      </w:pPr>
      <w:r>
        <w:rPr>
          <w:rFonts w:ascii="黑体" w:hAnsi="黑体" w:eastAsia="黑体"/>
          <w:sz w:val="32"/>
        </w:rPr>
        <w:t>七、政府性基金预算财政拨款收入支出决算情况说明</w:t>
      </w:r>
    </w:p>
    <w:p w14:paraId="3A6366E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6E9BAA">
      <w:pPr>
        <w:spacing w:line="640" w:lineRule="exact"/>
        <w:ind w:firstLine="640"/>
        <w:jc w:val="both"/>
        <w:outlineLvl w:val="2"/>
      </w:pPr>
      <w:r>
        <w:rPr>
          <w:rFonts w:ascii="黑体" w:hAnsi="黑体" w:eastAsia="黑体"/>
          <w:sz w:val="32"/>
        </w:rPr>
        <w:t>八、国有资本经营预算财政拨款收入支出决算情况说明</w:t>
      </w:r>
    </w:p>
    <w:p w14:paraId="55946AC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03E069">
      <w:pPr>
        <w:spacing w:line="640" w:lineRule="exact"/>
        <w:ind w:firstLine="640"/>
        <w:jc w:val="both"/>
        <w:outlineLvl w:val="2"/>
      </w:pPr>
      <w:r>
        <w:rPr>
          <w:rFonts w:ascii="黑体" w:hAnsi="黑体" w:eastAsia="黑体"/>
          <w:sz w:val="32"/>
        </w:rPr>
        <w:t>九、财政拨款“三公”经费支出决算情况说明</w:t>
      </w:r>
    </w:p>
    <w:p w14:paraId="4E2F3E00">
      <w:pPr>
        <w:spacing w:line="580" w:lineRule="exact"/>
        <w:ind w:firstLine="640"/>
        <w:jc w:val="both"/>
      </w:pPr>
      <w:r>
        <w:rPr>
          <w:rFonts w:ascii="仿宋_GB2312" w:hAnsi="仿宋_GB2312" w:eastAsia="仿宋_GB2312"/>
          <w:b/>
          <w:sz w:val="32"/>
        </w:rPr>
        <w:t>2024年度财政拨款“三公”经费支出1.37万元，</w:t>
      </w:r>
      <w:r>
        <w:rPr>
          <w:rFonts w:ascii="仿宋_GB2312" w:hAnsi="仿宋_GB2312" w:eastAsia="仿宋_GB2312"/>
          <w:b w:val="0"/>
          <w:sz w:val="32"/>
        </w:rPr>
        <w:t>比上年增加1.37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1.37万元，占100.00%，比上年增加1.37万元，增长100.00%，主要原因是：本年将车辆纳入公务用车管理，增加公务用车运行费。公务接待费支出0.00万元，占0.00%，比上年增加0.00万元，增长0.00%，主要原因是：2023年与2024年均未安排公务接待费支出。</w:t>
      </w:r>
    </w:p>
    <w:p w14:paraId="265E46BD">
      <w:pPr>
        <w:spacing w:line="580" w:lineRule="exact"/>
        <w:ind w:firstLine="640"/>
        <w:jc w:val="both"/>
      </w:pPr>
      <w:r>
        <w:rPr>
          <w:rFonts w:ascii="仿宋_GB2312" w:hAnsi="仿宋_GB2312" w:eastAsia="仿宋_GB2312"/>
          <w:b/>
          <w:sz w:val="32"/>
        </w:rPr>
        <w:t>具体情况如下：</w:t>
      </w:r>
    </w:p>
    <w:p w14:paraId="6FEA584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19362E">
      <w:pPr>
        <w:spacing w:line="580" w:lineRule="exact"/>
        <w:ind w:firstLine="640"/>
        <w:jc w:val="both"/>
      </w:pPr>
      <w:r>
        <w:rPr>
          <w:rFonts w:ascii="仿宋_GB2312" w:hAnsi="仿宋_GB2312" w:eastAsia="仿宋_GB2312"/>
          <w:b w:val="0"/>
          <w:sz w:val="32"/>
        </w:rPr>
        <w:t>公务用车购置及运行维护费1.37万元，其中：公务用车购置费0.00万元，公务用车运行维护费1.37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700862E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794F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1.37万元，决算数1.37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1.37万元，决算数1.37万元，预决算差异率0.00%，主要原因是：严格按照预算执行，预决算无差异。公务接待费全年预算数0.00万元，决算数0.00万元，预决算差异率0.00%，主要原因是：本单位无公务接待费。</w:t>
      </w:r>
    </w:p>
    <w:p w14:paraId="1752BA24">
      <w:pPr>
        <w:spacing w:line="640" w:lineRule="exact"/>
        <w:ind w:firstLine="640"/>
        <w:jc w:val="both"/>
        <w:outlineLvl w:val="2"/>
      </w:pPr>
      <w:r>
        <w:rPr>
          <w:rFonts w:ascii="黑体" w:hAnsi="黑体" w:eastAsia="黑体"/>
          <w:sz w:val="32"/>
        </w:rPr>
        <w:t>十、其他重要事项的情况说明</w:t>
      </w:r>
    </w:p>
    <w:p w14:paraId="0B3A2B0A">
      <w:pPr>
        <w:spacing w:line="640" w:lineRule="exact"/>
        <w:ind w:firstLine="640"/>
        <w:jc w:val="both"/>
        <w:outlineLvl w:val="3"/>
      </w:pPr>
      <w:r>
        <w:rPr>
          <w:rFonts w:ascii="楷体_GB2312" w:hAnsi="楷体_GB2312" w:eastAsia="楷体_GB2312"/>
          <w:b/>
          <w:sz w:val="32"/>
        </w:rPr>
        <w:t>（一）机关运行经费及公用经费支出情况</w:t>
      </w:r>
    </w:p>
    <w:p w14:paraId="3298DEFB">
      <w:pPr>
        <w:spacing w:line="580" w:lineRule="exact"/>
        <w:ind w:firstLine="640"/>
        <w:jc w:val="both"/>
      </w:pPr>
      <w:r>
        <w:rPr>
          <w:rFonts w:ascii="仿宋_GB2312" w:hAnsi="仿宋_GB2312" w:eastAsia="仿宋_GB2312"/>
          <w:b w:val="0"/>
          <w:sz w:val="32"/>
        </w:rPr>
        <w:t>2024年度塔什库尔干塔吉克自治县马尔洋乡卫生院（事业单位）公用经费支出0.00万元，比上年减少6.62万元，下降100.00%，主要原因是：本年单位公用经费均在项目中列支，基本支出中无公用经费。</w:t>
      </w:r>
    </w:p>
    <w:p w14:paraId="5394B4F2">
      <w:pPr>
        <w:spacing w:line="640" w:lineRule="exact"/>
        <w:ind w:firstLine="640"/>
        <w:jc w:val="both"/>
        <w:outlineLvl w:val="3"/>
      </w:pPr>
      <w:r>
        <w:rPr>
          <w:rFonts w:ascii="楷体_GB2312" w:hAnsi="楷体_GB2312" w:eastAsia="楷体_GB2312"/>
          <w:b/>
          <w:sz w:val="32"/>
        </w:rPr>
        <w:t>（二）政府采购情况</w:t>
      </w:r>
    </w:p>
    <w:p w14:paraId="144C49E8">
      <w:pPr>
        <w:spacing w:line="580" w:lineRule="exact"/>
        <w:ind w:firstLine="640"/>
        <w:jc w:val="both"/>
      </w:pPr>
      <w:r>
        <w:rPr>
          <w:rFonts w:ascii="仿宋_GB2312" w:hAnsi="仿宋_GB2312" w:eastAsia="仿宋_GB2312"/>
          <w:b w:val="0"/>
          <w:sz w:val="32"/>
        </w:rPr>
        <w:t>2024年度政府采购支出总额0.15万元，其中：政府采购货物支出0.15万元、政府采购工程支出0.00万元、政府采购服务支出0.00万元。</w:t>
      </w:r>
    </w:p>
    <w:p w14:paraId="2B981A63">
      <w:pPr>
        <w:spacing w:line="580" w:lineRule="exact"/>
        <w:ind w:firstLine="640"/>
        <w:jc w:val="both"/>
      </w:pPr>
      <w:r>
        <w:rPr>
          <w:rFonts w:ascii="仿宋_GB2312" w:hAnsi="仿宋_GB2312" w:eastAsia="仿宋_GB2312"/>
          <w:b w:val="0"/>
          <w:sz w:val="32"/>
        </w:rPr>
        <w:t>授予中小企业合同金额0.07万元，占政府采购支出总额的46.67%，其中：授予小微企业合同金额0.07万元，占政府采购支出总额的46.67%。</w:t>
      </w:r>
    </w:p>
    <w:p w14:paraId="6444BF4B">
      <w:pPr>
        <w:spacing w:line="640" w:lineRule="exact"/>
        <w:ind w:firstLine="640"/>
        <w:jc w:val="both"/>
        <w:outlineLvl w:val="3"/>
      </w:pPr>
      <w:r>
        <w:rPr>
          <w:rFonts w:ascii="楷体_GB2312" w:hAnsi="楷体_GB2312" w:eastAsia="楷体_GB2312"/>
          <w:b/>
          <w:sz w:val="32"/>
        </w:rPr>
        <w:t>（三）国有资产占用情况说明</w:t>
      </w:r>
    </w:p>
    <w:p w14:paraId="083AF6F6">
      <w:pPr>
        <w:spacing w:line="580" w:lineRule="exact"/>
        <w:ind w:firstLine="640"/>
        <w:jc w:val="both"/>
      </w:pPr>
      <w:r>
        <w:rPr>
          <w:rFonts w:ascii="仿宋_GB2312" w:hAnsi="仿宋_GB2312" w:eastAsia="仿宋_GB2312"/>
          <w:b w:val="0"/>
          <w:sz w:val="32"/>
        </w:rPr>
        <w:t>截至2024年12月31日，房屋2,971.00平方米，价值464.17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9022109">
      <w:pPr>
        <w:spacing w:line="640" w:lineRule="exact"/>
        <w:ind w:firstLine="640"/>
        <w:jc w:val="both"/>
        <w:outlineLvl w:val="2"/>
      </w:pPr>
      <w:r>
        <w:rPr>
          <w:rFonts w:ascii="黑体" w:hAnsi="黑体" w:eastAsia="黑体"/>
          <w:sz w:val="32"/>
        </w:rPr>
        <w:t>十一、预算绩效的情况说明</w:t>
      </w:r>
    </w:p>
    <w:p w14:paraId="117B186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66FC8EDB">
      <w:r>
        <w:br w:type="page"/>
      </w:r>
    </w:p>
    <w:p w14:paraId="256A52AB">
      <w:pPr>
        <w:spacing w:line="640" w:lineRule="exact"/>
        <w:ind w:firstLine="640"/>
        <w:jc w:val="both"/>
        <w:outlineLvl w:val="2"/>
      </w:pPr>
      <w:r>
        <w:rPr>
          <w:rFonts w:ascii="黑体" w:hAnsi="黑体" w:eastAsia="黑体"/>
          <w:sz w:val="32"/>
        </w:rPr>
        <w:t>十二、其他需说明的事项</w:t>
      </w:r>
    </w:p>
    <w:p w14:paraId="6A59008A">
      <w:pPr>
        <w:spacing w:line="580" w:lineRule="exact"/>
        <w:ind w:firstLine="640"/>
        <w:jc w:val="both"/>
      </w:pPr>
      <w:r>
        <w:rPr>
          <w:rFonts w:ascii="仿宋_GB2312" w:hAnsi="仿宋_GB2312" w:eastAsia="仿宋_GB2312"/>
          <w:b w:val="0"/>
          <w:sz w:val="32"/>
        </w:rPr>
        <w:t>本年度本单位整体绩效自评表由塔什库尔干塔吉克自治县卫生健康委员会（部门）编报并公开。</w:t>
      </w:r>
    </w:p>
    <w:p w14:paraId="0CD8D514">
      <w:r>
        <w:br w:type="page"/>
      </w:r>
    </w:p>
    <w:p w14:paraId="7FD55F0D">
      <w:pPr>
        <w:spacing w:line="240" w:lineRule="auto"/>
        <w:jc w:val="center"/>
        <w:outlineLvl w:val="1"/>
      </w:pPr>
      <w:r>
        <w:rPr>
          <w:rFonts w:ascii="黑体" w:hAnsi="黑体" w:eastAsia="黑体"/>
          <w:sz w:val="32"/>
        </w:rPr>
        <w:t>第三部分 专业名词解释</w:t>
      </w:r>
    </w:p>
    <w:p w14:paraId="440BDF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8E18B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CC23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223E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C0B40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E9E4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7E7A8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7870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05992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0EB5B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04C7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EA95E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2A83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366A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35915B">
      <w:r>
        <w:br w:type="page"/>
      </w:r>
    </w:p>
    <w:p w14:paraId="10AFD450">
      <w:pPr>
        <w:spacing w:line="240" w:lineRule="auto"/>
        <w:jc w:val="center"/>
        <w:outlineLvl w:val="1"/>
      </w:pPr>
      <w:r>
        <w:rPr>
          <w:rFonts w:ascii="黑体" w:hAnsi="黑体" w:eastAsia="黑体"/>
          <w:sz w:val="32"/>
        </w:rPr>
        <w:t>第四部分 部门决算报表（见附表）</w:t>
      </w:r>
    </w:p>
    <w:p w14:paraId="7C74A975">
      <w:pPr>
        <w:spacing w:line="240" w:lineRule="auto"/>
        <w:ind w:firstLine="640"/>
        <w:jc w:val="both"/>
      </w:pPr>
      <w:r>
        <w:rPr>
          <w:rFonts w:ascii="仿宋_GB2312" w:hAnsi="仿宋_GB2312" w:eastAsia="仿宋_GB2312"/>
          <w:b w:val="0"/>
          <w:sz w:val="32"/>
        </w:rPr>
        <w:t>一、《收入支出决算总表》</w:t>
      </w:r>
    </w:p>
    <w:p w14:paraId="69AF80B2">
      <w:pPr>
        <w:spacing w:line="240" w:lineRule="auto"/>
        <w:ind w:firstLine="640"/>
        <w:jc w:val="both"/>
      </w:pPr>
      <w:r>
        <w:rPr>
          <w:rFonts w:ascii="仿宋_GB2312" w:hAnsi="仿宋_GB2312" w:eastAsia="仿宋_GB2312"/>
          <w:b w:val="0"/>
          <w:sz w:val="32"/>
        </w:rPr>
        <w:t>二、《收入决算表》</w:t>
      </w:r>
    </w:p>
    <w:p w14:paraId="377EBA43">
      <w:pPr>
        <w:spacing w:line="240" w:lineRule="auto"/>
        <w:ind w:firstLine="640"/>
        <w:jc w:val="both"/>
      </w:pPr>
      <w:r>
        <w:rPr>
          <w:rFonts w:ascii="仿宋_GB2312" w:hAnsi="仿宋_GB2312" w:eastAsia="仿宋_GB2312"/>
          <w:b w:val="0"/>
          <w:sz w:val="32"/>
        </w:rPr>
        <w:t>三、《支出决算表》</w:t>
      </w:r>
    </w:p>
    <w:p w14:paraId="01AB069F">
      <w:pPr>
        <w:spacing w:line="240" w:lineRule="auto"/>
        <w:ind w:firstLine="640"/>
        <w:jc w:val="both"/>
      </w:pPr>
      <w:r>
        <w:rPr>
          <w:rFonts w:ascii="仿宋_GB2312" w:hAnsi="仿宋_GB2312" w:eastAsia="仿宋_GB2312"/>
          <w:b w:val="0"/>
          <w:sz w:val="32"/>
        </w:rPr>
        <w:t>四、《财政拨款收入支出决算总表》</w:t>
      </w:r>
    </w:p>
    <w:p w14:paraId="1ED6F6DC">
      <w:pPr>
        <w:spacing w:line="240" w:lineRule="auto"/>
        <w:ind w:firstLine="640"/>
        <w:jc w:val="both"/>
      </w:pPr>
      <w:r>
        <w:rPr>
          <w:rFonts w:ascii="仿宋_GB2312" w:hAnsi="仿宋_GB2312" w:eastAsia="仿宋_GB2312"/>
          <w:b w:val="0"/>
          <w:sz w:val="32"/>
        </w:rPr>
        <w:t>五、《一般公共预算财政拨款支出决算表》</w:t>
      </w:r>
    </w:p>
    <w:p w14:paraId="298C5590">
      <w:pPr>
        <w:spacing w:line="240" w:lineRule="auto"/>
        <w:ind w:firstLine="640"/>
        <w:jc w:val="both"/>
      </w:pPr>
      <w:r>
        <w:rPr>
          <w:rFonts w:ascii="仿宋_GB2312" w:hAnsi="仿宋_GB2312" w:eastAsia="仿宋_GB2312"/>
          <w:b w:val="0"/>
          <w:sz w:val="32"/>
        </w:rPr>
        <w:t>六、《一般公共预算财政拨款基本支出决算表》</w:t>
      </w:r>
    </w:p>
    <w:p w14:paraId="253B1C21">
      <w:pPr>
        <w:spacing w:line="240" w:lineRule="auto"/>
        <w:ind w:firstLine="640"/>
        <w:jc w:val="both"/>
      </w:pPr>
      <w:r>
        <w:rPr>
          <w:rFonts w:ascii="仿宋_GB2312" w:hAnsi="仿宋_GB2312" w:eastAsia="仿宋_GB2312"/>
          <w:b w:val="0"/>
          <w:sz w:val="32"/>
        </w:rPr>
        <w:t>七、《政府性基金预算财政拨款收入支出决算表》</w:t>
      </w:r>
    </w:p>
    <w:p w14:paraId="24DC3D50">
      <w:pPr>
        <w:spacing w:line="240" w:lineRule="auto"/>
        <w:ind w:firstLine="640"/>
        <w:jc w:val="both"/>
      </w:pPr>
      <w:r>
        <w:rPr>
          <w:rFonts w:ascii="仿宋_GB2312" w:hAnsi="仿宋_GB2312" w:eastAsia="仿宋_GB2312"/>
          <w:b w:val="0"/>
          <w:sz w:val="32"/>
        </w:rPr>
        <w:t>八、《国有资本经营预算财政拨款收入支出决算表》</w:t>
      </w:r>
    </w:p>
    <w:p w14:paraId="5C83A737">
      <w:pPr>
        <w:spacing w:line="240" w:lineRule="auto"/>
        <w:ind w:firstLine="640"/>
        <w:jc w:val="both"/>
      </w:pPr>
      <w:r>
        <w:rPr>
          <w:rFonts w:ascii="仿宋_GB2312" w:hAnsi="仿宋_GB2312" w:eastAsia="仿宋_GB2312"/>
          <w:b w:val="0"/>
          <w:sz w:val="32"/>
        </w:rPr>
        <w:t>九、《财政拨款“三公”经费支出决算表》</w:t>
      </w:r>
    </w:p>
    <w:p w14:paraId="34B9FEEC">
      <w:pPr>
        <w:spacing w:line="240" w:lineRule="auto"/>
        <w:ind w:firstLine="640"/>
        <w:jc w:val="both"/>
      </w:pPr>
    </w:p>
    <w:p w14:paraId="7CFD1C58">
      <w:pPr>
        <w:spacing w:line="240" w:lineRule="auto"/>
        <w:ind w:firstLine="640"/>
        <w:jc w:val="both"/>
      </w:pPr>
    </w:p>
    <w:p w14:paraId="6EEB15C0">
      <w:pPr>
        <w:spacing w:line="240" w:lineRule="auto"/>
        <w:ind w:firstLine="640"/>
        <w:jc w:val="both"/>
      </w:pPr>
    </w:p>
    <w:p w14:paraId="36B01A86">
      <w:pPr>
        <w:spacing w:line="240" w:lineRule="auto"/>
        <w:ind w:firstLine="640"/>
        <w:jc w:val="both"/>
      </w:pPr>
    </w:p>
    <w:p w14:paraId="230F10D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C18274-8704-4B93-977C-86D71CB311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64FCBEF-80FE-44BD-B75B-75A1EAF94E0C}"/>
  </w:font>
  <w:font w:name="仿宋_GB2312">
    <w:panose1 w:val="02010609030101010101"/>
    <w:charset w:val="86"/>
    <w:family w:val="auto"/>
    <w:pitch w:val="default"/>
    <w:sig w:usb0="00000001" w:usb1="080E0000" w:usb2="00000000" w:usb3="00000000" w:csb0="00040000" w:csb1="00000000"/>
    <w:embedRegular r:id="rId3" w:fontKey="{9018C59F-018C-45BC-AC99-0FAA06962B79}"/>
  </w:font>
  <w:font w:name="楷体_GB2312">
    <w:panose1 w:val="02010609030101010101"/>
    <w:charset w:val="86"/>
    <w:family w:val="auto"/>
    <w:pitch w:val="default"/>
    <w:sig w:usb0="00000001" w:usb1="080E0000" w:usb2="00000000" w:usb3="00000000" w:csb0="00040000" w:csb1="00000000"/>
    <w:embedRegular r:id="rId4" w:fontKey="{2279DD2E-9C26-4EF0-B796-D6271D48BC1A}"/>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4E517C"/>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683020"/>
    <w:rsid w:val="6CA7198F"/>
    <w:rsid w:val="6D8919A8"/>
    <w:rsid w:val="6E0F7A08"/>
    <w:rsid w:val="6E801ABC"/>
    <w:rsid w:val="71473612"/>
    <w:rsid w:val="718F7F65"/>
    <w:rsid w:val="73423603"/>
    <w:rsid w:val="737A5923"/>
    <w:rsid w:val="73DE4104"/>
    <w:rsid w:val="73FB6630"/>
    <w:rsid w:val="74CE04EC"/>
    <w:rsid w:val="74E76DCD"/>
    <w:rsid w:val="76660D7C"/>
    <w:rsid w:val="772A140E"/>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5439</Words>
  <Characters>6060</Characters>
  <Lines>0</Lines>
  <Paragraphs>0</Paragraphs>
  <TotalTime>0</TotalTime>
  <ScaleCrop>false</ScaleCrop>
  <LinksUpToDate>false</LinksUpToDate>
  <CharactersWithSpaces>6070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