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69294">
      <w:pPr>
        <w:spacing w:line="570" w:lineRule="exact"/>
        <w:jc w:val="center"/>
        <w:rPr>
          <w:rFonts w:ascii="华文中宋" w:hAnsi="华文中宋" w:eastAsia="华文中宋" w:cs="宋体"/>
          <w:b/>
          <w:kern w:val="0"/>
          <w:sz w:val="52"/>
          <w:szCs w:val="52"/>
        </w:rPr>
      </w:pPr>
    </w:p>
    <w:p w14:paraId="16D52F4C">
      <w:pPr>
        <w:spacing w:line="570" w:lineRule="exact"/>
        <w:jc w:val="center"/>
        <w:rPr>
          <w:rFonts w:ascii="华文中宋" w:hAnsi="华文中宋" w:eastAsia="华文中宋" w:cs="宋体"/>
          <w:b/>
          <w:kern w:val="0"/>
          <w:sz w:val="52"/>
          <w:szCs w:val="52"/>
        </w:rPr>
      </w:pPr>
    </w:p>
    <w:p w14:paraId="73135FCF">
      <w:pPr>
        <w:spacing w:line="570" w:lineRule="exact"/>
        <w:jc w:val="center"/>
        <w:rPr>
          <w:rFonts w:ascii="华文中宋" w:hAnsi="华文中宋" w:eastAsia="华文中宋" w:cs="宋体"/>
          <w:b/>
          <w:kern w:val="0"/>
          <w:sz w:val="52"/>
          <w:szCs w:val="52"/>
        </w:rPr>
      </w:pPr>
    </w:p>
    <w:p w14:paraId="7196429F">
      <w:pPr>
        <w:spacing w:line="570" w:lineRule="exact"/>
        <w:jc w:val="center"/>
        <w:rPr>
          <w:rFonts w:ascii="华文中宋" w:hAnsi="华文中宋" w:eastAsia="华文中宋" w:cs="宋体"/>
          <w:b/>
          <w:kern w:val="0"/>
          <w:sz w:val="52"/>
          <w:szCs w:val="52"/>
        </w:rPr>
      </w:pPr>
    </w:p>
    <w:p w14:paraId="0F515491">
      <w:pPr>
        <w:spacing w:line="570" w:lineRule="exact"/>
        <w:jc w:val="both"/>
        <w:rPr>
          <w:rFonts w:ascii="华文中宋" w:hAnsi="华文中宋" w:eastAsia="华文中宋" w:cs="宋体"/>
          <w:b/>
          <w:kern w:val="0"/>
          <w:sz w:val="52"/>
          <w:szCs w:val="52"/>
        </w:rPr>
      </w:pPr>
    </w:p>
    <w:p w14:paraId="5C6D1A49">
      <w:pPr>
        <w:spacing w:line="570" w:lineRule="exact"/>
        <w:jc w:val="center"/>
        <w:rPr>
          <w:rFonts w:ascii="华文中宋" w:hAnsi="华文中宋" w:eastAsia="华文中宋" w:cs="宋体"/>
          <w:b/>
          <w:kern w:val="0"/>
          <w:sz w:val="52"/>
          <w:szCs w:val="52"/>
        </w:rPr>
      </w:pPr>
    </w:p>
    <w:p w14:paraId="369BEC7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9692F6C">
      <w:pPr>
        <w:spacing w:line="570" w:lineRule="exact"/>
        <w:jc w:val="center"/>
        <w:rPr>
          <w:rFonts w:ascii="华文中宋" w:hAnsi="华文中宋" w:eastAsia="华文中宋" w:cs="宋体"/>
          <w:b/>
          <w:kern w:val="0"/>
          <w:sz w:val="52"/>
          <w:szCs w:val="52"/>
        </w:rPr>
      </w:pPr>
    </w:p>
    <w:p w14:paraId="2792118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7C772A9">
      <w:pPr>
        <w:spacing w:line="570" w:lineRule="exact"/>
        <w:jc w:val="center"/>
        <w:rPr>
          <w:rFonts w:hAnsi="宋体" w:eastAsia="仿宋_GB2312" w:cs="宋体"/>
          <w:kern w:val="0"/>
          <w:sz w:val="30"/>
          <w:szCs w:val="30"/>
        </w:rPr>
      </w:pPr>
    </w:p>
    <w:p w14:paraId="54E1FF44">
      <w:pPr>
        <w:spacing w:line="570" w:lineRule="exact"/>
        <w:jc w:val="center"/>
        <w:rPr>
          <w:rFonts w:hAnsi="宋体" w:eastAsia="仿宋_GB2312" w:cs="宋体"/>
          <w:kern w:val="0"/>
          <w:sz w:val="30"/>
          <w:szCs w:val="30"/>
        </w:rPr>
      </w:pPr>
    </w:p>
    <w:p w14:paraId="742FE64D">
      <w:pPr>
        <w:spacing w:line="570" w:lineRule="exact"/>
        <w:jc w:val="center"/>
        <w:rPr>
          <w:rFonts w:hAnsi="宋体" w:eastAsia="仿宋_GB2312" w:cs="宋体"/>
          <w:kern w:val="0"/>
          <w:sz w:val="30"/>
          <w:szCs w:val="30"/>
        </w:rPr>
      </w:pPr>
    </w:p>
    <w:p w14:paraId="61DB62A4">
      <w:pPr>
        <w:spacing w:line="570" w:lineRule="exact"/>
        <w:jc w:val="center"/>
        <w:rPr>
          <w:rFonts w:hAnsi="宋体" w:eastAsia="仿宋_GB2312" w:cs="宋体"/>
          <w:kern w:val="0"/>
          <w:sz w:val="30"/>
          <w:szCs w:val="30"/>
        </w:rPr>
      </w:pPr>
    </w:p>
    <w:p w14:paraId="2FFC7C8F">
      <w:pPr>
        <w:spacing w:line="570" w:lineRule="exact"/>
        <w:jc w:val="center"/>
        <w:rPr>
          <w:rFonts w:hAnsi="宋体" w:eastAsia="仿宋_GB2312" w:cs="宋体"/>
          <w:kern w:val="0"/>
          <w:sz w:val="30"/>
          <w:szCs w:val="30"/>
        </w:rPr>
      </w:pPr>
    </w:p>
    <w:p w14:paraId="58D3A86A">
      <w:pPr>
        <w:spacing w:line="570" w:lineRule="exact"/>
        <w:jc w:val="center"/>
        <w:rPr>
          <w:rFonts w:hAnsi="宋体" w:eastAsia="仿宋_GB2312" w:cs="宋体"/>
          <w:kern w:val="0"/>
          <w:sz w:val="30"/>
          <w:szCs w:val="30"/>
        </w:rPr>
      </w:pPr>
    </w:p>
    <w:p w14:paraId="6632976C">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2024年自治区财政残疾人事业发展补助项目</w:t>
      </w:r>
    </w:p>
    <w:p w14:paraId="1D9E036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塔什库尔干塔吉克自治县残疾人联合会</w:t>
      </w:r>
    </w:p>
    <w:p w14:paraId="1FE1DE39">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塔什库尔干塔吉克自治县人民政府</w:t>
      </w:r>
    </w:p>
    <w:p w14:paraId="244593DA">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古扎力夏·买吐尼</w:t>
      </w:r>
    </w:p>
    <w:p w14:paraId="297683A7">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41A11965">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07DBC6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611F4F70">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83BFB6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自治区财政残疾人事业发展补助项目实施前期、过程及效果，评价财政预算资金使用的效率及效益。通过该项目的实施，强化残疾儿童定点康复机构的管理，加强残疾儿童经办队伍的服务能力，确保符合条件的残疾儿童及时得到康复救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本项目建设主要服务于当地残疾人事业的发展。用于为114名残疾人提供基本康复服务、为18名残疾人提供寄宿制托养服务、为5名残疾人提供教育就业服务、 并举办2次举行残疾人文化活动。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塔什库尔干县残疾人联合会为参公事业单位，纳入2024年部门决算编制范围的有3个办公室：业务办公室、财务室、理事长办公室。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编制人数6人，其中：行政人员编制3人、事业编制3人。实有在职人数4人，其中：行政在职3人、抽调1人。离退休人员2人，其中：行政退休人员2人。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根据“关于提前下达2023年自治区残疾人事业发展补助资金预算的通知”（喀地财社【2023】103号）共安排下达自治区资金14万元，最终确定项目资金总数为14万元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截至2024年12月31日，实际支出14万元，预算执行率100%。</w:t>
      </w:r>
    </w:p>
    <w:p w14:paraId="4504772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95306F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该项目计划投入资金14万元，用于为114名残疾人提供基本康复服务、为18名残疾人提供寄宿制托养服务、为5名残疾人提供教育就业服务、 并举办2次举行残疾人文化活动。通过该项目的实施，强化残疾儿童定点康复机构的管理，加强残疾儿童经办队伍的服务能力，确保符合条件的残疾儿童及时得到康复救助。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 塔什库尔干塔吉克自治县残疾人联合会作为项目的实施单位，第一时间与相关主管部门单位沟通，制定项目实施方案，项目绩效目标表等，根据县人大工作年初目标，明确分工职责，并设定绩效监控实施计划。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0F7C7C5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B64B62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66C6484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bookmarkStart w:id="0" w:name="_GoBack"/>
      <w:bookmarkEnd w:id="0"/>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63864E3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794BBC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2024年自治区财政残疾人事业发展补助项目项目综合评分表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6993B4F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0A2A71D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古扎力夏·买吐尼任评价组组长，绩效评价工作职责为负责全盘工作。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张继革任评价组副组长，绩效评价工作职责为为对项目实施情况进行实地调查。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热则耶·阿卜杜热伊木任评价组成员，绩效评价工作职责为负责资料审核等工作。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0738C6D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E42D6E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自治区财政残疾人事业发展补助项目强化残疾儿童定点康复机构的管理，加强残疾儿童经办队伍的服务能力，确保符合条件的残疾儿童及时得到康复救助。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关于提前下达2023年自治区残疾人事业发展补助资金预算的通知”（喀地财社【2023】103号）文件立项，项目实施符合“关于提前下达2023年自治区残疾人事业发展补助资金预算的通知”（喀地财社【2023】103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项目过程：2024年自治区财政残疾人事业发展补助项目预算安排 14万元，实际支出14万元，预算执行率100%。项目资金使用合规，项目财务管理制度健全，财务监控到位，所有资金支付均按照国库集中支付制度严格执行，现有项目管理制度执行情况良好。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各项费用14万元，其中为114名残疾人提供基本康复服务费用7.4万元、为18名残疾人提供寄宿制托养服务5.4万元、为5名残疾人提供教育就业服务1万元、并举办2次举行残疾人文化活动0.2万元；残疾儿童康复服务率达95%；补助资金拨付及时性达100%、项目完成时间2024年8月31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项目效益：通过实施此项目强化残疾儿童定点康复机构的管理，加强残疾儿童经办队伍的服务能力，确保符合条件的残疾儿童及时得到康复救助。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自治区财政残疾人事业发展补助项目进行客观评价，最终评分结果：评价总分100分，绩效等级为“优”。</w:t>
      </w:r>
    </w:p>
    <w:p w14:paraId="5F57E16F">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6B83C7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94737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本项目立项符合“关于提前下达2023年自治区残疾人事业发展补助资金预算的通知”（喀地财社【2023】103号）文件的要求；经检查我单位财政管理一体化信息系统，本项目不存在重复。结合塔什库尔干塔吉克自治县残疾人联合会职责，并组织实施该项目。围绕塔什库尔干塔吉克自治县残疾人联合会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程序规范性：根据“关于提前下达2023年自治区残疾人事业发展补助资金预算的通知”（喀地财社【2023】103号）以及《2024年自治区财政残疾人事业发展补助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①该项目已设置年度绩效目标，具体内容为“该项目计划投入资金14万元，用于为114名残疾人提供基本康复服务、为18名残疾人提供寄宿制托养服务、为5名残疾人提供教育就业服务、 并举办2次举行残疾人文化活动。通过该项目的实施，强化残疾儿童定点康复机构的管理，加强残疾儿童经办队伍的服务能力，确保符合条件的残疾儿童及时得到康复救助。”。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w:t>
      </w:r>
      <w:r>
        <w:rPr>
          <w:rStyle w:val="18"/>
          <w:rFonts w:hint="eastAsia" w:ascii="仿宋" w:hAnsi="仿宋" w:eastAsia="仿宋" w:cs="仿宋"/>
          <w:b w:val="0"/>
          <w:bCs w:val="0"/>
          <w:spacing w:val="-4"/>
          <w:sz w:val="32"/>
          <w:szCs w:val="32"/>
          <w:lang w:eastAsia="zh-CN"/>
        </w:rPr>
        <w:t>截至目前</w:t>
      </w:r>
      <w:r>
        <w:rPr>
          <w:rStyle w:val="18"/>
          <w:rFonts w:hint="eastAsia" w:ascii="仿宋" w:hAnsi="仿宋" w:eastAsia="仿宋" w:cs="仿宋"/>
          <w:b w:val="0"/>
          <w:bCs w:val="0"/>
          <w:spacing w:val="-4"/>
          <w:sz w:val="32"/>
          <w:szCs w:val="32"/>
        </w:rPr>
        <w:t>该项目已执行资金14万元，已用于为114名残疾人提供基本康复服务、为18名残疾人提供寄宿制托养服务、为5名残疾人提供教育就业服务、 并举办2次举行残疾人文化活动。通过该项目的实施，强化了残疾儿童定点康复机构的管理，加强了残疾儿童经办队伍的服务能力，有效确保符合条件的残疾儿童及时得到康复救助。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为114名残疾人提供基本康复服务费用7.4万元、为18名残疾人提供寄宿制托养服务5.4万元、为5名残疾人提供教育就业服务1万元、并举办2次举行残疾人文化活动0.2万元；残疾儿童康复服务率达95%；补助资金拨付及时性达100%、项目完成时间2024年8月31日，强化了残疾儿童定点康复机构的管理，加强了残疾儿童经办队伍的服务能力，有效确保符合条件的残疾儿童及时得到康复救助，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④该项目批复的预算金额为14万元，《项目支出绩效目标表》中预算金额为14万元，预算确定的项目资金与预算确定的项目投资额相匹配。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⑤本单位制定了《2024年自治区财政残疾人事业发展补助项目实施方案》，明确了总体思路及目标、并对任务进行了详细分解，对目标进行了细化。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13个，定量指标12个，定性指标1个，指标量化率为92.31%，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残疾人康复人数大于等于114人、残疾人托养人数大于等于18人、残疾人教育就业人数大于等于5人、举行残疾人文化活动次数大于等于2次，三级指标的年度指标值与年度绩效目标中任务数一致，已设置时效指标“补助资金拨付及时性100%、项目完成时间2024年12月25日前”。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预算申请内容为用于残疾人事业发展支出14万元，项目实际内容为总投资14万元，主要用于残疾人事业发展支出，预算申请与《2024年自治区财政残疾人事业发展补助项目实施方案》中涉及的项目内容匹配；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14万元，我单位在预算申请中严格按照项目实施内容及测算标准进行核算，其中：残疾人康复服务费用成本7.4万元，残疾人托养服务费用成本5.4万元，残疾人教育就业服务费用成本1万元，残疾人文化活动费用成本0.2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2024年自治区财政残疾人事业发展补助项目实施方案》为依据进行资金分配，预算资金分配依据充分。根据“关于提前下达2023年自治区残疾人事业发展补助资金预算的通知”（喀地财社【2023】103号），本项目实际到位资金14万元，其中自治区资金为14万元，资金分配额度合理，与我单位实际需求相适应。资金分配与实际相适应，根据评分标准，该指标不扣分，得2分。</w:t>
      </w:r>
    </w:p>
    <w:p w14:paraId="1C43E5D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6345EB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14万元，其中：财政安排资金14万元，实际到位资金14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（2）预算执行率：本项目实际支出资金14万元，预算执行率=（14/14）×100%=100%；通过分析可知，该项目预算编制较为详细，项目资金支出总体能够按照预算执行，根据评分标准，该指标不扣分，得3分。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残疾人联合会资金管理办法》《塔什库尔干塔吉克自治县残疾人联合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残疾人联合会资金管理办法》《塔什库尔干塔吉克自治县残疾人联合会收支业务管理制度》《塔什库尔干塔吉克自治县残疾人联合会政府采购业务管理制度》《塔什库尔干塔吉克自治县残疾人联合会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残疾人联合会资金管理办法》《塔什库尔干塔吉克自治县残疾人联合会收支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已落实到位，具体涉及内容包括：项目资金支出严格按照自治区、地区以及本单位资金管理办法执行，项目启动实施后，为了加快本项目的实施，成立了2024年自治区财政残疾人事业发展补助项目工作领导小组，由古扎力夏·买吐尼任组长，负责项目的组织工作；张继革任副组长，负责项目的实施工作；组员包括：热则耶·阿卜杜热伊木，主要负责项目监督管理、验收以及资金核拨等工作。根据评分标准，该指标不扣分，得5分。</w:t>
      </w:r>
    </w:p>
    <w:p w14:paraId="5E39286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C6ACB0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残疾人康复人数指标，预期指标值为大于等于114人，实际完成值为等于114人，指标完成率为100%，与预期目标一致，根据评分标准，该指标不扣分，得3分。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残疾人托养人数指标，预期指标值为大于等于18人，实际完成值为等于18人，指标完成率为100%，与预期目标一致，根据评分标准，该指标不扣分，得3分。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残疾人教育就业人数指标，预期指标值为大于等于5人，实际完成值为等于5人，指标完成率为100%，与预期目标一致，根据评分标准，该指标不扣分，得2分。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举行残疾人文化活动次数指标，预期指标值为大于等于2次，实际完成值为等于2次，指标完成率为100%，与预期目标一致，根据评分标准，该指标不扣分，得2分。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残疾儿童康复服务率指标，预期指标值为大于等于95%，实际完成值为等于95%，指标完成率为100%，与预期目标一致，根据评分标准，该指标不扣分，得10分。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项目完成时间指标，预期指标值为2024年12月25日前，实际完成值为2024年8月31日，指标完成率为100%，提前完成目标，根据评分标准，该指标不扣分，得5分。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补助资金拨付及时性指标，预期指标值为等于100%，实际完成值为等于100%，指标完成率为100%，与预期目标一致，根据评分标准，该指标不扣分，得5分。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残疾人康复服务费用指标，预期指标值为小于等于7.4万元，实际完成值为等于7.4万元，指标完成率为100%，与预期目标一致，根据评分标准，该指标不扣分，得5分。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残疾人托养服务费用指标，预期指标值为小于等于5.4万元，实际完成值为等于5.4万元，指标完成率为100%，与预期目标一致，根据评分标准，该指标不扣分，得5分。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残疾人教育就业服务费用指标，预期指标值为小于等于1万元，实际完成值为等于1万元，指标完成率为100%，与预期目标一致，根据评分标准，该指标不扣分，得3分。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残疾人文化活动费用指标，预期指标值为小于等于0.2万元，实际完成值为等于0.2万元，指标完成率为100%，与预期目标一致，根据评分标准，该指标不扣分，得2分。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30ADF73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06CF1CA">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确保符合条件的残疾儿童及时得到康复救助指标，该指标预期指标值为确保，实际完成值为确保，指标完成率为100%，与预期指标一致，根据评分标准，该指标不扣分，得10分。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059153B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621D87D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对于“满意度指标：受益残疾人员满意度，该指标预期指标值为大于等于95%，实际完成值为等于100%，指标完成率为105.26%，高与预期目标，根据评分标准，该指标不扣分,得10分。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偏差原因分析：项目实施情况较好，受益残疾人员满意度高于预期，导致出现正偏差，改进措施：基于当前良好表现，重新审视绩效目标，在以后绩效目标设置时设置更具挑战性的目标，以推动业务持续发展。</w:t>
      </w:r>
    </w:p>
    <w:p w14:paraId="66A3CE1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C11DD68">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2024年自治区财政残疾人事业发展补助项目预算14万元，到位14万元，实际支出14万元，预算执行率为100%，项目绩效指标总体完成率为100.4%。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残疾人员满意度，该指标预期指标值为大于等于95%，实际完成值为等于100%，指标完成率为105.26%，偏差原因分析：项目实施情况较好，受益残疾人员满意度高于预期，导致出现正偏差，改进措施：基于当前良好表现，重新审视绩效目标，在以后绩效目标设置时设置更具挑战性的目标，以推动业务持续发展。</w:t>
      </w:r>
    </w:p>
    <w:p w14:paraId="3C35C630">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0C79B81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2024年自治区财政残疾人事业发展补助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残疾人户籍迁移、死亡、残疾等级变动等发现不够及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4F4C71E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543C34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 加强对区域内残疾人情况的排查和抽查。</w:t>
      </w:r>
    </w:p>
    <w:p w14:paraId="49DE32B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9EB9E7E">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A9956E5">
        <w:pPr>
          <w:pStyle w:val="12"/>
          <w:jc w:val="center"/>
        </w:pPr>
        <w:r>
          <w:fldChar w:fldCharType="begin"/>
        </w:r>
        <w:r>
          <w:instrText xml:space="preserve">PAGE   \* MERGEFORMAT</w:instrText>
        </w:r>
        <w:r>
          <w:fldChar w:fldCharType="separate"/>
        </w:r>
        <w:r>
          <w:rPr>
            <w:lang w:val="zh-CN"/>
          </w:rPr>
          <w:t>1</w:t>
        </w:r>
        <w:r>
          <w:fldChar w:fldCharType="end"/>
        </w:r>
      </w:p>
    </w:sdtContent>
  </w:sdt>
  <w:p w14:paraId="5B58F6E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B21EB1"/>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9667</Words>
  <Characters>10122</Characters>
  <Lines>5</Lines>
  <Paragraphs>1</Paragraphs>
  <TotalTime>0</TotalTime>
  <ScaleCrop>false</ScaleCrop>
  <LinksUpToDate>false</LinksUpToDate>
  <CharactersWithSpaces>11419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2025-09-04T05:31:50Z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