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塔什库尔干塔吉克自治县塔合曼温泉疗养院2024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D9A9607">
      <w:r>
        <w:br w:type="page"/>
      </w:r>
    </w:p>
    <w:p w14:paraId="5F776619">
      <w:pPr>
        <w:spacing w:line="640" w:lineRule="exact"/>
        <w:jc w:val="center"/>
        <w:outlineLvl w:val="1"/>
      </w:pPr>
      <w:r>
        <w:rPr>
          <w:rFonts w:ascii="黑体" w:hAnsi="黑体" w:eastAsia="黑体"/>
          <w:sz w:val="32"/>
        </w:rPr>
        <w:t>第一部分 单位概况</w:t>
      </w:r>
    </w:p>
    <w:p w14:paraId="511A4A78">
      <w:pPr>
        <w:spacing w:line="640" w:lineRule="exact"/>
        <w:ind w:firstLine="640"/>
        <w:jc w:val="both"/>
        <w:outlineLvl w:val="2"/>
      </w:pPr>
      <w:r>
        <w:rPr>
          <w:rFonts w:ascii="黑体" w:hAnsi="黑体" w:eastAsia="黑体"/>
          <w:sz w:val="32"/>
        </w:rPr>
        <w:t>一、主要职能</w:t>
      </w:r>
    </w:p>
    <w:p w14:paraId="60D28DCE">
      <w:pPr>
        <w:spacing w:line="580" w:lineRule="exact"/>
        <w:ind w:firstLine="640"/>
        <w:jc w:val="both"/>
      </w:pPr>
      <w:r>
        <w:rPr>
          <w:rFonts w:ascii="仿宋_GB2312" w:hAnsi="仿宋_GB2312" w:eastAsia="仿宋_GB2312"/>
          <w:sz w:val="32"/>
        </w:rPr>
        <w:t>1.提供水疗休养服务；对皮肤病，关节炎，高血压，妇科病，糖尿病等慢性病护理及休养服务。</w:t>
      </w:r>
    </w:p>
    <w:p w14:paraId="15DB4116">
      <w:pPr>
        <w:spacing w:line="580" w:lineRule="exact"/>
        <w:ind w:firstLine="640"/>
        <w:jc w:val="both"/>
      </w:pPr>
      <w:r>
        <w:rPr>
          <w:rFonts w:ascii="仿宋_GB2312" w:hAnsi="仿宋_GB2312" w:eastAsia="仿宋_GB2312"/>
          <w:sz w:val="32"/>
        </w:rPr>
        <w:t>2.严格遵守财经纪律和新型合作医疗的相关规章制度。</w:t>
      </w:r>
    </w:p>
    <w:p w14:paraId="743D32D4">
      <w:pPr>
        <w:spacing w:line="580" w:lineRule="exact"/>
        <w:ind w:firstLine="640"/>
        <w:jc w:val="both"/>
      </w:pPr>
      <w:r>
        <w:rPr>
          <w:rFonts w:ascii="仿宋_GB2312" w:hAnsi="仿宋_GB2312" w:eastAsia="仿宋_GB2312"/>
          <w:sz w:val="32"/>
        </w:rPr>
        <w:t>3.按月结算中心报销，做好账户，规范软件管理工作。</w:t>
      </w:r>
    </w:p>
    <w:p w14:paraId="721CC826">
      <w:pPr>
        <w:spacing w:line="640" w:lineRule="exact"/>
        <w:ind w:firstLine="640"/>
        <w:jc w:val="both"/>
        <w:outlineLvl w:val="2"/>
      </w:pPr>
      <w:r>
        <w:rPr>
          <w:rFonts w:ascii="黑体" w:hAnsi="黑体" w:eastAsia="黑体"/>
          <w:sz w:val="32"/>
        </w:rPr>
        <w:t>二、机构设置及人员情况</w:t>
      </w:r>
    </w:p>
    <w:p w14:paraId="0F96F41E">
      <w:pPr>
        <w:spacing w:line="580" w:lineRule="exact"/>
        <w:ind w:firstLine="640"/>
        <w:jc w:val="both"/>
      </w:pPr>
      <w:r>
        <w:rPr>
          <w:rFonts w:ascii="仿宋_GB2312" w:hAnsi="仿宋_GB2312" w:eastAsia="仿宋_GB2312"/>
          <w:sz w:val="32"/>
        </w:rPr>
        <w:t>塔什库尔干塔吉克自治县塔合曼温泉疗养院2024年度，实有人数11人，其中：在职人员3人，增加0人；离休人员0人，增加0人；退休人员8人,增加0人。</w:t>
      </w:r>
    </w:p>
    <w:p w14:paraId="23A98DCB">
      <w:pPr>
        <w:spacing w:line="580" w:lineRule="exact"/>
        <w:ind w:firstLine="640"/>
        <w:jc w:val="both"/>
      </w:pPr>
      <w:r>
        <w:rPr>
          <w:rFonts w:ascii="仿宋_GB2312" w:hAnsi="仿宋_GB2312" w:eastAsia="仿宋_GB2312"/>
          <w:sz w:val="32"/>
        </w:rPr>
        <w:t>单位无下属预算单位，下设2个科室，分别是：治疗部、办公室。</w:t>
      </w:r>
    </w:p>
    <w:p w14:paraId="3296DB1D">
      <w:r>
        <w:br w:type="page"/>
      </w:r>
    </w:p>
    <w:p w14:paraId="5A930C8D">
      <w:pPr>
        <w:spacing w:line="240" w:lineRule="auto"/>
        <w:jc w:val="center"/>
        <w:outlineLvl w:val="1"/>
      </w:pPr>
      <w:r>
        <w:rPr>
          <w:rFonts w:ascii="黑体" w:hAnsi="黑体" w:eastAsia="黑体"/>
          <w:sz w:val="32"/>
        </w:rPr>
        <w:t>第二部分 部门决算情况说明</w:t>
      </w:r>
    </w:p>
    <w:p w14:paraId="7725FEE8">
      <w:pPr>
        <w:spacing w:line="640" w:lineRule="exact"/>
        <w:ind w:firstLine="640"/>
        <w:jc w:val="both"/>
        <w:outlineLvl w:val="2"/>
      </w:pPr>
      <w:r>
        <w:rPr>
          <w:rFonts w:ascii="黑体" w:hAnsi="黑体" w:eastAsia="黑体"/>
          <w:sz w:val="32"/>
        </w:rPr>
        <w:t>一、收入支出决算总体情况说明</w:t>
      </w:r>
    </w:p>
    <w:p w14:paraId="503C373C">
      <w:pPr>
        <w:spacing w:line="580" w:lineRule="exact"/>
        <w:ind w:firstLine="640"/>
        <w:jc w:val="both"/>
      </w:pPr>
      <w:r>
        <w:rPr>
          <w:rFonts w:ascii="仿宋_GB2312" w:hAnsi="仿宋_GB2312" w:eastAsia="仿宋_GB2312"/>
          <w:b/>
          <w:sz w:val="32"/>
        </w:rPr>
        <w:t>2024年度收入总计77.86万元，</w:t>
      </w:r>
      <w:r>
        <w:rPr>
          <w:rFonts w:ascii="仿宋_GB2312" w:hAnsi="仿宋_GB2312" w:eastAsia="仿宋_GB2312"/>
          <w:b w:val="0"/>
          <w:sz w:val="32"/>
        </w:rPr>
        <w:t>其中：本年收入合计77.86万元，使用非财政拨款结余（含专用结余）0.00万元，年初结转和结余0.00万元。</w:t>
      </w:r>
    </w:p>
    <w:p w14:paraId="01192490">
      <w:pPr>
        <w:spacing w:line="580" w:lineRule="exact"/>
        <w:ind w:firstLine="640"/>
        <w:jc w:val="both"/>
      </w:pPr>
      <w:r>
        <w:rPr>
          <w:rFonts w:ascii="仿宋_GB2312" w:hAnsi="仿宋_GB2312" w:eastAsia="仿宋_GB2312"/>
          <w:b/>
          <w:sz w:val="32"/>
        </w:rPr>
        <w:t>2024年度支出总计77.86万元，</w:t>
      </w:r>
      <w:r>
        <w:rPr>
          <w:rFonts w:ascii="仿宋_GB2312" w:hAnsi="仿宋_GB2312" w:eastAsia="仿宋_GB2312"/>
          <w:b w:val="0"/>
          <w:sz w:val="32"/>
        </w:rPr>
        <w:t>其中：本年支出合计77.86万元，结余分配0.00万元，年末结转和结余0.00万元。</w:t>
      </w:r>
    </w:p>
    <w:p w14:paraId="6A72616F">
      <w:pPr>
        <w:spacing w:line="580" w:lineRule="exact"/>
        <w:ind w:firstLine="640"/>
        <w:jc w:val="both"/>
      </w:pPr>
      <w:r>
        <w:rPr>
          <w:rFonts w:ascii="仿宋_GB2312" w:hAnsi="仿宋_GB2312" w:eastAsia="仿宋_GB2312"/>
          <w:b w:val="0"/>
          <w:sz w:val="32"/>
        </w:rPr>
        <w:t>收入支出总体与上年相比，减少1.27万元，下降1.60%，主要原因是：上年存在补发聘用人员社保医保，本年无此经费，故收入支出减少。</w:t>
      </w:r>
    </w:p>
    <w:p w14:paraId="458FA633">
      <w:pPr>
        <w:spacing w:line="640" w:lineRule="exact"/>
        <w:ind w:firstLine="640"/>
        <w:jc w:val="both"/>
        <w:outlineLvl w:val="2"/>
      </w:pPr>
      <w:r>
        <w:rPr>
          <w:rFonts w:ascii="黑体" w:hAnsi="黑体" w:eastAsia="黑体"/>
          <w:sz w:val="32"/>
        </w:rPr>
        <w:t>二、收入决算情况说明</w:t>
      </w:r>
    </w:p>
    <w:p w14:paraId="7FC50EEB">
      <w:pPr>
        <w:spacing w:line="580" w:lineRule="exact"/>
        <w:ind w:firstLine="640"/>
        <w:jc w:val="both"/>
      </w:pPr>
      <w:r>
        <w:rPr>
          <w:rFonts w:ascii="仿宋_GB2312" w:hAnsi="仿宋_GB2312" w:eastAsia="仿宋_GB2312"/>
          <w:b/>
          <w:sz w:val="32"/>
        </w:rPr>
        <w:t>本年收入77.86万元，</w:t>
      </w:r>
      <w:r>
        <w:rPr>
          <w:rFonts w:ascii="仿宋_GB2312" w:hAnsi="仿宋_GB2312" w:eastAsia="仿宋_GB2312"/>
          <w:b w:val="0"/>
          <w:sz w:val="32"/>
        </w:rPr>
        <w:t>其中：财政拨款收入77.86万元，占100.00%；上级补助收入0.00万元，占0.00%；事业收入0.00万元，占0.00%；经营收入0.00万元，占0.00%；附属单位上缴收入0.00万元，占0.00%；其他收入0.00万元，占0.00%。</w:t>
      </w:r>
    </w:p>
    <w:p w14:paraId="30C54A5F">
      <w:pPr>
        <w:spacing w:line="640" w:lineRule="exact"/>
        <w:ind w:firstLine="640"/>
        <w:jc w:val="both"/>
        <w:outlineLvl w:val="2"/>
      </w:pPr>
      <w:r>
        <w:rPr>
          <w:rFonts w:ascii="黑体" w:hAnsi="黑体" w:eastAsia="黑体"/>
          <w:sz w:val="32"/>
        </w:rPr>
        <w:t>三、支出决算情况说明</w:t>
      </w:r>
    </w:p>
    <w:p w14:paraId="79177C04">
      <w:pPr>
        <w:spacing w:line="580" w:lineRule="exact"/>
        <w:ind w:firstLine="640"/>
        <w:jc w:val="both"/>
      </w:pPr>
      <w:r>
        <w:rPr>
          <w:rFonts w:ascii="仿宋_GB2312" w:hAnsi="仿宋_GB2312" w:eastAsia="仿宋_GB2312"/>
          <w:b/>
          <w:sz w:val="32"/>
        </w:rPr>
        <w:t>本年支出77.86万元，</w:t>
      </w:r>
      <w:r>
        <w:rPr>
          <w:rFonts w:ascii="仿宋_GB2312" w:hAnsi="仿宋_GB2312" w:eastAsia="仿宋_GB2312"/>
          <w:b w:val="0"/>
          <w:sz w:val="32"/>
        </w:rPr>
        <w:t>其中：基本支出77.86万元，占100.00%；项目支出0.00万元，占0.00%；上缴上级支出0.00万元，占0.00%；经营支出0.00万元，占0.00%；对附属单位补助支出0.00万元，占0.00%。</w:t>
      </w:r>
    </w:p>
    <w:p w14:paraId="1D97C447">
      <w:pPr>
        <w:spacing w:line="640" w:lineRule="exact"/>
        <w:ind w:firstLine="640"/>
        <w:jc w:val="both"/>
        <w:outlineLvl w:val="2"/>
      </w:pPr>
      <w:r>
        <w:rPr>
          <w:rFonts w:ascii="黑体" w:hAnsi="黑体" w:eastAsia="黑体"/>
          <w:sz w:val="32"/>
        </w:rPr>
        <w:t>四、财政拨款收入支出决算总体情况说明</w:t>
      </w:r>
    </w:p>
    <w:p w14:paraId="54076858">
      <w:pPr>
        <w:spacing w:line="580" w:lineRule="exact"/>
        <w:ind w:firstLine="640"/>
        <w:jc w:val="both"/>
      </w:pPr>
      <w:r>
        <w:rPr>
          <w:rFonts w:ascii="仿宋_GB2312" w:hAnsi="仿宋_GB2312" w:eastAsia="仿宋_GB2312"/>
          <w:b/>
          <w:sz w:val="32"/>
        </w:rPr>
        <w:t>2024年度财政拨款收入总计77.86万元，</w:t>
      </w:r>
      <w:r>
        <w:rPr>
          <w:rFonts w:ascii="仿宋_GB2312" w:hAnsi="仿宋_GB2312" w:eastAsia="仿宋_GB2312"/>
          <w:b w:val="0"/>
          <w:sz w:val="32"/>
        </w:rPr>
        <w:t>其中：年初财政拨款结转和结余0.00万元，本年财政拨款收入77.86万元。</w:t>
      </w:r>
      <w:r>
        <w:rPr>
          <w:rFonts w:ascii="仿宋_GB2312" w:hAnsi="仿宋_GB2312" w:eastAsia="仿宋_GB2312"/>
          <w:b/>
          <w:sz w:val="32"/>
        </w:rPr>
        <w:t>财政拨款支出总计77.86万元，</w:t>
      </w:r>
      <w:r>
        <w:rPr>
          <w:rFonts w:ascii="仿宋_GB2312" w:hAnsi="仿宋_GB2312" w:eastAsia="仿宋_GB2312"/>
          <w:b w:val="0"/>
          <w:sz w:val="32"/>
        </w:rPr>
        <w:t>其中：年末财政拨款结转和结余0.00万元，本年财政拨款支出77.86万元。</w:t>
      </w:r>
    </w:p>
    <w:p w14:paraId="06E239E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减少1.27万元，下降1.60%，主要原因是：上年存在补发聘用人员社保医保，本年无此经费，故收入支出减少。</w:t>
      </w:r>
      <w:r>
        <w:rPr>
          <w:rFonts w:ascii="仿宋_GB2312" w:hAnsi="仿宋_GB2312" w:eastAsia="仿宋_GB2312"/>
          <w:b/>
          <w:sz w:val="32"/>
        </w:rPr>
        <w:t>与年初预算相比，</w:t>
      </w:r>
      <w:r>
        <w:rPr>
          <w:rFonts w:ascii="仿宋_GB2312" w:hAnsi="仿宋_GB2312" w:eastAsia="仿宋_GB2312"/>
          <w:b w:val="0"/>
          <w:sz w:val="32"/>
        </w:rPr>
        <w:t>年初预算数74.58万元，决算数77.86万元，预决算差异率4.40%，主要原因是：年中追加人员工资、社保、公积金基数调增部分资金，导致预决算存在差异。</w:t>
      </w:r>
    </w:p>
    <w:p w14:paraId="536B7BBD">
      <w:pPr>
        <w:spacing w:line="640" w:lineRule="exact"/>
        <w:ind w:firstLine="640"/>
        <w:jc w:val="both"/>
        <w:outlineLvl w:val="2"/>
      </w:pPr>
      <w:r>
        <w:rPr>
          <w:rFonts w:ascii="黑体" w:hAnsi="黑体" w:eastAsia="黑体"/>
          <w:sz w:val="32"/>
        </w:rPr>
        <w:t>五、一般公共预算财政拨款支出决算情况说明</w:t>
      </w:r>
    </w:p>
    <w:p w14:paraId="1CC0F015">
      <w:pPr>
        <w:spacing w:line="640" w:lineRule="exact"/>
        <w:ind w:firstLine="640"/>
        <w:jc w:val="both"/>
        <w:outlineLvl w:val="3"/>
      </w:pPr>
      <w:r>
        <w:rPr>
          <w:rFonts w:ascii="楷体_GB2312" w:hAnsi="楷体_GB2312" w:eastAsia="楷体_GB2312"/>
          <w:b/>
          <w:sz w:val="32"/>
        </w:rPr>
        <w:t>（一）一般公共预算财政拨款支出决算总体情况</w:t>
      </w:r>
    </w:p>
    <w:p w14:paraId="49103BA3">
      <w:pPr>
        <w:spacing w:line="580" w:lineRule="exact"/>
        <w:ind w:firstLine="640"/>
        <w:jc w:val="both"/>
      </w:pPr>
      <w:r>
        <w:rPr>
          <w:rFonts w:ascii="仿宋_GB2312" w:hAnsi="仿宋_GB2312" w:eastAsia="仿宋_GB2312"/>
          <w:b/>
          <w:sz w:val="32"/>
        </w:rPr>
        <w:t>2024年度一般公共预算财政拨款支出77.86万元，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减少1.27万元，下降1.60%，主要原因是：上年存在补发聘用人员社保医保，本年无此经费，故支出减少。</w:t>
      </w:r>
      <w:r>
        <w:rPr>
          <w:rFonts w:ascii="仿宋_GB2312" w:hAnsi="仿宋_GB2312" w:eastAsia="仿宋_GB2312"/>
          <w:b/>
          <w:sz w:val="32"/>
        </w:rPr>
        <w:t>与年初预算相比,</w:t>
      </w:r>
      <w:r>
        <w:rPr>
          <w:rFonts w:ascii="仿宋_GB2312" w:hAnsi="仿宋_GB2312" w:eastAsia="仿宋_GB2312"/>
          <w:b w:val="0"/>
          <w:sz w:val="32"/>
        </w:rPr>
        <w:t>年初预算数74.58万元，决算数77.86万元，预决算差异率4.40%，主要原因是：年中追加人员工资、社保、公积金基数调增部分资金，导致预决算存在差异。</w:t>
      </w:r>
    </w:p>
    <w:p w14:paraId="69AA1432">
      <w:pPr>
        <w:spacing w:line="640" w:lineRule="exact"/>
        <w:ind w:firstLine="640"/>
        <w:jc w:val="both"/>
        <w:outlineLvl w:val="3"/>
      </w:pPr>
      <w:r>
        <w:rPr>
          <w:rFonts w:ascii="楷体_GB2312" w:hAnsi="楷体_GB2312" w:eastAsia="楷体_GB2312"/>
          <w:b/>
          <w:sz w:val="32"/>
        </w:rPr>
        <w:t>（二）一般公共预算财政拨款支出决算结构情况</w:t>
      </w:r>
    </w:p>
    <w:p w14:paraId="7BBBBDCA">
      <w:pPr>
        <w:spacing w:line="580" w:lineRule="exact"/>
        <w:ind w:firstLine="640"/>
        <w:jc w:val="both"/>
      </w:pPr>
      <w:r>
        <w:rPr>
          <w:rFonts w:ascii="仿宋_GB2312" w:hAnsi="仿宋_GB2312" w:eastAsia="仿宋_GB2312"/>
          <w:b w:val="0"/>
          <w:sz w:val="32"/>
        </w:rPr>
        <w:t>1.社会保障和就业支出(类)6.44万元,占8.27%。</w:t>
      </w:r>
    </w:p>
    <w:p w14:paraId="4E006F14">
      <w:pPr>
        <w:spacing w:line="580" w:lineRule="exact"/>
        <w:ind w:firstLine="640"/>
        <w:jc w:val="both"/>
      </w:pPr>
      <w:r>
        <w:rPr>
          <w:rFonts w:ascii="仿宋_GB2312" w:hAnsi="仿宋_GB2312" w:eastAsia="仿宋_GB2312"/>
          <w:b w:val="0"/>
          <w:sz w:val="32"/>
        </w:rPr>
        <w:t>2.卫生健康支出(类)71.42万元,占91.73%。</w:t>
      </w:r>
    </w:p>
    <w:p w14:paraId="206AD897">
      <w:pPr>
        <w:spacing w:line="640" w:lineRule="exact"/>
        <w:ind w:firstLine="640"/>
        <w:jc w:val="both"/>
        <w:outlineLvl w:val="3"/>
      </w:pPr>
      <w:r>
        <w:rPr>
          <w:rFonts w:ascii="楷体_GB2312" w:hAnsi="楷体_GB2312" w:eastAsia="楷体_GB2312"/>
          <w:b/>
          <w:sz w:val="32"/>
        </w:rPr>
        <w:t>（三）一般公共预算财政拨款支出决算具体情况</w:t>
      </w:r>
    </w:p>
    <w:p w14:paraId="3BECA870">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6.31万元，比上年决算增加0.38万元，增长6.41%,主要原因是：本年在职人员工资基数调增，养老缴费基数上涨，相应支出增加。</w:t>
      </w:r>
    </w:p>
    <w:p w14:paraId="7AEEBD2F">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0.13万元，比上年决算增加0.13万元，增长100.00%,主要原因是：本年补缴以前年度退休人员职业年金，导致经费较上年增加。</w:t>
      </w:r>
    </w:p>
    <w:p w14:paraId="5005AF26">
      <w:pPr>
        <w:spacing w:line="580" w:lineRule="exact"/>
        <w:ind w:firstLine="640"/>
        <w:jc w:val="both"/>
      </w:pPr>
      <w:r>
        <w:rPr>
          <w:rFonts w:ascii="仿宋_GB2312" w:hAnsi="仿宋_GB2312" w:eastAsia="仿宋_GB2312"/>
          <w:b w:val="0"/>
          <w:sz w:val="32"/>
        </w:rPr>
        <w:t>3.卫生健康支出(类)基层医疗卫生机构(款)乡镇卫生院(项):支出决算数为71.42万元，比上年决算减少1.23万元，下降1.69%,主要原因是：上年存在补发聘用人员社保医保，本年无此经费，故支出减少。</w:t>
      </w:r>
    </w:p>
    <w:p w14:paraId="1586F26A">
      <w:pPr>
        <w:spacing w:line="580" w:lineRule="exact"/>
        <w:ind w:firstLine="640"/>
        <w:jc w:val="both"/>
      </w:pPr>
      <w:r>
        <w:rPr>
          <w:rFonts w:ascii="仿宋_GB2312" w:hAnsi="仿宋_GB2312" w:eastAsia="仿宋_GB2312"/>
          <w:b w:val="0"/>
          <w:sz w:val="32"/>
        </w:rPr>
        <w:t>4.卫生健康支出(类)行政事业单位医疗(款)事业单位医疗(项):支出决算数为0.00万元，比上年决算减少0.50万元，下降100.00%,主要原因是：本年功能科目调整，事业单位医疗上年度单独列支，本年调整至主科目列支，导致经费较上年减少。</w:t>
      </w:r>
    </w:p>
    <w:p w14:paraId="3E971DB3">
      <w:pPr>
        <w:spacing w:line="580" w:lineRule="exact"/>
        <w:ind w:firstLine="640"/>
        <w:jc w:val="both"/>
      </w:pPr>
      <w:r>
        <w:rPr>
          <w:rFonts w:ascii="仿宋_GB2312" w:hAnsi="仿宋_GB2312" w:eastAsia="仿宋_GB2312"/>
          <w:b w:val="0"/>
          <w:sz w:val="32"/>
        </w:rPr>
        <w:t>5.住房保障支出(类)住房改革支出(款)住房公积金(项):支出决算数为0.00万元，比上年决算减少0.05万元，下降100.00%,主要原因是：本年功能科目调整，住房公积金上年度单独列支，本年调整至主科目列支，导致经费较上年减少。</w:t>
      </w:r>
    </w:p>
    <w:p w14:paraId="7FDB8889">
      <w:pPr>
        <w:spacing w:line="640" w:lineRule="exact"/>
        <w:ind w:firstLine="640"/>
        <w:jc w:val="both"/>
        <w:outlineLvl w:val="2"/>
      </w:pPr>
      <w:r>
        <w:rPr>
          <w:rFonts w:ascii="黑体" w:hAnsi="黑体" w:eastAsia="黑体"/>
          <w:sz w:val="32"/>
        </w:rPr>
        <w:t>六、一般公共预算财政拨款基本支出决算情况说明</w:t>
      </w:r>
    </w:p>
    <w:p w14:paraId="78EE1DA0">
      <w:pPr>
        <w:spacing w:line="580" w:lineRule="exact"/>
        <w:ind w:firstLine="640"/>
        <w:jc w:val="both"/>
      </w:pPr>
      <w:r>
        <w:rPr>
          <w:rFonts w:ascii="仿宋_GB2312" w:hAnsi="仿宋_GB2312" w:eastAsia="仿宋_GB2312"/>
          <w:b w:val="0"/>
          <w:sz w:val="32"/>
        </w:rPr>
        <w:t>2024年度一般公共预算财政拨款基本支出77.86万元，其中：</w:t>
      </w:r>
      <w:r>
        <w:rPr>
          <w:rFonts w:ascii="仿宋_GB2312" w:hAnsi="仿宋_GB2312" w:eastAsia="仿宋_GB2312"/>
          <w:b/>
          <w:sz w:val="32"/>
        </w:rPr>
        <w:t>人员经费77.86万元，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w:t>
      </w:r>
    </w:p>
    <w:p w14:paraId="14843687">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D650157">
      <w:pPr>
        <w:spacing w:line="640" w:lineRule="exact"/>
        <w:ind w:firstLine="640"/>
        <w:jc w:val="both"/>
        <w:outlineLvl w:val="2"/>
      </w:pPr>
      <w:r>
        <w:rPr>
          <w:rFonts w:ascii="黑体" w:hAnsi="黑体" w:eastAsia="黑体"/>
          <w:sz w:val="32"/>
        </w:rPr>
        <w:t>七、政府性基金预算财政拨款收入支出决算情况说明</w:t>
      </w:r>
    </w:p>
    <w:p w14:paraId="4F97D4A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DCAAD2E">
      <w:pPr>
        <w:spacing w:line="640" w:lineRule="exact"/>
        <w:ind w:firstLine="640"/>
        <w:jc w:val="both"/>
        <w:outlineLvl w:val="2"/>
      </w:pPr>
      <w:r>
        <w:rPr>
          <w:rFonts w:ascii="黑体" w:hAnsi="黑体" w:eastAsia="黑体"/>
          <w:sz w:val="32"/>
        </w:rPr>
        <w:t>八、国有资本经营预算财政拨款收入支出决算情况说明</w:t>
      </w:r>
    </w:p>
    <w:p w14:paraId="58ADC9A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27323BB">
      <w:pPr>
        <w:spacing w:line="640" w:lineRule="exact"/>
        <w:ind w:firstLine="640"/>
        <w:jc w:val="both"/>
        <w:outlineLvl w:val="2"/>
      </w:pPr>
      <w:r>
        <w:rPr>
          <w:rFonts w:ascii="黑体" w:hAnsi="黑体" w:eastAsia="黑体"/>
          <w:sz w:val="32"/>
        </w:rPr>
        <w:t>九、财政拨款“三公”经费支出决算情况说明</w:t>
      </w:r>
    </w:p>
    <w:p w14:paraId="15D4FB1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6E61F45">
      <w:pPr>
        <w:spacing w:line="580" w:lineRule="exact"/>
        <w:ind w:firstLine="640"/>
        <w:jc w:val="both"/>
      </w:pPr>
      <w:r>
        <w:rPr>
          <w:rFonts w:ascii="仿宋_GB2312" w:hAnsi="仿宋_GB2312" w:eastAsia="仿宋_GB2312"/>
          <w:b/>
          <w:sz w:val="32"/>
        </w:rPr>
        <w:t>具体情况如下：</w:t>
      </w:r>
    </w:p>
    <w:p w14:paraId="76A8CCF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E04CF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3C8D89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91FF46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119AAD6A">
      <w:pPr>
        <w:spacing w:line="640" w:lineRule="exact"/>
        <w:ind w:firstLine="640"/>
        <w:jc w:val="both"/>
        <w:outlineLvl w:val="2"/>
      </w:pPr>
      <w:r>
        <w:rPr>
          <w:rFonts w:ascii="黑体" w:hAnsi="黑体" w:eastAsia="黑体"/>
          <w:sz w:val="32"/>
        </w:rPr>
        <w:t>十、其他重要事项的情况说明</w:t>
      </w:r>
    </w:p>
    <w:p w14:paraId="15B0144C">
      <w:pPr>
        <w:spacing w:line="640" w:lineRule="exact"/>
        <w:ind w:firstLine="640"/>
        <w:jc w:val="both"/>
        <w:outlineLvl w:val="3"/>
      </w:pPr>
      <w:r>
        <w:rPr>
          <w:rFonts w:ascii="楷体_GB2312" w:hAnsi="楷体_GB2312" w:eastAsia="楷体_GB2312"/>
          <w:b/>
          <w:sz w:val="32"/>
        </w:rPr>
        <w:t>（一）机关运行经费及公用经费支出情况</w:t>
      </w:r>
    </w:p>
    <w:p w14:paraId="196C1499">
      <w:pPr>
        <w:spacing w:line="580" w:lineRule="exact"/>
        <w:ind w:firstLine="640"/>
        <w:jc w:val="both"/>
      </w:pPr>
      <w:r>
        <w:rPr>
          <w:rFonts w:ascii="仿宋_GB2312" w:hAnsi="仿宋_GB2312" w:eastAsia="仿宋_GB2312"/>
          <w:b w:val="0"/>
          <w:sz w:val="32"/>
        </w:rPr>
        <w:t>2024年度塔什库尔干塔吉克自治县塔合曼温泉疗养院（事业单位）公用经费支出0.00万元，比上年增加0.00万元，增长0.00%，主要原因是：2023年与2024年均未安排公用经费支出。</w:t>
      </w:r>
    </w:p>
    <w:p w14:paraId="488FAE17">
      <w:pPr>
        <w:spacing w:line="640" w:lineRule="exact"/>
        <w:ind w:firstLine="640"/>
        <w:jc w:val="both"/>
        <w:outlineLvl w:val="3"/>
      </w:pPr>
      <w:r>
        <w:rPr>
          <w:rFonts w:ascii="楷体_GB2312" w:hAnsi="楷体_GB2312" w:eastAsia="楷体_GB2312"/>
          <w:b/>
          <w:sz w:val="32"/>
        </w:rPr>
        <w:t>（二）政府采购情况</w:t>
      </w:r>
    </w:p>
    <w:p w14:paraId="1238649A">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2BC5B01">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427DE17">
      <w:pPr>
        <w:spacing w:line="640" w:lineRule="exact"/>
        <w:ind w:firstLine="640"/>
        <w:jc w:val="both"/>
        <w:outlineLvl w:val="3"/>
      </w:pPr>
      <w:r>
        <w:rPr>
          <w:rFonts w:ascii="楷体_GB2312" w:hAnsi="楷体_GB2312" w:eastAsia="楷体_GB2312"/>
          <w:b/>
          <w:sz w:val="32"/>
        </w:rPr>
        <w:t>（三）国有资产占用情况说明</w:t>
      </w:r>
    </w:p>
    <w:p w14:paraId="6F0E703B">
      <w:pPr>
        <w:spacing w:line="580" w:lineRule="exact"/>
        <w:ind w:firstLine="640"/>
        <w:jc w:val="both"/>
      </w:pPr>
      <w:r>
        <w:rPr>
          <w:rFonts w:ascii="仿宋_GB2312" w:hAnsi="仿宋_GB2312" w:eastAsia="仿宋_GB2312"/>
          <w:b w:val="0"/>
          <w:sz w:val="32"/>
        </w:rPr>
        <w:t>截至2024年12月31日，房屋691.47平方米，价值103.90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9AF2169">
      <w:pPr>
        <w:spacing w:line="640" w:lineRule="exact"/>
        <w:ind w:firstLine="640"/>
        <w:jc w:val="both"/>
        <w:outlineLvl w:val="2"/>
      </w:pPr>
      <w:r>
        <w:rPr>
          <w:rFonts w:ascii="黑体" w:hAnsi="黑体" w:eastAsia="黑体"/>
          <w:sz w:val="32"/>
        </w:rPr>
        <w:t>十一、预算绩效的情况说明</w:t>
      </w:r>
    </w:p>
    <w:p w14:paraId="17118E43">
      <w:pPr>
        <w:spacing w:line="580" w:lineRule="exact"/>
        <w:ind w:firstLine="640"/>
        <w:jc w:val="both"/>
      </w:pPr>
      <w:r>
        <w:rPr>
          <w:rFonts w:ascii="仿宋_GB2312" w:hAnsi="仿宋_GB2312" w:eastAsia="仿宋_GB2312"/>
          <w:b w:val="0"/>
          <w:sz w:val="32"/>
        </w:rPr>
        <w:t>根据预算绩效管理要求，</w:t>
      </w:r>
      <w:r>
        <w:rPr>
          <w:rFonts w:hint="eastAsia" w:ascii="仿宋_GB2312" w:hAnsi="仿宋_GB2312" w:eastAsia="仿宋_GB2312"/>
          <w:b w:val="0"/>
          <w:sz w:val="32"/>
          <w:lang w:val="en-US" w:eastAsia="zh-CN"/>
        </w:rPr>
        <w:t>本单位</w:t>
      </w:r>
      <w:r>
        <w:rPr>
          <w:rFonts w:ascii="仿宋_GB2312" w:hAnsi="仿宋_GB2312" w:eastAsia="仿宋_GB2312"/>
          <w:b w:val="0"/>
          <w:sz w:val="32"/>
        </w:rPr>
        <w:t>预算绩效评价项目0个，全年预算数0.00万元，全年执行数0.00万元。预算绩效管理取得的成效：2024年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单位无预算绩效项目。发现的问题及原因：2024年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单位无预算绩效项目。下一步改进措施：2024年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w:t>
      </w:r>
    </w:p>
    <w:p w14:paraId="6AD9C16A">
      <w:r>
        <w:br w:type="page"/>
      </w:r>
    </w:p>
    <w:p w14:paraId="1B2667EF">
      <w:pPr>
        <w:spacing w:line="640" w:lineRule="exact"/>
        <w:ind w:firstLine="640"/>
        <w:jc w:val="both"/>
        <w:outlineLvl w:val="2"/>
      </w:pPr>
      <w:r>
        <w:rPr>
          <w:rFonts w:ascii="黑体" w:hAnsi="黑体" w:eastAsia="黑体"/>
          <w:sz w:val="32"/>
        </w:rPr>
        <w:t>十二、其他需说明的事项</w:t>
      </w:r>
    </w:p>
    <w:p w14:paraId="5FA93C3A">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本年度本单位整体绩效自评表由塔什库尔干塔吉克自治县卫生健康委员会（部门）编报并公开。</w:t>
      </w:r>
    </w:p>
    <w:p w14:paraId="3A3FD1B3">
      <w:pPr>
        <w:spacing w:line="580" w:lineRule="exact"/>
        <w:ind w:firstLine="640"/>
        <w:jc w:val="both"/>
        <w:rPr>
          <w:rFonts w:hint="eastAsia" w:eastAsia="仿宋_GB2312"/>
          <w:lang w:eastAsia="zh-CN"/>
        </w:rPr>
      </w:pPr>
      <w:r>
        <w:rPr>
          <w:rFonts w:ascii="仿宋_GB2312" w:hAnsi="仿宋_GB2312" w:eastAsia="仿宋_GB2312"/>
          <w:b w:val="0"/>
          <w:sz w:val="32"/>
        </w:rPr>
        <w:t>本单位2024年度无政府采购支出，授予中小企业合同金额0.00万元</w:t>
      </w:r>
      <w:r>
        <w:rPr>
          <w:rFonts w:hint="eastAsia" w:ascii="仿宋_GB2312" w:hAnsi="仿宋_GB2312" w:eastAsia="仿宋_GB2312"/>
          <w:b w:val="0"/>
          <w:sz w:val="32"/>
          <w:lang w:eastAsia="zh-CN"/>
        </w:rPr>
        <w:t>。</w:t>
      </w:r>
    </w:p>
    <w:p w14:paraId="7407A117">
      <w:r>
        <w:br w:type="page"/>
      </w:r>
    </w:p>
    <w:p w14:paraId="7CBCF616">
      <w:pPr>
        <w:spacing w:line="240" w:lineRule="auto"/>
        <w:jc w:val="center"/>
        <w:outlineLvl w:val="1"/>
      </w:pPr>
      <w:r>
        <w:rPr>
          <w:rFonts w:ascii="黑体" w:hAnsi="黑体" w:eastAsia="黑体"/>
          <w:sz w:val="32"/>
        </w:rPr>
        <w:t>第三部分 专业名词解释</w:t>
      </w:r>
    </w:p>
    <w:p w14:paraId="6AC1AF6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6EA2F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44F038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AAB628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09AA11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78FFCE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E4FD4A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986C7D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A0EE6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49622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30015D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F88F41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D21C04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2AC3E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7F1B781">
      <w:r>
        <w:br w:type="page"/>
      </w:r>
    </w:p>
    <w:p w14:paraId="35BF0E64">
      <w:pPr>
        <w:spacing w:line="240" w:lineRule="auto"/>
        <w:jc w:val="center"/>
        <w:outlineLvl w:val="1"/>
      </w:pPr>
      <w:r>
        <w:rPr>
          <w:rFonts w:ascii="黑体" w:hAnsi="黑体" w:eastAsia="黑体"/>
          <w:sz w:val="32"/>
        </w:rPr>
        <w:t>第四部分 部门决算报表（见附表）</w:t>
      </w:r>
    </w:p>
    <w:p w14:paraId="4DED391D">
      <w:pPr>
        <w:spacing w:line="240" w:lineRule="auto"/>
        <w:ind w:firstLine="640"/>
        <w:jc w:val="both"/>
      </w:pPr>
      <w:r>
        <w:rPr>
          <w:rFonts w:ascii="仿宋_GB2312" w:hAnsi="仿宋_GB2312" w:eastAsia="仿宋_GB2312"/>
          <w:b w:val="0"/>
          <w:sz w:val="32"/>
        </w:rPr>
        <w:t>一、《收入支出决算总表》</w:t>
      </w:r>
    </w:p>
    <w:p w14:paraId="5A516ACE">
      <w:pPr>
        <w:spacing w:line="240" w:lineRule="auto"/>
        <w:ind w:firstLine="640"/>
        <w:jc w:val="both"/>
      </w:pPr>
      <w:r>
        <w:rPr>
          <w:rFonts w:ascii="仿宋_GB2312" w:hAnsi="仿宋_GB2312" w:eastAsia="仿宋_GB2312"/>
          <w:b w:val="0"/>
          <w:sz w:val="32"/>
        </w:rPr>
        <w:t>二、《收入决算表》</w:t>
      </w:r>
    </w:p>
    <w:p w14:paraId="3AC8A2B6">
      <w:pPr>
        <w:spacing w:line="240" w:lineRule="auto"/>
        <w:ind w:firstLine="640"/>
        <w:jc w:val="both"/>
      </w:pPr>
      <w:r>
        <w:rPr>
          <w:rFonts w:ascii="仿宋_GB2312" w:hAnsi="仿宋_GB2312" w:eastAsia="仿宋_GB2312"/>
          <w:b w:val="0"/>
          <w:sz w:val="32"/>
        </w:rPr>
        <w:t>三、《支出决算表》</w:t>
      </w:r>
    </w:p>
    <w:p w14:paraId="39868F40">
      <w:pPr>
        <w:spacing w:line="240" w:lineRule="auto"/>
        <w:ind w:firstLine="640"/>
        <w:jc w:val="both"/>
      </w:pPr>
      <w:r>
        <w:rPr>
          <w:rFonts w:ascii="仿宋_GB2312" w:hAnsi="仿宋_GB2312" w:eastAsia="仿宋_GB2312"/>
          <w:b w:val="0"/>
          <w:sz w:val="32"/>
        </w:rPr>
        <w:t>四、《财政拨款收入支出决算总表》</w:t>
      </w:r>
    </w:p>
    <w:p w14:paraId="3B96F223">
      <w:pPr>
        <w:spacing w:line="240" w:lineRule="auto"/>
        <w:ind w:firstLine="640"/>
        <w:jc w:val="both"/>
      </w:pPr>
      <w:r>
        <w:rPr>
          <w:rFonts w:ascii="仿宋_GB2312" w:hAnsi="仿宋_GB2312" w:eastAsia="仿宋_GB2312"/>
          <w:b w:val="0"/>
          <w:sz w:val="32"/>
        </w:rPr>
        <w:t>五、《一般公共预算财政拨款支出决算表》</w:t>
      </w:r>
    </w:p>
    <w:p w14:paraId="231FDE72">
      <w:pPr>
        <w:spacing w:line="240" w:lineRule="auto"/>
        <w:ind w:firstLine="640"/>
        <w:jc w:val="both"/>
      </w:pPr>
      <w:r>
        <w:rPr>
          <w:rFonts w:ascii="仿宋_GB2312" w:hAnsi="仿宋_GB2312" w:eastAsia="仿宋_GB2312"/>
          <w:b w:val="0"/>
          <w:sz w:val="32"/>
        </w:rPr>
        <w:t>六、《一般公共预算财政拨款基本支出决算表》</w:t>
      </w:r>
    </w:p>
    <w:p w14:paraId="1EFA1C22">
      <w:pPr>
        <w:spacing w:line="240" w:lineRule="auto"/>
        <w:ind w:firstLine="640"/>
        <w:jc w:val="both"/>
      </w:pPr>
      <w:r>
        <w:rPr>
          <w:rFonts w:ascii="仿宋_GB2312" w:hAnsi="仿宋_GB2312" w:eastAsia="仿宋_GB2312"/>
          <w:b w:val="0"/>
          <w:sz w:val="32"/>
        </w:rPr>
        <w:t>七、《政府性基金预算财政拨款收入支出决算表》</w:t>
      </w:r>
    </w:p>
    <w:p w14:paraId="51424997">
      <w:pPr>
        <w:spacing w:line="240" w:lineRule="auto"/>
        <w:ind w:firstLine="640"/>
        <w:jc w:val="both"/>
      </w:pPr>
      <w:r>
        <w:rPr>
          <w:rFonts w:ascii="仿宋_GB2312" w:hAnsi="仿宋_GB2312" w:eastAsia="仿宋_GB2312"/>
          <w:b w:val="0"/>
          <w:sz w:val="32"/>
        </w:rPr>
        <w:t>八、《国有资本经营预算财政拨款收入支出决算表》</w:t>
      </w:r>
    </w:p>
    <w:p w14:paraId="1561AAA9">
      <w:pPr>
        <w:spacing w:line="240" w:lineRule="auto"/>
        <w:ind w:firstLine="640"/>
        <w:jc w:val="both"/>
      </w:pPr>
      <w:r>
        <w:rPr>
          <w:rFonts w:ascii="仿宋_GB2312" w:hAnsi="仿宋_GB2312" w:eastAsia="仿宋_GB2312"/>
          <w:b w:val="0"/>
          <w:sz w:val="32"/>
        </w:rPr>
        <w:t>九、《财政拨款“三公”经费支出决算表》</w:t>
      </w:r>
    </w:p>
    <w:p w14:paraId="333EAC76">
      <w:pPr>
        <w:spacing w:line="240" w:lineRule="auto"/>
        <w:ind w:firstLine="640"/>
        <w:jc w:val="both"/>
      </w:pPr>
    </w:p>
    <w:p w14:paraId="7009048E">
      <w:pPr>
        <w:spacing w:line="240" w:lineRule="auto"/>
        <w:ind w:firstLine="640"/>
        <w:jc w:val="both"/>
      </w:pPr>
    </w:p>
    <w:p w14:paraId="69ED0AD2">
      <w:pPr>
        <w:spacing w:line="240" w:lineRule="auto"/>
        <w:ind w:firstLine="640"/>
        <w:jc w:val="both"/>
      </w:pPr>
    </w:p>
    <w:p w14:paraId="4E36C36F">
      <w:pPr>
        <w:spacing w:line="240" w:lineRule="auto"/>
        <w:ind w:firstLine="640"/>
        <w:jc w:val="both"/>
      </w:pPr>
    </w:p>
    <w:p w14:paraId="7A3EA5E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C98B979-797A-40B2-A692-909C6D616F3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4A40BEA-F788-42D4-9D63-4D841EFD38A4}"/>
  </w:font>
  <w:font w:name="仿宋_GB2312">
    <w:panose1 w:val="02010609030101010101"/>
    <w:charset w:val="86"/>
    <w:family w:val="auto"/>
    <w:pitch w:val="default"/>
    <w:sig w:usb0="00000001" w:usb1="080E0000" w:usb2="00000000" w:usb3="00000000" w:csb0="00040000" w:csb1="00000000"/>
    <w:embedRegular r:id="rId3" w:fontKey="{716DBD2A-B3B2-488D-BCB0-94FD9840F0FC}"/>
  </w:font>
  <w:font w:name="楷体_GB2312">
    <w:panose1 w:val="02010609030101010101"/>
    <w:charset w:val="86"/>
    <w:family w:val="auto"/>
    <w:pitch w:val="default"/>
    <w:sig w:usb0="00000001" w:usb1="080E0000" w:usb2="00000000" w:usb3="00000000" w:csb0="00040000" w:csb1="00000000"/>
    <w:embedRegular r:id="rId4" w:fontKey="{1420B6F6-9569-474D-9F02-B22483D2A58D}"/>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9270E7"/>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D34A49"/>
    <w:rsid w:val="2A053397"/>
    <w:rsid w:val="2A444FB1"/>
    <w:rsid w:val="2A6064E2"/>
    <w:rsid w:val="2C1965E9"/>
    <w:rsid w:val="2D1136DF"/>
    <w:rsid w:val="2D457CC6"/>
    <w:rsid w:val="2DAE0E44"/>
    <w:rsid w:val="2F3A3BDD"/>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C5563C3"/>
    <w:rsid w:val="5FA17648"/>
    <w:rsid w:val="5FD320BD"/>
    <w:rsid w:val="60DE4D57"/>
    <w:rsid w:val="613409CB"/>
    <w:rsid w:val="61A46A97"/>
    <w:rsid w:val="62DD7D21"/>
    <w:rsid w:val="64C93B89"/>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C923CA"/>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4795</Words>
  <Characters>5352</Characters>
  <Lines>0</Lines>
  <Paragraphs>0</Paragraphs>
  <TotalTime>1</TotalTime>
  <ScaleCrop>false</ScaleCrop>
  <LinksUpToDate>false</LinksUpToDate>
  <CharactersWithSpaces>5362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