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6279A2">
      <w:pPr>
        <w:spacing w:line="570" w:lineRule="exact"/>
        <w:jc w:val="center"/>
        <w:rPr>
          <w:rFonts w:ascii="华文中宋" w:hAnsi="华文中宋" w:eastAsia="华文中宋" w:cs="宋体"/>
          <w:b/>
          <w:kern w:val="0"/>
          <w:sz w:val="52"/>
          <w:szCs w:val="52"/>
        </w:rPr>
      </w:pPr>
    </w:p>
    <w:p w14:paraId="40D627E7">
      <w:pPr>
        <w:spacing w:line="570" w:lineRule="exact"/>
        <w:jc w:val="center"/>
        <w:rPr>
          <w:rFonts w:ascii="华文中宋" w:hAnsi="华文中宋" w:eastAsia="华文中宋" w:cs="宋体"/>
          <w:b/>
          <w:kern w:val="0"/>
          <w:sz w:val="52"/>
          <w:szCs w:val="52"/>
        </w:rPr>
      </w:pPr>
    </w:p>
    <w:p w14:paraId="324E79FA">
      <w:pPr>
        <w:spacing w:line="570" w:lineRule="exact"/>
        <w:jc w:val="center"/>
        <w:rPr>
          <w:rFonts w:ascii="华文中宋" w:hAnsi="华文中宋" w:eastAsia="华文中宋" w:cs="宋体"/>
          <w:b/>
          <w:kern w:val="0"/>
          <w:sz w:val="52"/>
          <w:szCs w:val="52"/>
        </w:rPr>
      </w:pPr>
    </w:p>
    <w:p w14:paraId="6504415B">
      <w:pPr>
        <w:spacing w:line="570" w:lineRule="exact"/>
        <w:jc w:val="center"/>
        <w:rPr>
          <w:rFonts w:ascii="华文中宋" w:hAnsi="华文中宋" w:eastAsia="华文中宋" w:cs="宋体"/>
          <w:b/>
          <w:kern w:val="0"/>
          <w:sz w:val="52"/>
          <w:szCs w:val="52"/>
        </w:rPr>
      </w:pPr>
    </w:p>
    <w:p w14:paraId="5BCF6662">
      <w:pPr>
        <w:spacing w:line="570" w:lineRule="exact"/>
        <w:jc w:val="both"/>
        <w:rPr>
          <w:rFonts w:ascii="华文中宋" w:hAnsi="华文中宋" w:eastAsia="华文中宋" w:cs="宋体"/>
          <w:b/>
          <w:kern w:val="0"/>
          <w:sz w:val="52"/>
          <w:szCs w:val="52"/>
        </w:rPr>
      </w:pPr>
    </w:p>
    <w:p w14:paraId="4EF89FD3">
      <w:pPr>
        <w:spacing w:line="570" w:lineRule="exact"/>
        <w:jc w:val="center"/>
        <w:rPr>
          <w:rFonts w:ascii="华文中宋" w:hAnsi="华文中宋" w:eastAsia="华文中宋" w:cs="宋体"/>
          <w:b/>
          <w:kern w:val="0"/>
          <w:sz w:val="52"/>
          <w:szCs w:val="52"/>
        </w:rPr>
      </w:pPr>
    </w:p>
    <w:p w14:paraId="11FA9497">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284A767E">
      <w:pPr>
        <w:spacing w:line="570" w:lineRule="exact"/>
        <w:jc w:val="center"/>
        <w:rPr>
          <w:rFonts w:ascii="华文中宋" w:hAnsi="华文中宋" w:eastAsia="华文中宋" w:cs="宋体"/>
          <w:b/>
          <w:kern w:val="0"/>
          <w:sz w:val="52"/>
          <w:szCs w:val="52"/>
        </w:rPr>
      </w:pPr>
    </w:p>
    <w:p w14:paraId="040C6E33">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5E8C0795">
      <w:pPr>
        <w:spacing w:line="570" w:lineRule="exact"/>
        <w:jc w:val="center"/>
        <w:rPr>
          <w:rFonts w:hAnsi="宋体" w:eastAsia="仿宋_GB2312" w:cs="宋体"/>
          <w:kern w:val="0"/>
          <w:sz w:val="30"/>
          <w:szCs w:val="30"/>
        </w:rPr>
      </w:pPr>
    </w:p>
    <w:p w14:paraId="2F37C2C6">
      <w:pPr>
        <w:spacing w:line="570" w:lineRule="exact"/>
        <w:jc w:val="center"/>
        <w:rPr>
          <w:rFonts w:hAnsi="宋体" w:eastAsia="仿宋_GB2312" w:cs="宋体"/>
          <w:kern w:val="0"/>
          <w:sz w:val="30"/>
          <w:szCs w:val="30"/>
        </w:rPr>
      </w:pPr>
    </w:p>
    <w:p w14:paraId="198AA9E8">
      <w:pPr>
        <w:spacing w:line="570" w:lineRule="exact"/>
        <w:jc w:val="center"/>
        <w:rPr>
          <w:rFonts w:hAnsi="宋体" w:eastAsia="仿宋_GB2312" w:cs="宋体"/>
          <w:kern w:val="0"/>
          <w:sz w:val="30"/>
          <w:szCs w:val="30"/>
        </w:rPr>
      </w:pPr>
    </w:p>
    <w:p w14:paraId="6E110311">
      <w:pPr>
        <w:spacing w:line="570" w:lineRule="exact"/>
        <w:jc w:val="center"/>
        <w:rPr>
          <w:rFonts w:hAnsi="宋体" w:eastAsia="仿宋_GB2312" w:cs="宋体"/>
          <w:kern w:val="0"/>
          <w:sz w:val="30"/>
          <w:szCs w:val="30"/>
        </w:rPr>
      </w:pPr>
    </w:p>
    <w:p w14:paraId="0B2EC84A">
      <w:pPr>
        <w:spacing w:line="570" w:lineRule="exact"/>
        <w:jc w:val="center"/>
        <w:rPr>
          <w:rFonts w:hAnsi="宋体" w:eastAsia="仿宋_GB2312" w:cs="宋体"/>
          <w:kern w:val="0"/>
          <w:sz w:val="30"/>
          <w:szCs w:val="30"/>
        </w:rPr>
      </w:pPr>
    </w:p>
    <w:p w14:paraId="0DE28463">
      <w:pPr>
        <w:spacing w:line="570" w:lineRule="exact"/>
        <w:jc w:val="center"/>
        <w:rPr>
          <w:rFonts w:hAnsi="宋体" w:eastAsia="仿宋_GB2312" w:cs="宋体"/>
          <w:kern w:val="0"/>
          <w:sz w:val="30"/>
          <w:szCs w:val="30"/>
        </w:rPr>
      </w:pPr>
    </w:p>
    <w:p w14:paraId="11982DBA">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2024年中央财政困难群众救助项目</w:t>
      </w:r>
    </w:p>
    <w:p w14:paraId="691A0A4F">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塔什库尔干塔吉克自治县民政局</w:t>
      </w:r>
    </w:p>
    <w:p w14:paraId="568A7F46">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民政局</w:t>
      </w:r>
    </w:p>
    <w:p w14:paraId="706BCBD9">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罗俊</w:t>
      </w:r>
    </w:p>
    <w:p w14:paraId="0E31FF9B">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2025年03月05日</w:t>
      </w:r>
    </w:p>
    <w:p w14:paraId="08A2992E">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20D16E6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55ABA1CC">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620680F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2024年中央困难群众救助补助项目实施前期、过程及效果，评价财政预算资金使用的效率及效益。项目实施可为我县城乡低保户的基本生活提供保障，可保障28名特困人员老有所养，老有所依，保障5名孤儿生存，促进其成长，更好的融入社会，切实发挥社会兜底保障、助力脱贫攻坚的优势，在保障困难群众基本生活和服务总目标方面发挥积极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止2024年12月31日，本项目实际支出3210万元，为12个乡镇困难群众进行补助,主要用于城乡低保、特困人员救助供养、孤儿基本生活补助、临时救助支出，享受城乡低保补助人数5930人，享受特困人员救助补贴人数28人，享受孤儿基本生活补助人数5人，临时救助人数1747人，全年共计支出城乡低保补助费用2706.85万元，特困人员救助费用31.46万元，临时救助费用464.79万元，孤儿基本生活补贴费用6.9万元，项目的实施为我县城乡低保户的基本生活提供了保障，使28名特困人员老有所养，老有所依，保障了5名孤儿健康成长，为其更好的融入社会提供了有利条件，切实发挥了社会兜底保障、助力脱贫攻坚的优势，在保障困难群众基本生活和服务总目标方面发挥了积极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塔什库尔干县民政局为行政单位，纳入2024年部门决算编制范围的有5个办公室：低保中心、社会事务科、党政办、区划地名办、财务室。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编制人数12人，其中：行政人员编制3人、工勤1人、参公0人、事业编制8人。实有在职人数12人，其中：行政在职2人、工勤2人、参公0人、事业在职8人。离退休人员15人，其中：行政退休人员8人、事业退休7人。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根据喀地财社【2023】109号文件安排下达资金3210万元，为中央困难群众资金，最终确定项目资金总数为3210万元。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截至2024年12月31日，实际支出3210万元，预算执行率100%。</w:t>
      </w:r>
    </w:p>
    <w:p w14:paraId="6D93EE5A">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76B8824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预算资金3210万元，计划用于对12个乡镇困难群众进行补助,主要用于城乡低保、特困人员救助供养、孤儿基本生活补助、临时救助支出，预期享受城乡低保补助人数不低于5930人、享受特困人员救助补贴人数不低于28人、享受孤儿基本生活补助人数不低于5人，临时救助人数不低于1747人，预期城乡低保补助成本不高于2706.85万元、特困人员救助成本不高于31.46万元、临时救助成本不高于464.79万元、孤儿基本生活补贴成本不高于6.9万元，项目实施可为我县城乡低保户的基本生活提供保障，可保障28名特困人员老有所养，老有所依，保障5名孤儿生存，促进其成长，更好的融入社会，切实发挥社会兜底保障、助力脱贫攻坚的优势，在保障困难群众基本生活和服务总目标方面发挥积极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实施的前期准备工作：塔什库尔干县民政局作为项目的实施单位，第一时间与相关主管部门单位沟通，制定项目实施方案，项目绩效目标表等，根据县人大工作目标，明确分工职责，并设定绩效监控实施计划。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为完成决战决胜乡村衔接的目的，进行困难群众救助补助资金发放，主要内容包括：城乡最低生活保障、临时救助、孤儿生活补助、特困供养生活补助、流浪乞讨人员救助补助。保障我县城乡低保5930人基本生活，保障1747人临时救助，保障28名特困供养人员老有所养、老有所依，保障5名孤儿生存，促进其成长，更好的融入社会。本项目由罗俊作为项目负责人，负责该项目的全盘组织实施；高敏主要负责项目具体实施，财务负责人阿米妮古丽按照项目负责人提供的依据和发票等按项目进度向财政申请支付资金；通过业务与财务工作共同配合衔接，形成了明确责任分工的项目管理制度，并按照项目规定、监督检查制度、预算绩效管理办法、项目验收制度等相关制度办法严格落实各环节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14:paraId="5AA42383">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04E3FC56">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00E811C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喀什地区财政支出绩效评价管理暂行办法》（喀地财预〔2019〕18号〔2018〕189号）等相关政策文件与规定，旨在评价塔什库尔干县困难群众救助补助资金项目实施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0D81FD05">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4892BE0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2024年中央财政困难群众救助项目项目综合评分表</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 xml:space="preserve">                  二级指标</w:t>
      </w:r>
      <w:r>
        <w:rPr>
          <w:rStyle w:val="18"/>
          <w:rFonts w:hint="eastAsia" w:ascii="仿宋" w:hAnsi="仿宋" w:eastAsia="仿宋" w:cs="仿宋"/>
          <w:b w:val="0"/>
          <w:bCs w:val="0"/>
          <w:spacing w:val="-4"/>
          <w:sz w:val="32"/>
          <w:szCs w:val="32"/>
        </w:rPr>
        <w:tab/>
        <w:t xml:space="preserve">                      三级指标</w:t>
      </w:r>
      <w:r>
        <w:rPr>
          <w:rStyle w:val="18"/>
          <w:rFonts w:hint="eastAsia" w:ascii="仿宋" w:hAnsi="仿宋" w:eastAsia="仿宋" w:cs="仿宋"/>
          <w:b w:val="0"/>
          <w:bCs w:val="0"/>
          <w:spacing w:val="-4"/>
          <w:sz w:val="32"/>
          <w:szCs w:val="32"/>
        </w:rPr>
        <w:tab/>
        <w:t xml:space="preserve">                          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决策（15分）</w:t>
      </w:r>
      <w:r>
        <w:rPr>
          <w:rStyle w:val="18"/>
          <w:rFonts w:hint="eastAsia" w:ascii="仿宋" w:hAnsi="仿宋" w:eastAsia="仿宋" w:cs="仿宋"/>
          <w:b w:val="0"/>
          <w:bCs w:val="0"/>
          <w:spacing w:val="-4"/>
          <w:sz w:val="32"/>
          <w:szCs w:val="32"/>
        </w:rPr>
        <w:tab/>
        <w:t xml:space="preserve">                  项目立项（5分）</w:t>
      </w:r>
      <w:r>
        <w:rPr>
          <w:rStyle w:val="18"/>
          <w:rFonts w:hint="eastAsia" w:ascii="仿宋" w:hAnsi="仿宋" w:eastAsia="仿宋" w:cs="仿宋"/>
          <w:b w:val="0"/>
          <w:bCs w:val="0"/>
          <w:spacing w:val="-4"/>
          <w:sz w:val="32"/>
          <w:szCs w:val="32"/>
        </w:rPr>
        <w:tab/>
        <w:t xml:space="preserve">              立项依据充分性（3分）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立项程序（2分）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绩效目标（5分）</w:t>
      </w:r>
      <w:r>
        <w:rPr>
          <w:rStyle w:val="18"/>
          <w:rFonts w:hint="eastAsia" w:ascii="仿宋" w:hAnsi="仿宋" w:eastAsia="仿宋" w:cs="仿宋"/>
          <w:b w:val="0"/>
          <w:bCs w:val="0"/>
          <w:spacing w:val="-4"/>
          <w:sz w:val="32"/>
          <w:szCs w:val="32"/>
        </w:rPr>
        <w:tab/>
        <w:t xml:space="preserve">              绩效目标合理性（3分）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绩效指标明确性（2分）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资金投入（5分）</w:t>
      </w:r>
      <w:r>
        <w:rPr>
          <w:rStyle w:val="18"/>
          <w:rFonts w:hint="eastAsia" w:ascii="仿宋" w:hAnsi="仿宋" w:eastAsia="仿宋" w:cs="仿宋"/>
          <w:b w:val="0"/>
          <w:bCs w:val="0"/>
          <w:spacing w:val="-4"/>
          <w:sz w:val="32"/>
          <w:szCs w:val="32"/>
        </w:rPr>
        <w:tab/>
        <w:t xml:space="preserve">              预算编制（3分）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资金分配合理性（2分）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过程（20分）</w:t>
      </w:r>
      <w:r>
        <w:rPr>
          <w:rStyle w:val="18"/>
          <w:rFonts w:hint="eastAsia" w:ascii="仿宋" w:hAnsi="仿宋" w:eastAsia="仿宋" w:cs="仿宋"/>
          <w:b w:val="0"/>
          <w:bCs w:val="0"/>
          <w:spacing w:val="-4"/>
          <w:sz w:val="32"/>
          <w:szCs w:val="32"/>
        </w:rPr>
        <w:tab/>
        <w:t xml:space="preserve">                  资金管理（10分）</w:t>
      </w:r>
      <w:r>
        <w:rPr>
          <w:rStyle w:val="18"/>
          <w:rFonts w:hint="eastAsia" w:ascii="仿宋" w:hAnsi="仿宋" w:eastAsia="仿宋" w:cs="仿宋"/>
          <w:b w:val="0"/>
          <w:bCs w:val="0"/>
          <w:spacing w:val="-4"/>
          <w:sz w:val="32"/>
          <w:szCs w:val="32"/>
        </w:rPr>
        <w:tab/>
        <w:t xml:space="preserve">              资金到位率（3分）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预算执行率（3分）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资金使用合规性（4分）</w:t>
      </w:r>
      <w:r>
        <w:rPr>
          <w:rStyle w:val="18"/>
          <w:rFonts w:hint="eastAsia" w:ascii="仿宋" w:hAnsi="仿宋" w:eastAsia="仿宋" w:cs="仿宋"/>
          <w:b w:val="0"/>
          <w:bCs w:val="0"/>
          <w:spacing w:val="-4"/>
          <w:sz w:val="32"/>
          <w:szCs w:val="32"/>
        </w:rPr>
        <w:tab/>
        <w:t xml:space="preserve">            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组织实施（10分）</w:t>
      </w:r>
      <w:r>
        <w:rPr>
          <w:rStyle w:val="18"/>
          <w:rFonts w:hint="eastAsia" w:ascii="仿宋" w:hAnsi="仿宋" w:eastAsia="仿宋" w:cs="仿宋"/>
          <w:b w:val="0"/>
          <w:bCs w:val="0"/>
          <w:spacing w:val="-4"/>
          <w:sz w:val="32"/>
          <w:szCs w:val="32"/>
        </w:rPr>
        <w:tab/>
        <w:t xml:space="preserve">              管理制度健全性（5分）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制度执行（5分）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产出（45分）</w:t>
      </w:r>
      <w:r>
        <w:rPr>
          <w:rStyle w:val="18"/>
          <w:rFonts w:hint="eastAsia" w:ascii="仿宋" w:hAnsi="仿宋" w:eastAsia="仿宋" w:cs="仿宋"/>
          <w:b w:val="0"/>
          <w:bCs w:val="0"/>
          <w:spacing w:val="-4"/>
          <w:sz w:val="32"/>
          <w:szCs w:val="32"/>
        </w:rPr>
        <w:tab/>
        <w:t xml:space="preserve">                  产出数量（10分）</w:t>
      </w:r>
      <w:r>
        <w:rPr>
          <w:rStyle w:val="18"/>
          <w:rFonts w:hint="eastAsia" w:ascii="仿宋" w:hAnsi="仿宋" w:eastAsia="仿宋" w:cs="仿宋"/>
          <w:b w:val="0"/>
          <w:bCs w:val="0"/>
          <w:spacing w:val="-4"/>
          <w:sz w:val="32"/>
          <w:szCs w:val="32"/>
        </w:rPr>
        <w:tab/>
        <w:t xml:space="preserve">              实际完成率（10分）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产出质量（10分）</w:t>
      </w:r>
      <w:r>
        <w:rPr>
          <w:rStyle w:val="18"/>
          <w:rFonts w:hint="eastAsia" w:ascii="仿宋" w:hAnsi="仿宋" w:eastAsia="仿宋" w:cs="仿宋"/>
          <w:b w:val="0"/>
          <w:bCs w:val="0"/>
          <w:spacing w:val="-4"/>
          <w:sz w:val="32"/>
          <w:szCs w:val="32"/>
        </w:rPr>
        <w:tab/>
        <w:t xml:space="preserve">              质量达标率（10分）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产出时效（10分）</w:t>
      </w:r>
      <w:r>
        <w:rPr>
          <w:rStyle w:val="18"/>
          <w:rFonts w:hint="eastAsia" w:ascii="仿宋" w:hAnsi="仿宋" w:eastAsia="仿宋" w:cs="仿宋"/>
          <w:b w:val="0"/>
          <w:bCs w:val="0"/>
          <w:spacing w:val="-4"/>
          <w:sz w:val="32"/>
          <w:szCs w:val="32"/>
        </w:rPr>
        <w:tab/>
        <w:t xml:space="preserve">              完成及时性（10分）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产出成本（15分）</w:t>
      </w:r>
      <w:r>
        <w:rPr>
          <w:rStyle w:val="18"/>
          <w:rFonts w:hint="eastAsia" w:ascii="仿宋" w:hAnsi="仿宋" w:eastAsia="仿宋" w:cs="仿宋"/>
          <w:b w:val="0"/>
          <w:bCs w:val="0"/>
          <w:spacing w:val="-4"/>
          <w:sz w:val="32"/>
          <w:szCs w:val="32"/>
        </w:rPr>
        <w:tab/>
        <w:t xml:space="preserve">              成本节约率（15分）</w:t>
      </w:r>
      <w:r>
        <w:rPr>
          <w:rStyle w:val="18"/>
          <w:rFonts w:hint="eastAsia" w:ascii="仿宋" w:hAnsi="仿宋" w:eastAsia="仿宋" w:cs="仿宋"/>
          <w:b w:val="0"/>
          <w:bCs w:val="0"/>
          <w:spacing w:val="-4"/>
          <w:sz w:val="32"/>
          <w:szCs w:val="32"/>
        </w:rPr>
        <w:tab/>
        <w:t xml:space="preserve">            15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效益（20分）</w:t>
      </w:r>
      <w:r>
        <w:rPr>
          <w:rStyle w:val="18"/>
          <w:rFonts w:hint="eastAsia" w:ascii="仿宋" w:hAnsi="仿宋" w:eastAsia="仿宋" w:cs="仿宋"/>
          <w:b w:val="0"/>
          <w:bCs w:val="0"/>
          <w:spacing w:val="-4"/>
          <w:sz w:val="32"/>
          <w:szCs w:val="32"/>
        </w:rPr>
        <w:tab/>
        <w:t xml:space="preserve">                  项目效益（20分）</w:t>
      </w:r>
      <w:r>
        <w:rPr>
          <w:rStyle w:val="18"/>
          <w:rFonts w:hint="eastAsia" w:ascii="仿宋" w:hAnsi="仿宋" w:eastAsia="仿宋" w:cs="仿宋"/>
          <w:b w:val="0"/>
          <w:bCs w:val="0"/>
          <w:spacing w:val="-4"/>
          <w:sz w:val="32"/>
          <w:szCs w:val="32"/>
        </w:rPr>
        <w:tab/>
        <w:t xml:space="preserve">              实施效益（10分）</w:t>
      </w:r>
      <w:r>
        <w:rPr>
          <w:rStyle w:val="18"/>
          <w:rFonts w:hint="eastAsia" w:ascii="仿宋" w:hAnsi="仿宋" w:eastAsia="仿宋" w:cs="仿宋"/>
          <w:b w:val="0"/>
          <w:bCs w:val="0"/>
          <w:spacing w:val="-4"/>
          <w:sz w:val="32"/>
          <w:szCs w:val="32"/>
        </w:rPr>
        <w:tab/>
        <w:t xml:space="preserve">                    10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满意度（10分）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权重分值100分</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总得分          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绩效评价标准通常包括计划标准、行业标准、历史标准等，用于对绩效指标完成情况进行比较、分析、评价。本次评价主要采用了按照计划标准。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14:paraId="3EED7343">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6DBA948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罗俊任评价组组长，绩效评价工作职责为负责全盘工作。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高敏任评价组副组长，绩效评价工作职责为为对项目实施情况进行实地调查。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阿米妮古丽任评价组成员，绩效评价工作职责为负责资料审核等工作。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75660DB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455443A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2024年中央困难群众救助补助项目为我县城乡低保户的基本生活提供了保障，使28名特困人员老有所养，老有所依，保障了5名孤儿健康成长，为其更好的融入社会提供了有利条件，切实发挥了社会兜底保障、助力脱贫攻坚的优势，在保障困难群众基本生活和服务总目标方面发挥了积极作用。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 2024年度困难群众救助补助资金（中央）项目根据《关于提前下达2024年中央财政困难群众救助补助资金预算的通知》（喀地财社[2023]109号）文件，（喀地财社[2023]5号）文件立项，项目实施符合相关法规政策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项目过程：项目预算安排 3210万元，实际支出3210万元，预算执行率100%。项目资金使用合规，项目财务管理制度健全，财务监控到位，所有资金支付均按照国库集中支付制度严格执行，现有项目管理制度执行情况良好。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截止评价日，已支付3210万元，为12个乡镇困难群众进行补助,主要用于城乡低保、特困人员救助供养、孤儿基本生活补助、临时救助支出，享受城乡低保补助人数5930人，享受特困人员救助补贴人数28人，享受孤儿基本生活补助人数5人，临时救助人数1747人，补助资金监管执行率达100%、补助资金发放及时率达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项目的实施为我县城乡低保户的基本生活提供了保障，使28名特困人员老有所养，老有所依，保障了5名孤儿健康成长，为其更好的融入社会提供了有利条件，切实发挥了社会兜底保障、助力脱贫攻坚的优势，在保障困难群众基本生活和服务总目标方面发挥了积极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w:t>
      </w:r>
      <w:bookmarkStart w:id="0" w:name="_GoBack"/>
      <w:r>
        <w:rPr>
          <w:rStyle w:val="18"/>
          <w:rFonts w:hint="eastAsia" w:ascii="仿宋" w:hAnsi="仿宋" w:eastAsia="仿宋" w:cs="仿宋"/>
          <w:b w:val="0"/>
          <w:bCs w:val="0"/>
          <w:spacing w:val="-4"/>
          <w:sz w:val="32"/>
          <w:szCs w:val="32"/>
        </w:rPr>
        <w:t>以及</w:t>
      </w:r>
      <w:bookmarkEnd w:id="0"/>
      <w:r>
        <w:rPr>
          <w:rStyle w:val="18"/>
          <w:rFonts w:hint="eastAsia" w:ascii="仿宋" w:hAnsi="仿宋" w:eastAsia="仿宋" w:cs="仿宋"/>
          <w:b w:val="0"/>
          <w:bCs w:val="0"/>
          <w:spacing w:val="-4"/>
          <w:sz w:val="32"/>
          <w:szCs w:val="32"/>
        </w:rPr>
        <w:t>《关于进一步加强和规范喀什地区项目支出“全过程”预算绩效管理结果应用的通知》（喀地财绩〔2022〕2号）文件，绩效评价总分设置为100分，划分为四档：90（含）-100分为“优”、80（含）-90分为“良”、70（含）-80分为“中”、70分以下为“差”。经对困难群众救助补助救助资金项目进行客观评价，最终评分结果：评价总分100分，绩效等级为“优”。</w:t>
      </w:r>
    </w:p>
    <w:p w14:paraId="7EAD234C">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13D4AE8A">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698B21A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本项目立项符合《关于提前下达2024年困难群众救助补助资金预算的通知》（喀地财社[2023]109号）、[2023]5号）文件精神，本项目资金性质为“公共财政预算”功能分类为“最低生活补助”，“临时救助”“特困供养支出”“儿童福利”，经济分类为“其他对个人和家庭的补助”属于公共财政支持范围，符合中央、地方事权支出责任划分原则；经检查我单位财政管理一体化信息系统，本项目不存在重复。结合塔什库尔干县民政局职责，并组织实施该项目。围绕塔什库尔干县民政局年度工作重点和工作计划制定项目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关于提前下达2024年困难群众救助补助资金预算的通知》（喀地财社[2023]109号）、[2023]5号）文件编制工作计划和项目预算，经过与塔什库尔干县财政局预算股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已设置年度绩效目标，具体内容为“项目预算资金3210万元，计划用于对12个乡镇困难群众进行补助,主要用于城乡低保、特困人员救助供养、孤儿基本生活补助、临时救助支出，预期享受城乡低保补助人数不低于5930人、享受特困人员救助补贴人数不低于28人、享受孤儿基本生活补助人数不低于5人，临时救助人数不低于1747人，预期城乡低保补助成本不高于2706.85万元、特困人员救助成本不高于31.46万元、临时救助成本不高于464.79万元、孤儿基本生活补贴成本不高于6.9万元，项目实施可为我县城乡低保户的基本生活提供保障，可保障28名特困人员老有所养，老有所依，保障5名孤儿生存，促进其成长，更好的融入社会，切实发挥社会兜底保障、助力脱贫攻坚的优势，在保障困难群众基本生活和服务总目标方面发挥积极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截止2024年12月31日，本项目实际支出3210万元，为12个乡镇困难群众进行补助,主要用于城乡低保、特困人员救助供养、孤儿基本生活补助、临时救助支出，享受城乡低保补助人数5930人，享受特困人员救助补贴人数28人，享受孤儿基本生活补助人数5人，临时救助人数1747人，全年共计支出城乡低保补助费用2706.85万元，特困人员救助费用31.46万元，临时救助费用464.79万元，孤儿基本生活补贴费用6.9万元，项目的实施为我县城乡低保户的基本生活提供了保障，使28名特困人员老有所养，老有所依，保障了5名孤儿健康成长，为其更好的融入社会提供了有利条件，切实发挥了社会兜底保障、助力脱贫攻坚的优势，在保障困难群众基本生活和服务总目标方面发挥了积极作用。绩效目标与实际工作内容一致，两者具有相关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按照绩效目标完成数量指标、质量指标、时效指标、成本指标，完成为12个乡镇困难群众进行补助,主要用于城乡低保、特困人员救助供养、孤儿基本生活补助、临时救助支出，享受城乡低保补助人数5930人，享受特困人员救助补贴人数28人，享受孤儿基本生活补助人数5人，临时救助人数1747人，项目的实施为我县城乡低保户的基本生活提供了保障，使28名特困人员老有所养，老有所依，保障了5名孤儿健康成长，为其更好的融入社会提供了有利条件，切实发挥了社会兜底保障、助力脱贫攻坚的优势，在保障困难群众基本生活和服务总目标方面发挥了积极作用，预期产出效益和效果符合正常的业绩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④该项目批复的预算金额为3210万元，《项目支出绩效目标表》中预算金额为3210万元，预算确定的项目资金与预算确定的项目投资额相匹配。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⑤本单位制定了《2024年中央困难群众救助补助项目实施方案》，明确了总体思路及目标、并对任务进行了详细分解，对目标进行了细化。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经检查我单位年初设置的《项目支出绩效目标表》，得出如下结论：本项目已将年度绩效目标进行细化为绩效指标体系，共设置一级指标4个，二级指标6个，三级指标14个，定量指标13个，定性指标1个，指标量化率为92.86%，量化率达70.0%以上，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该《项目绩效目标申报表》中，数量指标指标值为享受城乡低保人数大于等于5930人，特困人员救助供养人数大于等于28人，孤儿基本生活补助人数大于等于5人， 临时救助人数大于等于1747人、三级指标的年度指标值与年度绩效目标中任务数一致，已设置时效指标“补助资金及时发放率达100%，项目完成时间2024年12月25日前”。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（5）预算编制科学性：本项目预算编制通过前期调研论证，同类似项目对比分析，发现预算编制科学合理；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申请内容为计划用于对12个乡镇困难群众进行补助,主要用于城乡低保、特困人员救助供养、孤儿基本生活补助、临时救助支出，预期享受城乡低保补助人数不低于5930人、享受特困人员救助补贴人数不低于28人、享受孤儿基本生活补助人数不低于5人，临时救助人数不低于1747人，项目实际内容为12个乡镇困难群众进行补助,主要用于城乡低保、特困人员救助供养、孤儿基本生活补助、临时救助支出，享受城乡低保补助人数5930人，享受特困人员救助补贴人数28人，享受孤儿基本生活补助人数5人，临时救助人数1747人，预算申请与《2024年中央困难群众救助补助项目实施方案》中涉及的项目内容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申请资金3210万元，我单位在预算申请中严格按照项目实施内容及测算标准进行核算，其中：城乡低保费用2706.85万元、特困供养费用31.46万元、孤儿费用6.9万元、临时救助费用464.79万元。预算确定资金量与实际工作任务相匹配。本项目预算额度测算依据充分，严格按照标准编制，预算确定资金量与实际工作任务相匹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本项目实际分配资金以《关于申请2024中央困难群众救助补助项目资金的请示》和《2024中央困难群众救助补助项目实施方案》为依据进行资金分配，预算资金分配依据充分。根据《关于提前下达2024年中央财政困难群众救助补助资金预算的通知》（喀地财社[2023]109号）（喀地财社[2023]5号），本项目实际到位资金3210万元，资金分配额度合理，与我单位实际需求相适应。资金分配与实际相适应，根据评分标准，该指标不扣分，得2分。</w:t>
      </w:r>
    </w:p>
    <w:p w14:paraId="1796E101">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00C7BF4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本项目预算资金为3210万元，其中：财政安排资金3210万元，其他资金0万元，实际到位资金3210万元，资金到位率达100%；通过分析可知，该项目财政资金足额拨付到位，能够及时足额支付给实施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支出资金3210万元，预算执行率=（实际支出资金/实际到位资金）×100.0%=100%；通过分析可知，该项目预算编制较为详细，项目资金支出总体能够按照预算执行，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塔什库尔干县民政局资金管理办法》《塔什库尔干县民政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已制定《塔什库尔干县民政局资金管理办法》《塔什库尔干县民政局财务收支业务管理制度》，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①该项目的实施符合《塔什库尔干县民政局财务管理办法》《塔什库尔干县民政局收支业务管理制度》等相关法律法规及管理规定，项目具备完整规范的立项程序；经查证项目实施过程资料，项目实施过程均按照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②经现场查证补贴申报资料、财务支付凭证等资料齐全并及时归档。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③该项目调整手续齐全。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实施所需要的项目人员已落实到位，具体涉及内容包括：项目资金支出严格按照自治区、地区以及本单位资金管理办法执行，项目启动实施后，为了加快本项目的实施，成立了2024年中央困难群众项目工作领导小组，由罗俊任组长，负责项目的组织工作；高敏任副组长，负责项目的实施工作；组员包括：阿米妮古丽和马利亚姆古丽，主要负责项目监督管理、验收以及资金核拨等工作。根据评分标准，该指标不扣分，得5分。</w:t>
      </w:r>
    </w:p>
    <w:p w14:paraId="463B8CFF">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39CA303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享受城乡低保人数指标，预期指标值为大于等于5930人，实际完成值为5930人，指标完成率为100%，与预期目标一致，根据评分标准，该指标不扣分，得2.5分。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特困人员救助供养人数指标，预期指标值为大于等于28人，实际完成值为28人，指标完成率为100%，与预期目标一致，根据评分标准，该指标不扣分，得2.5分。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孤儿基本生活补助人数指标，预期指标值为大于等于5人，实际完成值为5人，指标完成率为100%，与预期目标一致，根据评分标准，该指标不扣分，得2.5分。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临时救助人数指标，预期指标值为大于等于1747人，实际完成值为1747人，指标完成率为100%，与预期目标一致，根据评分标准，该指标不扣分，得2.5分。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资金监管执行率指标，预期指标值为大于等于95%，实际完成值为100%，指标完成率为105.26%，根据评分标准，该指标不扣分，得10分。偏差原因：项目实施情况较好，补助资金监管执行率高于预期，导致出现正偏差，改进措施：基于当前良好表现，重新审视绩效目标，在以后绩效目标设置时设置更具挑战性的目标，以推动业务持续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补助资金发放及时率指标，预期指标值为100%，实际完成值为100%，指标完成率为100%，根据评分标准，该指标不扣分，得5分。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项目完成时间指标，预期指标值为2024年12月25日前，实际完成值为2024年12月25日，指标完成率为100%，与预期目标一致，根据评分标准，该指标不扣分，得5分。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城乡低保补贴成本指标，预期指标值为小于等于2706.85万元，实际完成值为2706.85万元，指标完成率为100%，与预期目标一致，根据评分标准，该指标不扣分，得3.75分。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特困供养生活补助成本指标，预期指标值为小于等于31.46万元，实际完成值为31.46万元，指标完成率为100%，与预期目标一致，根据评分标准，该指标不扣分，得3.75分。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临时救助补贴成本指标，预期指标值为小于等于464.79万元，实际完成值为464.79万元，指标完成率为100%，与预期目标一致，根据评分标准，该指标不扣分，得3.75分。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孤儿基本生活补贴成本指标，预期指标值为小于等于6.9万元，实际完成值为6.9万元，指标完成率为100%，与预期目标一致，根据评分标准，该指标不扣分，得3.75分。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合计得15分。</w:t>
      </w:r>
    </w:p>
    <w:p w14:paraId="36A5DAA3">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1D0060C5">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有效提升农村低保对象生活水平指标，该指标预期指标值为提升，实际完成值为提升，指标完成率为100%，与预期指标一致，根据评分标准，该指标不扣分，得5分。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政策知晓率指标，该指标预期指标值为大于等于90%，实际完成值为100%，指标完成率为111.11%，根据评分标准，该指标不扣分，得5分。偏差原因：项目实施情况较好，政策知晓率高于预期，导致出现正偏差，改进措施：基于当前良好表现，重新审视绩效目标，在以后绩效目标设置时设置更具挑战性的目标，以推动业务持续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p>
    <w:p w14:paraId="1D1904F1">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3B399D8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对于“满意度指标：农村低保对象满意度，该指标预期指标值为95%，实际完成值为100%，指标完成率为105.26%，根据评分标准，该指标不扣分,得10分。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偏差原因分析：项目实施情况较好，农村低保对象满意度超预期，导致出现正偏差，改进措施：基于当前良好表现，重新审视绩效目标，在以后绩效目标设置时设置更具挑战性的目标，以推动业务持续发展。</w:t>
      </w:r>
    </w:p>
    <w:p w14:paraId="7BC0CF0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4B981BEB">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2024年困难群众救助补助项目预算3210万元，到位3210万元，实际支出3210万元，预算执行率为100%，项目绩效指标总体完成率为101.5%。其中：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资金监管执行率指标，预期指标值为大于等于95%，实际完成值为100%，指标完成率为105.26%，偏差原因：项目实施情况较好，补助资金监管执行率高于预期，导致出现正偏差，改进措施：基于当前良好表现，重新审视绩效目标，在以后绩效目标设置时设置更具挑战性的目标，以推动业务持续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政策知晓率指标，该指标预期指标值为大于等于90%，实际完成值为100%，指标完成率为111.11%，偏差原因：项目实施情况较好，政策知晓率高于预期，导致出现正偏差，改进措施：基于当前良好表现，重新审视绩效目标，在以后绩效目标设置时设置更具挑战性的目标，以推动业务持续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农村低保对象满意度，该指标预期指标值为95%，实际完成值为100%，指标完成率为105.26%，偏差原因分析：项目实施情况较好，农村低保对象满意度超预期，导致出现正偏差，改进措施：基于当前良好表现，重新审视绩效目标，在以后绩效目标设置时设置更具挑战性的目标，以推动业务持续发展。</w:t>
      </w:r>
    </w:p>
    <w:p w14:paraId="45B11187">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13CBC45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4F1E84A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648BF54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1.项目建设的程序进一步规范。项目前期做好可行性研究报告，更加细化实施方案，严格执行资金管理办法和财政资金管理制度，严格按照项目实施方案稳步推进工作。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4．评价工作应从项目实施方案源头抓起，评价工作和意识应贯穿项目整个过程。</w:t>
      </w:r>
    </w:p>
    <w:p w14:paraId="639B2815">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2A66656A">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2CEDAF4">
        <w:pPr>
          <w:pStyle w:val="12"/>
          <w:jc w:val="center"/>
        </w:pPr>
        <w:r>
          <w:fldChar w:fldCharType="begin"/>
        </w:r>
        <w:r>
          <w:instrText xml:space="preserve">PAGE   \* MERGEFORMAT</w:instrText>
        </w:r>
        <w:r>
          <w:fldChar w:fldCharType="separate"/>
        </w:r>
        <w:r>
          <w:rPr>
            <w:lang w:val="zh-CN"/>
          </w:rPr>
          <w:t>1</w:t>
        </w:r>
        <w:r>
          <w:fldChar w:fldCharType="end"/>
        </w:r>
      </w:p>
    </w:sdtContent>
  </w:sdt>
  <w:p w14:paraId="012EB6E1">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7D02E1A"/>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27</Pages>
  <Words>10948</Words>
  <Characters>11686</Characters>
  <Lines>5</Lines>
  <Paragraphs>1</Paragraphs>
  <TotalTime>0</TotalTime>
  <ScaleCrop>false</ScaleCrop>
  <LinksUpToDate>false</LinksUpToDate>
  <CharactersWithSpaces>12978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周丽君</cp:lastModifiedBy>
  <cp:lastPrinted>2018-12-31T10:56:00Z</cp:lastPrinted>
  <dcterms:modified xsi:type="dcterms:W3CDTF">2025-09-04T08:06:15Z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eyJoZGlkIjoiZjc0YWFlMzUxNjVlZTcxY2FlZTNjZDFlMzE3YzBjNDEiLCJ1c2VySWQiOiIyMDM3MTI1NTkifQ==</vt:lpwstr>
  </property>
</Properties>
</file>