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塔什库尔干塔吉克自治县库科西鲁格乡人民政府2024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FC5113">
      <w:r>
        <w:br w:type="page"/>
      </w:r>
    </w:p>
    <w:p w14:paraId="491F2E7A">
      <w:pPr>
        <w:spacing w:line="640" w:lineRule="exact"/>
        <w:jc w:val="center"/>
        <w:outlineLvl w:val="1"/>
      </w:pPr>
      <w:r>
        <w:rPr>
          <w:rFonts w:ascii="黑体" w:hAnsi="黑体" w:eastAsia="黑体"/>
          <w:sz w:val="32"/>
        </w:rPr>
        <w:t>第一部分 单位概况</w:t>
      </w:r>
    </w:p>
    <w:p w14:paraId="44D8E87D">
      <w:pPr>
        <w:spacing w:line="640" w:lineRule="exact"/>
        <w:ind w:firstLine="640"/>
        <w:jc w:val="both"/>
        <w:outlineLvl w:val="2"/>
      </w:pPr>
      <w:r>
        <w:rPr>
          <w:rFonts w:ascii="黑体" w:hAnsi="黑体" w:eastAsia="黑体"/>
          <w:sz w:val="32"/>
        </w:rPr>
        <w:t>一、主要职能</w:t>
      </w:r>
    </w:p>
    <w:p w14:paraId="6006F76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w:t>
      </w:r>
      <w:r>
        <w:rPr>
          <w:rFonts w:hint="eastAsia" w:ascii="仿宋_GB2312" w:hAnsi="仿宋_GB2312" w:eastAsia="仿宋_GB2312"/>
          <w:sz w:val="32"/>
          <w:lang w:eastAsia="zh-CN"/>
        </w:rPr>
        <w:t>党的路线</w:t>
      </w:r>
      <w:r>
        <w:rPr>
          <w:rFonts w:ascii="仿宋_GB2312" w:hAnsi="仿宋_GB2312" w:eastAsia="仿宋_GB2312"/>
          <w:sz w:val="32"/>
        </w:rPr>
        <w:t>、方针、政策和上级党组织的指示、决定及本级党员代表大会的决议、决定，牢固树立“围绕实现长治久安来统筹推进各方面工作”的重大指导思想，对全乡的重大问题做出决策；完成上级下达的工作任务；负责村级班子建设；推进基层民主，促进农村和谐；加强农村党的基层组织建设，不断提高党组织领导农村经济社会发展的能力和水平；重视群团组织建设，指导村民自治，引导农牧民有序参与村级事务管理，实施“一事一议”方针，增强村民的知情权、参与权、监督权，推进村务公开；不断加大乡村干部的培养力度，提高自身素质和能力建设，确保“四知四清四掌握”工作的开展，促进村民组织健康发展，增强村级组织的自治功能。</w:t>
      </w:r>
    </w:p>
    <w:p w14:paraId="19FBE65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制定本行政区域内党的建设工作规划、计划；组织落实党内民主生活会制度和党建目标责任制度；负责基层党组织的建设和管理，负责党员队伍思想、作风和组织建设。</w:t>
      </w:r>
    </w:p>
    <w:p w14:paraId="2D8AF3A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负责本行政区域内党的纪律检查和党风廉政建设及反腐败工作；对党员干部行使权力和廉洁自律情况进行监督检查；受理群众信访举报，调查处理党组织和党员违纪案件；受理党员的控告和申诉、保障党员权利。</w:t>
      </w:r>
    </w:p>
    <w:p w14:paraId="5AC36B2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负责本行政区域内民族</w:t>
      </w:r>
      <w:r>
        <w:rPr>
          <w:rFonts w:hint="eastAsia" w:ascii="仿宋_GB2312" w:hAnsi="仿宋_GB2312" w:eastAsia="仿宋_GB2312"/>
          <w:sz w:val="32"/>
          <w:lang w:eastAsia="zh-CN"/>
        </w:rPr>
        <w:t>ZJ</w:t>
      </w:r>
      <w:r>
        <w:rPr>
          <w:rFonts w:ascii="仿宋_GB2312" w:hAnsi="仿宋_GB2312" w:eastAsia="仿宋_GB2312"/>
          <w:sz w:val="32"/>
        </w:rPr>
        <w:t>、民族团结和</w:t>
      </w:r>
      <w:r>
        <w:rPr>
          <w:rFonts w:hint="eastAsia" w:ascii="仿宋_GB2312" w:hAnsi="仿宋_GB2312" w:eastAsia="仿宋_GB2312"/>
          <w:sz w:val="32"/>
          <w:lang w:val="en-US" w:eastAsia="zh-CN"/>
        </w:rPr>
        <w:t>TZ</w:t>
      </w:r>
      <w:r>
        <w:rPr>
          <w:rFonts w:ascii="仿宋_GB2312" w:hAnsi="仿宋_GB2312" w:eastAsia="仿宋_GB2312"/>
          <w:sz w:val="32"/>
        </w:rPr>
        <w:t>工作的政策宣传和组织协调工作；负责做好</w:t>
      </w:r>
      <w:r>
        <w:rPr>
          <w:rFonts w:hint="eastAsia" w:ascii="仿宋_GB2312" w:hAnsi="仿宋_GB2312" w:eastAsia="仿宋_GB2312"/>
          <w:sz w:val="32"/>
          <w:lang w:val="en-US" w:eastAsia="zh-CN"/>
        </w:rPr>
        <w:t>TZ</w:t>
      </w:r>
      <w:r>
        <w:rPr>
          <w:rFonts w:ascii="仿宋_GB2312" w:hAnsi="仿宋_GB2312" w:eastAsia="仿宋_GB2312"/>
          <w:sz w:val="32"/>
        </w:rPr>
        <w:t>对象帮扶解忧工作；负责对</w:t>
      </w:r>
      <w:r>
        <w:rPr>
          <w:rFonts w:hint="eastAsia" w:ascii="仿宋_GB2312" w:hAnsi="仿宋_GB2312" w:eastAsia="仿宋_GB2312"/>
          <w:sz w:val="32"/>
          <w:lang w:eastAsia="zh-CN"/>
        </w:rPr>
        <w:t>ZJ</w:t>
      </w:r>
      <w:r>
        <w:rPr>
          <w:rFonts w:ascii="仿宋_GB2312" w:hAnsi="仿宋_GB2312" w:eastAsia="仿宋_GB2312"/>
          <w:sz w:val="32"/>
        </w:rPr>
        <w:t>人士、</w:t>
      </w:r>
      <w:r>
        <w:rPr>
          <w:rFonts w:hint="eastAsia" w:ascii="仿宋_GB2312" w:hAnsi="仿宋_GB2312" w:eastAsia="仿宋_GB2312"/>
          <w:sz w:val="32"/>
          <w:lang w:eastAsia="zh-CN"/>
        </w:rPr>
        <w:t>ZJ</w:t>
      </w:r>
      <w:r>
        <w:rPr>
          <w:rFonts w:ascii="仿宋_GB2312" w:hAnsi="仿宋_GB2312" w:eastAsia="仿宋_GB2312"/>
          <w:sz w:val="32"/>
        </w:rPr>
        <w:t>场所和</w:t>
      </w:r>
      <w:r>
        <w:rPr>
          <w:rFonts w:hint="eastAsia" w:ascii="仿宋_GB2312" w:hAnsi="仿宋_GB2312" w:eastAsia="仿宋_GB2312"/>
          <w:sz w:val="32"/>
          <w:lang w:eastAsia="zh-CN"/>
        </w:rPr>
        <w:t>ZJ</w:t>
      </w:r>
      <w:r>
        <w:rPr>
          <w:rFonts w:ascii="仿宋_GB2312" w:hAnsi="仿宋_GB2312" w:eastAsia="仿宋_GB2312"/>
          <w:sz w:val="32"/>
        </w:rPr>
        <w:t>活动的管理。</w:t>
      </w:r>
    </w:p>
    <w:p w14:paraId="6E767F4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社会管理，维护农村稳定，普及农村法制教育深化社会治安综合治理，负责本行政区域社会管理综合治理的组织协调和社会管理防控体系建设；负责网格化管理的组织与实施；加强信访和民事纠纷调解，维护乡村公共秩序和社会稳定。负责安全生产、消防安全、应急管理和中小学学校周边环境治安整治工作。加强市场监管、动植物疫病防控和农产品质量监控等社会管理，健全农牧民权益保障机制，维护农村社会公平正义。建立健全应急保障体系，加强突发事件预警和管理，做好防灾减灾及抗灾保畜工作。负责民兵预备役、征兵和战时民兵动员、民兵的选拔、培养、整组，积极做好基干民兵集训、应急分队建设工作。</w:t>
      </w:r>
    </w:p>
    <w:p w14:paraId="5CEED64A">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负责制定并组织实施乡村建设规划、乡村道路建设和公共设施建设；负责土地、林木、水等自然资源和</w:t>
      </w:r>
      <w:r>
        <w:rPr>
          <w:rFonts w:hint="eastAsia" w:ascii="仿宋_GB2312" w:hAnsi="仿宋_GB2312" w:eastAsia="仿宋_GB2312"/>
          <w:sz w:val="32"/>
          <w:lang w:eastAsia="zh-CN"/>
        </w:rPr>
        <w:t>生态环境保护</w:t>
      </w:r>
      <w:r>
        <w:rPr>
          <w:rFonts w:ascii="仿宋_GB2312" w:hAnsi="仿宋_GB2312" w:eastAsia="仿宋_GB2312"/>
          <w:sz w:val="32"/>
        </w:rPr>
        <w:t>；负责农业生产环境监管和农产品质量安全；负责农村经营管理和指导；负责村级财务工作和土地承包流转监管工作；负责农田水利基本建设，防汛工作；负责指导农机安全管理、监督和检查工作。</w:t>
      </w:r>
    </w:p>
    <w:p w14:paraId="41B797F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负责指导村民自治、完善民主议事制度，推进村务公开、财务公开，引导农民有序</w:t>
      </w:r>
      <w:r>
        <w:rPr>
          <w:rFonts w:hint="eastAsia" w:ascii="仿宋_GB2312" w:hAnsi="仿宋_GB2312" w:eastAsia="仿宋_GB2312"/>
          <w:sz w:val="32"/>
          <w:lang w:eastAsia="zh-CN"/>
        </w:rPr>
        <w:t>参与</w:t>
      </w:r>
      <w:r>
        <w:rPr>
          <w:rFonts w:ascii="仿宋_GB2312" w:hAnsi="仿宋_GB2312" w:eastAsia="仿宋_GB2312"/>
          <w:sz w:val="32"/>
        </w:rPr>
        <w:t>村级事务管理，促进社会组织健康发展，增强社会自治功能。</w:t>
      </w:r>
    </w:p>
    <w:p w14:paraId="78734B7B">
      <w:pPr>
        <w:spacing w:line="640" w:lineRule="exact"/>
        <w:ind w:firstLine="640"/>
        <w:jc w:val="both"/>
        <w:outlineLvl w:val="2"/>
      </w:pPr>
      <w:r>
        <w:rPr>
          <w:rFonts w:ascii="黑体" w:hAnsi="黑体" w:eastAsia="黑体"/>
          <w:sz w:val="32"/>
        </w:rPr>
        <w:t>二、机构设置及人员情况</w:t>
      </w:r>
    </w:p>
    <w:p w14:paraId="6E6E7470">
      <w:pPr>
        <w:spacing w:line="580" w:lineRule="exact"/>
        <w:ind w:firstLine="640"/>
        <w:jc w:val="both"/>
      </w:pPr>
      <w:r>
        <w:rPr>
          <w:rFonts w:ascii="仿宋_GB2312" w:hAnsi="仿宋_GB2312" w:eastAsia="仿宋_GB2312"/>
          <w:sz w:val="32"/>
        </w:rPr>
        <w:t>塔什库尔干塔吉克自治县库科西鲁格乡人民政府2024年度，实有人数90人，其中：在职人员67人，减少5人；离休人员0人，增加0人；退休人员23人,增加0人。</w:t>
      </w:r>
    </w:p>
    <w:p w14:paraId="362C6390">
      <w:pPr>
        <w:spacing w:line="580" w:lineRule="exact"/>
        <w:ind w:firstLine="640"/>
        <w:jc w:val="both"/>
      </w:pPr>
      <w:r>
        <w:rPr>
          <w:rFonts w:ascii="仿宋_GB2312" w:hAnsi="仿宋_GB2312" w:eastAsia="仿宋_GB2312"/>
          <w:sz w:val="32"/>
        </w:rPr>
        <w:t>单位无下属预算单位，下设11个科室，分别是：党政办公室、党建办公室、经济发展办公室、社会事务办公室、综合执法办公室、文体广电旅游服务中心、社会保障服务中心、经济发展中心、规划建设发展中心、综治中心、财政所。</w:t>
      </w:r>
    </w:p>
    <w:p w14:paraId="12B65652">
      <w:r>
        <w:br w:type="page"/>
      </w:r>
    </w:p>
    <w:p w14:paraId="6CE720DC">
      <w:pPr>
        <w:spacing w:line="240" w:lineRule="auto"/>
        <w:jc w:val="center"/>
        <w:outlineLvl w:val="1"/>
      </w:pPr>
      <w:r>
        <w:rPr>
          <w:rFonts w:ascii="黑体" w:hAnsi="黑体" w:eastAsia="黑体"/>
          <w:sz w:val="32"/>
        </w:rPr>
        <w:t>第二部分 部门决算情况说明</w:t>
      </w:r>
    </w:p>
    <w:p w14:paraId="6E553475">
      <w:pPr>
        <w:spacing w:line="640" w:lineRule="exact"/>
        <w:ind w:firstLine="640"/>
        <w:jc w:val="both"/>
        <w:outlineLvl w:val="2"/>
      </w:pPr>
      <w:r>
        <w:rPr>
          <w:rFonts w:ascii="黑体" w:hAnsi="黑体" w:eastAsia="黑体"/>
          <w:sz w:val="32"/>
        </w:rPr>
        <w:t>一、收入支出决算总体情况说明</w:t>
      </w:r>
    </w:p>
    <w:p w14:paraId="4EF61C8C">
      <w:pPr>
        <w:spacing w:line="580" w:lineRule="exact"/>
        <w:ind w:firstLine="640"/>
        <w:jc w:val="both"/>
      </w:pPr>
      <w:r>
        <w:rPr>
          <w:rFonts w:ascii="仿宋_GB2312" w:hAnsi="仿宋_GB2312" w:eastAsia="仿宋_GB2312"/>
          <w:b/>
          <w:sz w:val="32"/>
        </w:rPr>
        <w:t>2024年度收入总计2,234.98万元，</w:t>
      </w:r>
      <w:r>
        <w:rPr>
          <w:rFonts w:ascii="仿宋_GB2312" w:hAnsi="仿宋_GB2312" w:eastAsia="仿宋_GB2312"/>
          <w:b w:val="0"/>
          <w:sz w:val="32"/>
        </w:rPr>
        <w:t>其中：本年收入合计2,234.98万元，使用非财政拨款结余（含专用结余）0.00万元，年初结转和结余0.00万元。</w:t>
      </w:r>
    </w:p>
    <w:p w14:paraId="64D5FB95">
      <w:pPr>
        <w:spacing w:line="580" w:lineRule="exact"/>
        <w:ind w:firstLine="640"/>
        <w:jc w:val="both"/>
      </w:pPr>
      <w:r>
        <w:rPr>
          <w:rFonts w:ascii="仿宋_GB2312" w:hAnsi="仿宋_GB2312" w:eastAsia="仿宋_GB2312"/>
          <w:b/>
          <w:sz w:val="32"/>
        </w:rPr>
        <w:t>2024年度支出总计2,234.98万元，</w:t>
      </w:r>
      <w:r>
        <w:rPr>
          <w:rFonts w:ascii="仿宋_GB2312" w:hAnsi="仿宋_GB2312" w:eastAsia="仿宋_GB2312"/>
          <w:b w:val="0"/>
          <w:sz w:val="32"/>
        </w:rPr>
        <w:t>其中：本年支出合计2,234.98万元，结余分配0.00万元，年末结转和结余0.00万元。</w:t>
      </w:r>
    </w:p>
    <w:p w14:paraId="5E8DDDC4">
      <w:pPr>
        <w:spacing w:line="580" w:lineRule="exact"/>
        <w:ind w:firstLine="640"/>
        <w:jc w:val="both"/>
      </w:pPr>
      <w:r>
        <w:rPr>
          <w:rFonts w:ascii="仿宋_GB2312" w:hAnsi="仿宋_GB2312" w:eastAsia="仿宋_GB2312"/>
          <w:b w:val="0"/>
          <w:sz w:val="32"/>
        </w:rPr>
        <w:t>收入支出总体与上年相比，增加315.72万元，增长16.45%，主要原因是：1.本年在职人员工资调增，社保、公积金基数调增，人员经费增加；2.增加库科西鲁格乡旅游帐篷购置项目、瓦窑本村新型农村集体经济项目。</w:t>
      </w:r>
    </w:p>
    <w:p w14:paraId="002DB40E">
      <w:pPr>
        <w:spacing w:line="640" w:lineRule="exact"/>
        <w:ind w:firstLine="640"/>
        <w:jc w:val="both"/>
        <w:outlineLvl w:val="2"/>
      </w:pPr>
      <w:r>
        <w:rPr>
          <w:rFonts w:ascii="黑体" w:hAnsi="黑体" w:eastAsia="黑体"/>
          <w:sz w:val="32"/>
        </w:rPr>
        <w:t>二、收入决算情况说明</w:t>
      </w:r>
    </w:p>
    <w:p w14:paraId="22A11628">
      <w:pPr>
        <w:spacing w:line="580" w:lineRule="exact"/>
        <w:ind w:firstLine="640"/>
        <w:jc w:val="both"/>
      </w:pPr>
      <w:r>
        <w:rPr>
          <w:rFonts w:ascii="仿宋_GB2312" w:hAnsi="仿宋_GB2312" w:eastAsia="仿宋_GB2312"/>
          <w:b/>
          <w:sz w:val="32"/>
        </w:rPr>
        <w:t>本年收入2,234.98万元，</w:t>
      </w:r>
      <w:r>
        <w:rPr>
          <w:rFonts w:ascii="仿宋_GB2312" w:hAnsi="仿宋_GB2312" w:eastAsia="仿宋_GB2312"/>
          <w:b w:val="0"/>
          <w:sz w:val="32"/>
        </w:rPr>
        <w:t>其中：财政拨款收入2,032.99万元，占90.96%；上级补助收入0.00万元，占0.00%；事业收入0.00万元，占0.00%；经营收入0.00万元，占0.00%；附属单位上缴收入0.00万元，占0.00%；其他收入201.99万元，占9.04%。</w:t>
      </w:r>
    </w:p>
    <w:p w14:paraId="4B8DDB37">
      <w:pPr>
        <w:spacing w:line="640" w:lineRule="exact"/>
        <w:ind w:firstLine="640"/>
        <w:jc w:val="both"/>
        <w:outlineLvl w:val="2"/>
      </w:pPr>
      <w:r>
        <w:rPr>
          <w:rFonts w:ascii="黑体" w:hAnsi="黑体" w:eastAsia="黑体"/>
          <w:sz w:val="32"/>
        </w:rPr>
        <w:t>三、支出决算情况说明</w:t>
      </w:r>
    </w:p>
    <w:p w14:paraId="2335068A">
      <w:pPr>
        <w:spacing w:line="580" w:lineRule="exact"/>
        <w:ind w:firstLine="640"/>
        <w:jc w:val="both"/>
      </w:pPr>
      <w:r>
        <w:rPr>
          <w:rFonts w:ascii="仿宋_GB2312" w:hAnsi="仿宋_GB2312" w:eastAsia="仿宋_GB2312"/>
          <w:b/>
          <w:sz w:val="32"/>
        </w:rPr>
        <w:t>本年支出2,234.98万元，</w:t>
      </w:r>
      <w:r>
        <w:rPr>
          <w:rFonts w:ascii="仿宋_GB2312" w:hAnsi="仿宋_GB2312" w:eastAsia="仿宋_GB2312"/>
          <w:b w:val="0"/>
          <w:sz w:val="32"/>
        </w:rPr>
        <w:t>其中：基本支出1,656.42万元，占74.11%；项目支出578.56万元，占25.89%；上缴上级支出0.00万元，占0.00%；经营支出0.00万元，占0.00%；对附属单位补助支出0.00万元，占0.00%。</w:t>
      </w:r>
    </w:p>
    <w:p w14:paraId="6C843265">
      <w:pPr>
        <w:spacing w:line="640" w:lineRule="exact"/>
        <w:ind w:firstLine="640"/>
        <w:jc w:val="both"/>
        <w:outlineLvl w:val="2"/>
      </w:pPr>
      <w:r>
        <w:rPr>
          <w:rFonts w:ascii="黑体" w:hAnsi="黑体" w:eastAsia="黑体"/>
          <w:sz w:val="32"/>
        </w:rPr>
        <w:t>四、财政拨款收入支出决算总体情况说明</w:t>
      </w:r>
    </w:p>
    <w:p w14:paraId="6CC55DB3">
      <w:pPr>
        <w:spacing w:line="580" w:lineRule="exact"/>
        <w:ind w:firstLine="640"/>
        <w:jc w:val="both"/>
      </w:pPr>
      <w:r>
        <w:rPr>
          <w:rFonts w:ascii="仿宋_GB2312" w:hAnsi="仿宋_GB2312" w:eastAsia="仿宋_GB2312"/>
          <w:b/>
          <w:sz w:val="32"/>
        </w:rPr>
        <w:t>2024年度财政拨款收入总计2,032.99万元，</w:t>
      </w:r>
      <w:r>
        <w:rPr>
          <w:rFonts w:ascii="仿宋_GB2312" w:hAnsi="仿宋_GB2312" w:eastAsia="仿宋_GB2312"/>
          <w:b w:val="0"/>
          <w:sz w:val="32"/>
        </w:rPr>
        <w:t>其中：年初财政拨款结转和结余0.00万元，本年财政拨款收入2,032.99万元。</w:t>
      </w:r>
      <w:r>
        <w:rPr>
          <w:rFonts w:ascii="仿宋_GB2312" w:hAnsi="仿宋_GB2312" w:eastAsia="仿宋_GB2312"/>
          <w:b/>
          <w:sz w:val="32"/>
        </w:rPr>
        <w:t>财政拨款支出总计2,032.99万元，</w:t>
      </w:r>
      <w:r>
        <w:rPr>
          <w:rFonts w:ascii="仿宋_GB2312" w:hAnsi="仿宋_GB2312" w:eastAsia="仿宋_GB2312"/>
          <w:b w:val="0"/>
          <w:sz w:val="32"/>
        </w:rPr>
        <w:t>其中：年末财政拨款结转和结余0.00万元，本年财政拨款支出2,032.99万元。</w:t>
      </w:r>
    </w:p>
    <w:p w14:paraId="12E097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增加113.73万元，增长5.93%，主要原因是：1.本年在职人员工资调增，社保、公积金基数调增，人员经费增加；2.增加库科西鲁格乡旅游帐篷购置项目、瓦窑本村新型农村集体经济项目。</w:t>
      </w:r>
      <w:r>
        <w:rPr>
          <w:rFonts w:ascii="仿宋_GB2312" w:hAnsi="仿宋_GB2312" w:eastAsia="仿宋_GB2312"/>
          <w:b/>
          <w:sz w:val="32"/>
        </w:rPr>
        <w:t>与年初预算相比，</w:t>
      </w:r>
      <w:r>
        <w:rPr>
          <w:rFonts w:ascii="仿宋_GB2312" w:hAnsi="仿宋_GB2312" w:eastAsia="仿宋_GB2312"/>
          <w:b w:val="0"/>
          <w:sz w:val="32"/>
        </w:rPr>
        <w:t>年初预算数1,772.35万元，决算数2,032.99万元，预决算差异率14.71%，主要原因是：1.年中追加人员工资、社保、公积金基数调增部分资金；2.年中追加库科西鲁格乡旅游帐篷购置项目、瓦窑本村新型农村集体经济项目等，导致预决算存在差异。</w:t>
      </w:r>
    </w:p>
    <w:p w14:paraId="1568865B">
      <w:pPr>
        <w:spacing w:line="640" w:lineRule="exact"/>
        <w:ind w:firstLine="640"/>
        <w:jc w:val="both"/>
        <w:outlineLvl w:val="2"/>
      </w:pPr>
      <w:r>
        <w:rPr>
          <w:rFonts w:ascii="黑体" w:hAnsi="黑体" w:eastAsia="黑体"/>
          <w:sz w:val="32"/>
        </w:rPr>
        <w:t>五、一般公共预算财政拨款支出决算情况说明</w:t>
      </w:r>
    </w:p>
    <w:p w14:paraId="6CE4F744">
      <w:pPr>
        <w:spacing w:line="640" w:lineRule="exact"/>
        <w:ind w:firstLine="640"/>
        <w:jc w:val="both"/>
        <w:outlineLvl w:val="3"/>
      </w:pPr>
      <w:r>
        <w:rPr>
          <w:rFonts w:ascii="楷体_GB2312" w:hAnsi="楷体_GB2312" w:eastAsia="楷体_GB2312"/>
          <w:b/>
          <w:sz w:val="32"/>
        </w:rPr>
        <w:t>（一）一般公共预算财政拨款支出决算总体情况</w:t>
      </w:r>
    </w:p>
    <w:p w14:paraId="7E182B67">
      <w:pPr>
        <w:spacing w:line="580" w:lineRule="exact"/>
        <w:ind w:firstLine="640"/>
        <w:jc w:val="both"/>
      </w:pPr>
      <w:r>
        <w:rPr>
          <w:rFonts w:ascii="仿宋_GB2312" w:hAnsi="仿宋_GB2312" w:eastAsia="仿宋_GB2312"/>
          <w:b/>
          <w:sz w:val="32"/>
        </w:rPr>
        <w:t>2024年度一般公共预算财政拨款支出2,032.99万元，</w:t>
      </w:r>
      <w:r>
        <w:rPr>
          <w:rFonts w:ascii="仿宋_GB2312" w:hAnsi="仿宋_GB2312" w:eastAsia="仿宋_GB2312"/>
          <w:b w:val="0"/>
          <w:sz w:val="32"/>
        </w:rPr>
        <w:t>占本年支出合计的90.96%。</w:t>
      </w:r>
      <w:r>
        <w:rPr>
          <w:rFonts w:ascii="仿宋_GB2312" w:hAnsi="仿宋_GB2312" w:eastAsia="仿宋_GB2312"/>
          <w:b/>
          <w:sz w:val="32"/>
        </w:rPr>
        <w:t>与上年相比，</w:t>
      </w:r>
      <w:r>
        <w:rPr>
          <w:rFonts w:ascii="仿宋_GB2312" w:hAnsi="仿宋_GB2312" w:eastAsia="仿宋_GB2312"/>
          <w:b w:val="0"/>
          <w:sz w:val="32"/>
        </w:rPr>
        <w:t>增加113.73万元，增长5.93%，主要原因是：1.本年在职人员工资调增，社保、公积金基数调增，人员经费增加；2.增加库科西鲁格乡旅游帐篷购置项目、瓦窑本村新型农村集体经济项目。</w:t>
      </w:r>
      <w:r>
        <w:rPr>
          <w:rFonts w:ascii="仿宋_GB2312" w:hAnsi="仿宋_GB2312" w:eastAsia="仿宋_GB2312"/>
          <w:b/>
          <w:sz w:val="32"/>
        </w:rPr>
        <w:t>与年初预算相比,</w:t>
      </w:r>
      <w:r>
        <w:rPr>
          <w:rFonts w:ascii="仿宋_GB2312" w:hAnsi="仿宋_GB2312" w:eastAsia="仿宋_GB2312"/>
          <w:b w:val="0"/>
          <w:sz w:val="32"/>
        </w:rPr>
        <w:t>年初预算数1,772.35万元，决算数2,032.99万元，预决算差异率14.71%，主要原因是：1.年中追加人员工资、社保、公积金基数调增部分资金；2.年中追加库科西鲁格乡旅游帐篷购置项目、瓦窑本村新型农村集体经济项目等，导致预决算存在差异。</w:t>
      </w:r>
    </w:p>
    <w:p w14:paraId="76656184">
      <w:pPr>
        <w:spacing w:line="640" w:lineRule="exact"/>
        <w:ind w:firstLine="640"/>
        <w:jc w:val="both"/>
        <w:outlineLvl w:val="3"/>
      </w:pPr>
      <w:r>
        <w:rPr>
          <w:rFonts w:ascii="楷体_GB2312" w:hAnsi="楷体_GB2312" w:eastAsia="楷体_GB2312"/>
          <w:b/>
          <w:sz w:val="32"/>
        </w:rPr>
        <w:t>（二）一般公共预算财政拨款支出决算结构情况</w:t>
      </w:r>
    </w:p>
    <w:p w14:paraId="1D1E4FAD">
      <w:pPr>
        <w:spacing w:line="580" w:lineRule="exact"/>
        <w:ind w:firstLine="640"/>
        <w:jc w:val="both"/>
      </w:pPr>
      <w:r>
        <w:rPr>
          <w:rFonts w:ascii="仿宋_GB2312" w:hAnsi="仿宋_GB2312" w:eastAsia="仿宋_GB2312"/>
          <w:b w:val="0"/>
          <w:sz w:val="32"/>
        </w:rPr>
        <w:t>1.一般公共服务支出(类)933.08万元,占45.90%。</w:t>
      </w:r>
    </w:p>
    <w:p w14:paraId="2BB75357">
      <w:pPr>
        <w:spacing w:line="580" w:lineRule="exact"/>
        <w:ind w:firstLine="640"/>
        <w:jc w:val="both"/>
      </w:pPr>
      <w:r>
        <w:rPr>
          <w:rFonts w:ascii="仿宋_GB2312" w:hAnsi="仿宋_GB2312" w:eastAsia="仿宋_GB2312"/>
          <w:b w:val="0"/>
          <w:sz w:val="32"/>
        </w:rPr>
        <w:t>2.文化旅游体育与传媒支出(类)7.90万元,占0.39%。</w:t>
      </w:r>
    </w:p>
    <w:p w14:paraId="552AC70E">
      <w:pPr>
        <w:spacing w:line="580" w:lineRule="exact"/>
        <w:ind w:firstLine="640"/>
        <w:jc w:val="both"/>
      </w:pPr>
      <w:r>
        <w:rPr>
          <w:rFonts w:ascii="仿宋_GB2312" w:hAnsi="仿宋_GB2312" w:eastAsia="仿宋_GB2312"/>
          <w:b w:val="0"/>
          <w:sz w:val="32"/>
        </w:rPr>
        <w:t>3.社会保障和就业支出(类)202.14万元,占9.94%。</w:t>
      </w:r>
    </w:p>
    <w:p w14:paraId="7C1E1728">
      <w:pPr>
        <w:spacing w:line="580" w:lineRule="exact"/>
        <w:ind w:firstLine="640"/>
        <w:jc w:val="both"/>
      </w:pPr>
      <w:r>
        <w:rPr>
          <w:rFonts w:ascii="仿宋_GB2312" w:hAnsi="仿宋_GB2312" w:eastAsia="仿宋_GB2312"/>
          <w:b w:val="0"/>
          <w:sz w:val="32"/>
        </w:rPr>
        <w:t>4.卫生健康支出(类)78.13万元,占3.84%。</w:t>
      </w:r>
    </w:p>
    <w:p w14:paraId="70EEC628">
      <w:pPr>
        <w:spacing w:line="580" w:lineRule="exact"/>
        <w:ind w:firstLine="640"/>
        <w:jc w:val="both"/>
      </w:pPr>
      <w:r>
        <w:rPr>
          <w:rFonts w:ascii="仿宋_GB2312" w:hAnsi="仿宋_GB2312" w:eastAsia="仿宋_GB2312"/>
          <w:b w:val="0"/>
          <w:sz w:val="32"/>
        </w:rPr>
        <w:t>5.农林水支出(类)663.08万元,占32.62%。</w:t>
      </w:r>
    </w:p>
    <w:p w14:paraId="49E4A86D">
      <w:pPr>
        <w:spacing w:line="580" w:lineRule="exact"/>
        <w:ind w:firstLine="640"/>
        <w:jc w:val="both"/>
      </w:pPr>
      <w:r>
        <w:rPr>
          <w:rFonts w:ascii="仿宋_GB2312" w:hAnsi="仿宋_GB2312" w:eastAsia="仿宋_GB2312"/>
          <w:b w:val="0"/>
          <w:sz w:val="32"/>
        </w:rPr>
        <w:t>6.住房保障支出(类)130.51万元,占6.42%。</w:t>
      </w:r>
    </w:p>
    <w:p w14:paraId="48E3EF76">
      <w:pPr>
        <w:spacing w:line="580" w:lineRule="exact"/>
        <w:ind w:firstLine="640"/>
        <w:jc w:val="both"/>
      </w:pPr>
      <w:r>
        <w:rPr>
          <w:rFonts w:ascii="仿宋_GB2312" w:hAnsi="仿宋_GB2312" w:eastAsia="仿宋_GB2312"/>
          <w:b w:val="0"/>
          <w:sz w:val="32"/>
        </w:rPr>
        <w:t>7.其他支出(类)18.15万元,占0.89%。</w:t>
      </w:r>
    </w:p>
    <w:p w14:paraId="53662F73">
      <w:pPr>
        <w:spacing w:line="640" w:lineRule="exact"/>
        <w:ind w:firstLine="640"/>
        <w:jc w:val="both"/>
        <w:outlineLvl w:val="3"/>
      </w:pPr>
      <w:r>
        <w:rPr>
          <w:rFonts w:ascii="楷体_GB2312" w:hAnsi="楷体_GB2312" w:eastAsia="楷体_GB2312"/>
          <w:b/>
          <w:sz w:val="32"/>
        </w:rPr>
        <w:t>（三）一般公共预算财政拨款支出决算具体情况</w:t>
      </w:r>
    </w:p>
    <w:p w14:paraId="06D01F68">
      <w:pPr>
        <w:spacing w:line="580" w:lineRule="exact"/>
        <w:ind w:firstLine="640"/>
        <w:jc w:val="both"/>
      </w:pPr>
      <w:r>
        <w:rPr>
          <w:rFonts w:ascii="仿宋_GB2312" w:hAnsi="仿宋_GB2312" w:eastAsia="仿宋_GB2312"/>
          <w:b w:val="0"/>
          <w:sz w:val="32"/>
        </w:rPr>
        <w:t>1.一般公共服务支出(类)人大事务(款)人大会议(项):支出决算数为1.04万元，比上年决算增加1.04万元，增长100.00%,主要原因是：2024年度新增人大会议经费。</w:t>
      </w:r>
    </w:p>
    <w:p w14:paraId="74FCC9B2">
      <w:pPr>
        <w:spacing w:line="580" w:lineRule="exact"/>
        <w:ind w:firstLine="640"/>
        <w:jc w:val="both"/>
      </w:pPr>
      <w:r>
        <w:rPr>
          <w:rFonts w:ascii="仿宋_GB2312" w:hAnsi="仿宋_GB2312" w:eastAsia="仿宋_GB2312"/>
          <w:b w:val="0"/>
          <w:sz w:val="32"/>
        </w:rPr>
        <w:t>2.一般公共服务支出(类)人大事务(款)代表工作(项):支出决算数为6.12万元，比上年决算减少2.45万元，下降28.59%,主要原因是：本年度人大活动经费、人大联络站经费减少。</w:t>
      </w:r>
    </w:p>
    <w:p w14:paraId="1B0A4E03">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3.一般公共服务支出(类)政协事务(款)其他政协事务支出(项):支出决算数为0.40万元，比上年决算增加0.20万元，增长100.00%,主要原因是：本年度政协活动经费增加。</w:t>
      </w:r>
    </w:p>
    <w:p w14:paraId="214E11B2">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4.一般公共服务支出(类)政府办公厅（室）及相关机构事务(款)行政运行(项):支出决算数为907.00万元，比上年决算减少45.94万元，下降4.82%,主要原因是：本年在职人员减少，相应人员经费较上年减少。</w:t>
      </w:r>
    </w:p>
    <w:p w14:paraId="7E40031A">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16.53万元，比上年决算增加16.53万元，增长100.00%,主要原因是：2024年度购置公车一辆，经费增加。</w:t>
      </w:r>
    </w:p>
    <w:p w14:paraId="4C782E50">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6.一般公共服务支出(类)纪检监察事务(款)其他纪检监察事务支出(项):支出决算数为2.00万元，比上年决算增加0.50万元，增长33.33%,主要原因是：2024年下拨纪检业务装备费和办案经费较上年增加。</w:t>
      </w:r>
    </w:p>
    <w:p w14:paraId="69E62B1A">
      <w:pPr>
        <w:spacing w:line="580" w:lineRule="exact"/>
        <w:ind w:firstLine="640"/>
        <w:jc w:val="both"/>
      </w:pPr>
      <w:r>
        <w:rPr>
          <w:rFonts w:ascii="仿宋_GB2312" w:hAnsi="仿宋_GB2312" w:eastAsia="仿宋_GB2312"/>
          <w:b w:val="0"/>
          <w:sz w:val="32"/>
        </w:rPr>
        <w:t>7.一般公共服务支出(类)组织事务(款)其他组织事务支出(项):支出决算数为0.00万元，比上年决算减少45.00万元，下降100.00%,主要原因是：本年村级运转经费与乡村综合治理及</w:t>
      </w:r>
      <w:r>
        <w:rPr>
          <w:rFonts w:hint="eastAsia" w:ascii="仿宋_GB2312" w:hAnsi="仿宋_GB2312" w:eastAsia="仿宋_GB2312"/>
          <w:b w:val="0"/>
          <w:sz w:val="32"/>
          <w:lang w:eastAsia="zh-CN"/>
        </w:rPr>
        <w:t>ZJ</w:t>
      </w:r>
      <w:r>
        <w:rPr>
          <w:rFonts w:ascii="仿宋_GB2312" w:hAnsi="仿宋_GB2312" w:eastAsia="仿宋_GB2312"/>
          <w:b w:val="0"/>
          <w:sz w:val="32"/>
        </w:rPr>
        <w:t>工作经费从其他组织事务支出科目调整至其他农林水支出科目。</w:t>
      </w:r>
    </w:p>
    <w:p w14:paraId="779B75D9">
      <w:pPr>
        <w:spacing w:line="580" w:lineRule="exact"/>
        <w:ind w:firstLine="640"/>
        <w:jc w:val="both"/>
      </w:pPr>
      <w:r>
        <w:rPr>
          <w:rFonts w:ascii="仿宋_GB2312" w:hAnsi="仿宋_GB2312" w:eastAsia="仿宋_GB2312"/>
          <w:b w:val="0"/>
          <w:sz w:val="32"/>
        </w:rPr>
        <w:t>8.文化旅游体育与传媒支出(类)文化和旅游(款)文化创作与保护(项):支出决算数为0.90万元，比上年决算减少0.70万元，下降43.75%,主要原因是：本年度下拨引水节和播种节费用减少。</w:t>
      </w:r>
    </w:p>
    <w:p w14:paraId="118B241C">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7.00万元，比上年决算增加0.00万元，增长0.00%,主要原因是：中央补助地方公共文化服务体系建设补助资金与文化站经费与上年一致无变化。</w:t>
      </w:r>
    </w:p>
    <w:p w14:paraId="489150C3">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0.00万元，比上年决算减少15.00万元，下降100.00%,主要原因是：本年度减少举办庆七一等各类活动经费。</w:t>
      </w:r>
    </w:p>
    <w:p w14:paraId="2445E8AF">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11.社会保障和就业支出(类)行政事业单位养老支出(款)行政单位离退休(项):支出决算数为27.81万元，比上年决算减少2.78万元，下降9.09%,主要原因是：减少退休人员部分绩效工资。</w:t>
      </w:r>
    </w:p>
    <w:p w14:paraId="3FFAF504">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152.95万元，比上年决算增加13.44万元，增长9.63%,主要原因是：本年在职人员工资基数调增，养老缴费基数上涨，相应支出增加。</w:t>
      </w:r>
    </w:p>
    <w:p w14:paraId="7338AAAD">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21.38万元，比上年决算增加21.38万元，增长100.00%,主要原因是：本年做实职业年金调出2人，导致机关事业单位职业年金缴费较上年增加。</w:t>
      </w:r>
    </w:p>
    <w:p w14:paraId="0291170B">
      <w:pPr>
        <w:spacing w:line="580" w:lineRule="exact"/>
        <w:ind w:firstLine="640"/>
        <w:jc w:val="both"/>
      </w:pPr>
      <w:r>
        <w:rPr>
          <w:rFonts w:ascii="仿宋_GB2312" w:hAnsi="仿宋_GB2312" w:eastAsia="仿宋_GB2312"/>
          <w:b w:val="0"/>
          <w:sz w:val="32"/>
        </w:rPr>
        <w:t>14.社会保障和就业支出(类)社会福利(款)殡葬(项):支出决算数为0.00万元，比上年决算减少42.94万元，下降100.00%,主要原因是：2024年度本单位无在职人员死亡情况，减少殡葬经费。</w:t>
      </w:r>
    </w:p>
    <w:p w14:paraId="080DA0C9">
      <w:pPr>
        <w:spacing w:line="580" w:lineRule="exact"/>
        <w:ind w:firstLine="640"/>
        <w:jc w:val="both"/>
      </w:pPr>
      <w:r>
        <w:rPr>
          <w:rFonts w:ascii="仿宋_GB2312" w:hAnsi="仿宋_GB2312" w:eastAsia="仿宋_GB2312"/>
          <w:b w:val="0"/>
          <w:sz w:val="32"/>
        </w:rPr>
        <w:t>15.卫生健康支出(类)行政事业单位医疗(款)行政单位医疗(项):支出决算数为64.18万元，比上年决算减少7.55万元，下降10.53%,主要原因是：本年在职人员减少，行政单位医疗较上年减少。</w:t>
      </w:r>
    </w:p>
    <w:p w14:paraId="35E6E177">
      <w:pPr>
        <w:spacing w:line="580" w:lineRule="exact"/>
        <w:ind w:firstLine="640"/>
        <w:jc w:val="both"/>
      </w:pPr>
      <w:r>
        <w:rPr>
          <w:rFonts w:ascii="仿宋_GB2312" w:hAnsi="仿宋_GB2312" w:eastAsia="仿宋_GB2312"/>
          <w:b w:val="0"/>
          <w:sz w:val="32"/>
        </w:rPr>
        <w:t>16.卫生健康支出(类)行政事业单位医疗(款)公务员医疗补助(项):支出决算数为13.95万元，比上年决算减少0.54万元，下降3.73%,主要原因是：本年在职人员减少，公务员医疗补助较上年减少。</w:t>
      </w:r>
    </w:p>
    <w:p w14:paraId="3765E3AF">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17.城乡社区支出(类)城乡社区公共设施(款)其他城乡社区公共设施支出(项):支出决算数为0.00万元，比上年决算减少29.20万元，下降100.00%,主要原因是：本年减少2023年库科西鲁格乡五小工程建设项目。</w:t>
      </w:r>
    </w:p>
    <w:p w14:paraId="3509B8CF">
      <w:pPr>
        <w:spacing w:line="580" w:lineRule="exact"/>
        <w:ind w:firstLine="640"/>
        <w:jc w:val="both"/>
      </w:pPr>
      <w:r>
        <w:rPr>
          <w:rFonts w:ascii="仿宋_GB2312" w:hAnsi="仿宋_GB2312" w:eastAsia="仿宋_GB2312"/>
          <w:b w:val="0"/>
          <w:sz w:val="32"/>
        </w:rPr>
        <w:t>18.农林水支出(类)农业农村(款)事业运行(项):支出决算数为338.64万元，比上年决算增加6.34万元，增长1.91%,主要原因是：本年在职人员工资调增，导致相关人员经费较上年有所增加。</w:t>
      </w:r>
    </w:p>
    <w:p w14:paraId="67681F9E">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176.39万元，比上年决算增加176.39万元，增长100.00%,主要原因是：本年度新增项目瓦窑本村新型农村集体经济项目、库科西鲁格乡购置旅游帐篷项目。</w:t>
      </w:r>
    </w:p>
    <w:p w14:paraId="09A3E9EC">
      <w:pPr>
        <w:spacing w:line="580" w:lineRule="exact"/>
        <w:ind w:firstLine="640"/>
        <w:jc w:val="both"/>
      </w:pPr>
      <w:r>
        <w:rPr>
          <w:rFonts w:ascii="仿宋_GB2312" w:hAnsi="仿宋_GB2312" w:eastAsia="仿宋_GB2312"/>
          <w:b w:val="0"/>
          <w:sz w:val="32"/>
        </w:rPr>
        <w:t>20.农林水支出(类)农村综合改革(款)对村级公益事业建设的补助(项):支出决算数为100.00万元，比上年决算增加100.00万元，增长100.00%,主要原因是：本年度新增项目库科西鲁格乡喀玛如孜村亮化项目与库科西鲁格乡其如克</w:t>
      </w:r>
      <w:r>
        <w:rPr>
          <w:rFonts w:hint="eastAsia" w:ascii="仿宋_GB2312" w:hAnsi="仿宋_GB2312" w:eastAsia="仿宋_GB2312"/>
          <w:b w:val="0"/>
          <w:sz w:val="32"/>
          <w:lang w:eastAsia="zh-CN"/>
        </w:rPr>
        <w:t>村</w:t>
      </w:r>
      <w:r>
        <w:rPr>
          <w:rFonts w:ascii="仿宋_GB2312" w:hAnsi="仿宋_GB2312" w:eastAsia="仿宋_GB2312"/>
          <w:b w:val="0"/>
          <w:sz w:val="32"/>
        </w:rPr>
        <w:t>亮化项目两个农综改项目。</w:t>
      </w:r>
    </w:p>
    <w:p w14:paraId="2DD04648">
      <w:pPr>
        <w:spacing w:line="580" w:lineRule="exact"/>
        <w:ind w:firstLine="640"/>
        <w:jc w:val="both"/>
      </w:pPr>
      <w:r>
        <w:rPr>
          <w:rFonts w:ascii="仿宋_GB2312" w:hAnsi="仿宋_GB2312" w:eastAsia="仿宋_GB2312"/>
          <w:b w:val="0"/>
          <w:sz w:val="32"/>
        </w:rPr>
        <w:t>21.农林水支出(类)农村综合改革(款)对村民委员会和村党支部的补助(项):支出决算数为0.00万元，比上年决算减少12.37万元，下降100.00%,主要原因是：本年度减少各村村委会维修项目，导致经费较上年减少。</w:t>
      </w:r>
    </w:p>
    <w:p w14:paraId="2D739998">
      <w:pPr>
        <w:spacing w:line="580" w:lineRule="exact"/>
        <w:ind w:firstLine="640"/>
        <w:jc w:val="both"/>
      </w:pPr>
      <w:r>
        <w:rPr>
          <w:rFonts w:ascii="仿宋_GB2312" w:hAnsi="仿宋_GB2312" w:eastAsia="仿宋_GB2312"/>
          <w:b w:val="0"/>
          <w:sz w:val="32"/>
        </w:rPr>
        <w:t>22.农林水支出(类)其他农林水支出(款)其他农林水支出(项):支出决算数为48.05万元，比上年决算增加47.03万元，增长4,610.78%,主要原因是：本年村级运转经费与乡村综合治理及</w:t>
      </w:r>
      <w:r>
        <w:rPr>
          <w:rFonts w:hint="eastAsia" w:ascii="仿宋_GB2312" w:hAnsi="仿宋_GB2312" w:eastAsia="仿宋_GB2312"/>
          <w:b w:val="0"/>
          <w:sz w:val="32"/>
          <w:lang w:eastAsia="zh-CN"/>
        </w:rPr>
        <w:t>ZJ</w:t>
      </w:r>
      <w:r>
        <w:rPr>
          <w:rFonts w:ascii="仿宋_GB2312" w:hAnsi="仿宋_GB2312" w:eastAsia="仿宋_GB2312"/>
          <w:b w:val="0"/>
          <w:sz w:val="32"/>
        </w:rPr>
        <w:t>工作经费从其他组织事务支出科目调整至其他农林水支出科目。</w:t>
      </w:r>
    </w:p>
    <w:p w14:paraId="1057B49C">
      <w:pPr>
        <w:spacing w:line="580" w:lineRule="exact"/>
        <w:ind w:firstLine="640"/>
        <w:jc w:val="both"/>
      </w:pPr>
      <w:r>
        <w:rPr>
          <w:rFonts w:ascii="仿宋_GB2312" w:hAnsi="仿宋_GB2312" w:eastAsia="仿宋_GB2312"/>
          <w:b w:val="0"/>
          <w:sz w:val="32"/>
        </w:rPr>
        <w:t>23.住房保障支出(类)住房改革支出(款)住房公积金(项):支出决算数为130.51万元，比上年决算增加17.21万元，增长15.19%,主要原因是：本年在职人员工资基数调增，公积金缴费基数上涨，相应支出增加。</w:t>
      </w:r>
    </w:p>
    <w:p w14:paraId="5FFBFF34">
      <w:pPr>
        <w:spacing w:line="580" w:lineRule="exact"/>
        <w:ind w:firstLine="640"/>
        <w:jc w:val="both"/>
      </w:pPr>
      <w:r>
        <w:rPr>
          <w:rFonts w:ascii="仿宋_GB2312" w:hAnsi="仿宋_GB2312" w:eastAsia="仿宋_GB2312"/>
          <w:b w:val="0"/>
          <w:sz w:val="32"/>
        </w:rPr>
        <w:t>24.其他支出(类)其他支出(款)其他支出(项):支出决算数为18.15万元，比上年决算减少81.87万元，下降81.85%,主要原因是：本年减少库科西鲁格乡五小工程建设项目。</w:t>
      </w:r>
    </w:p>
    <w:p w14:paraId="24094549">
      <w:pPr>
        <w:spacing w:line="640" w:lineRule="exact"/>
        <w:ind w:firstLine="640"/>
        <w:jc w:val="both"/>
        <w:outlineLvl w:val="2"/>
      </w:pPr>
      <w:r>
        <w:rPr>
          <w:rFonts w:ascii="黑体" w:hAnsi="黑体" w:eastAsia="黑体"/>
          <w:sz w:val="32"/>
        </w:rPr>
        <w:t>六、一般公共预算财政拨款基本支出决算情况说明</w:t>
      </w:r>
    </w:p>
    <w:p w14:paraId="138EC0AF">
      <w:pPr>
        <w:spacing w:line="580" w:lineRule="exact"/>
        <w:ind w:firstLine="640"/>
        <w:jc w:val="both"/>
      </w:pPr>
      <w:r>
        <w:rPr>
          <w:rFonts w:ascii="仿宋_GB2312" w:hAnsi="仿宋_GB2312" w:eastAsia="仿宋_GB2312"/>
          <w:b w:val="0"/>
          <w:sz w:val="32"/>
        </w:rPr>
        <w:t>2024年度一般公共预算财政拨款基本支出1,656.42万元，其中：</w:t>
      </w:r>
      <w:r>
        <w:rPr>
          <w:rFonts w:ascii="仿宋_GB2312" w:hAnsi="仿宋_GB2312" w:eastAsia="仿宋_GB2312"/>
          <w:b/>
          <w:sz w:val="32"/>
        </w:rPr>
        <w:t>人员经费1,604.69万元，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280701BF">
      <w:pPr>
        <w:spacing w:line="580" w:lineRule="exact"/>
        <w:ind w:firstLine="640"/>
        <w:jc w:val="both"/>
      </w:pPr>
      <w:r>
        <w:rPr>
          <w:rFonts w:ascii="仿宋_GB2312" w:hAnsi="仿宋_GB2312" w:eastAsia="仿宋_GB2312"/>
          <w:b/>
          <w:sz w:val="32"/>
        </w:rPr>
        <w:t>公用经费51.73万元，</w:t>
      </w:r>
      <w:r>
        <w:rPr>
          <w:rFonts w:ascii="仿宋_GB2312" w:hAnsi="仿宋_GB2312" w:eastAsia="仿宋_GB2312"/>
          <w:b w:val="0"/>
          <w:sz w:val="32"/>
        </w:rPr>
        <w:t>包括：办公费、水费、邮电费、取暖费、差旅费、公务用车运行维护费。</w:t>
      </w:r>
    </w:p>
    <w:p w14:paraId="2CD6FCB9">
      <w:pPr>
        <w:spacing w:line="640" w:lineRule="exact"/>
        <w:ind w:firstLine="640"/>
        <w:jc w:val="both"/>
        <w:outlineLvl w:val="2"/>
      </w:pPr>
      <w:r>
        <w:rPr>
          <w:rFonts w:ascii="黑体" w:hAnsi="黑体" w:eastAsia="黑体"/>
          <w:sz w:val="32"/>
        </w:rPr>
        <w:t>七、政府性基金预算财政拨款收入支出决算情况说明</w:t>
      </w:r>
    </w:p>
    <w:p w14:paraId="6DBC789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1E50E4">
      <w:pPr>
        <w:spacing w:line="640" w:lineRule="exact"/>
        <w:ind w:firstLine="640"/>
        <w:jc w:val="both"/>
        <w:outlineLvl w:val="2"/>
      </w:pPr>
      <w:r>
        <w:rPr>
          <w:rFonts w:ascii="黑体" w:hAnsi="黑体" w:eastAsia="黑体"/>
          <w:sz w:val="32"/>
        </w:rPr>
        <w:t>八、国有资本经营预算财政拨款收入支出决算情况说明</w:t>
      </w:r>
    </w:p>
    <w:p w14:paraId="537094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488778B">
      <w:pPr>
        <w:spacing w:line="640" w:lineRule="exact"/>
        <w:ind w:firstLine="640"/>
        <w:jc w:val="both"/>
        <w:outlineLvl w:val="2"/>
      </w:pPr>
      <w:r>
        <w:rPr>
          <w:rFonts w:ascii="黑体" w:hAnsi="黑体" w:eastAsia="黑体"/>
          <w:sz w:val="32"/>
        </w:rPr>
        <w:t>九、财政拨款“三公”经费支出决算情况说明</w:t>
      </w:r>
    </w:p>
    <w:p w14:paraId="686C6DC4">
      <w:pPr>
        <w:spacing w:line="580" w:lineRule="exact"/>
        <w:ind w:firstLine="640"/>
        <w:jc w:val="both"/>
      </w:pPr>
      <w:r>
        <w:rPr>
          <w:rFonts w:ascii="仿宋_GB2312" w:hAnsi="仿宋_GB2312" w:eastAsia="仿宋_GB2312"/>
          <w:b/>
          <w:sz w:val="32"/>
        </w:rPr>
        <w:t>2024年度财政拨款“三公”经费支出25.53万元，</w:t>
      </w:r>
      <w:r>
        <w:rPr>
          <w:rFonts w:ascii="仿宋_GB2312" w:hAnsi="仿宋_GB2312" w:eastAsia="仿宋_GB2312"/>
          <w:b w:val="0"/>
          <w:sz w:val="32"/>
        </w:rPr>
        <w:t>比上年增加16.53万元，增长183.67%，主要原因是：本年度新购置一辆公务用车，车辆购置费增加。其中：因公出国（境）费支出0.00万元，占0.00%，比上年增加0.00万元，增长0.00%，主要原因是：2023年与2024年均未安排因公出国（境）费支出。公务用车购置及运行维护费支出25.53万元，占100.00%，比上年增加16.53万元，增长183.67%，主要原因是：本年度新购置一辆公务用车，车辆购置费增加。公务接待费支出0.00万元，占0.00%，比上年增加0.00万元，增长0.00%，主要原因是：2023年与2024年均未安排公务接待费支出。</w:t>
      </w:r>
    </w:p>
    <w:p w14:paraId="5FF80EA8">
      <w:pPr>
        <w:spacing w:line="580" w:lineRule="exact"/>
        <w:ind w:firstLine="640"/>
        <w:jc w:val="both"/>
      </w:pPr>
      <w:r>
        <w:rPr>
          <w:rFonts w:ascii="仿宋_GB2312" w:hAnsi="仿宋_GB2312" w:eastAsia="仿宋_GB2312"/>
          <w:b/>
          <w:sz w:val="32"/>
        </w:rPr>
        <w:t>具体情况如下：</w:t>
      </w:r>
    </w:p>
    <w:p w14:paraId="343E904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577ACE">
      <w:pPr>
        <w:spacing w:line="580" w:lineRule="exact"/>
        <w:ind w:firstLine="640"/>
        <w:jc w:val="both"/>
      </w:pPr>
      <w:r>
        <w:rPr>
          <w:rFonts w:ascii="仿宋_GB2312" w:hAnsi="仿宋_GB2312" w:eastAsia="仿宋_GB2312"/>
          <w:b w:val="0"/>
          <w:sz w:val="32"/>
        </w:rPr>
        <w:t>公务用车购置及运行维护费25.53万元，其中：公务用车购置费16.53万元，公务用车运行维护费9.00万元。公务用车运行维护费开支内容包括保险费，维护维修费，车辆燃油费，过路费。公务用车购置数1辆，公务用车保有量5辆。国有资产占用情况中固定资产车辆5辆，与公务用车保有量差异原因是：本单位固定资产车辆与公务用车保有量一致无差异。</w:t>
      </w:r>
    </w:p>
    <w:p w14:paraId="419CF38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BE86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25.53万元，决算数25.53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9.00万元，决算数9.00万元，预决算差异率0.00%，主要原因是：严格按照预算执行，预决算无差异。公务接待费全年预算数0.00万元，决算数0.00万元，预决算差异率0.00%，主要原因是：本单位无公务接待费。</w:t>
      </w:r>
    </w:p>
    <w:p w14:paraId="211A59E4">
      <w:pPr>
        <w:spacing w:line="640" w:lineRule="exact"/>
        <w:ind w:firstLine="640"/>
        <w:jc w:val="both"/>
        <w:outlineLvl w:val="2"/>
      </w:pPr>
      <w:r>
        <w:rPr>
          <w:rFonts w:ascii="黑体" w:hAnsi="黑体" w:eastAsia="黑体"/>
          <w:sz w:val="32"/>
        </w:rPr>
        <w:t>十、其他重要事项的情况说明</w:t>
      </w:r>
    </w:p>
    <w:p w14:paraId="2D6E2574">
      <w:pPr>
        <w:spacing w:line="640" w:lineRule="exact"/>
        <w:ind w:firstLine="640"/>
        <w:jc w:val="both"/>
        <w:outlineLvl w:val="3"/>
      </w:pPr>
      <w:r>
        <w:rPr>
          <w:rFonts w:ascii="楷体_GB2312" w:hAnsi="楷体_GB2312" w:eastAsia="楷体_GB2312"/>
          <w:b/>
          <w:sz w:val="32"/>
        </w:rPr>
        <w:t>（一）机关运行经费及公用经费支出情况</w:t>
      </w:r>
    </w:p>
    <w:p w14:paraId="0C15B187">
      <w:pPr>
        <w:spacing w:line="580" w:lineRule="exact"/>
        <w:ind w:firstLine="640"/>
        <w:jc w:val="both"/>
      </w:pPr>
      <w:r>
        <w:rPr>
          <w:rFonts w:ascii="仿宋_GB2312" w:hAnsi="仿宋_GB2312" w:eastAsia="仿宋_GB2312"/>
          <w:b w:val="0"/>
          <w:sz w:val="32"/>
        </w:rPr>
        <w:t>2024年度塔什库尔干塔吉克自治县库科西鲁格乡人民政府（行政单位和参照公务员法管理事业单位）机关运行经费支出51.73万元，比上年增加1.50万元，增长2.99%，主要原因是：本年业务量增加，公用经费增加。</w:t>
      </w:r>
    </w:p>
    <w:p w14:paraId="1D69C525">
      <w:pPr>
        <w:spacing w:line="640" w:lineRule="exact"/>
        <w:ind w:firstLine="640"/>
        <w:jc w:val="both"/>
        <w:outlineLvl w:val="3"/>
      </w:pPr>
      <w:r>
        <w:rPr>
          <w:rFonts w:ascii="楷体_GB2312" w:hAnsi="楷体_GB2312" w:eastAsia="楷体_GB2312"/>
          <w:b/>
          <w:sz w:val="32"/>
        </w:rPr>
        <w:t>（二）政府采购情况</w:t>
      </w:r>
    </w:p>
    <w:p w14:paraId="3BE0AAED">
      <w:pPr>
        <w:spacing w:line="580" w:lineRule="exact"/>
        <w:ind w:firstLine="640"/>
        <w:jc w:val="both"/>
      </w:pPr>
      <w:r>
        <w:rPr>
          <w:rFonts w:ascii="仿宋_GB2312" w:hAnsi="仿宋_GB2312" w:eastAsia="仿宋_GB2312"/>
          <w:b w:val="0"/>
          <w:sz w:val="32"/>
        </w:rPr>
        <w:t>2024年度政府采购支出总额194.74万元，其中：政府采购货物支出188.93万元、政府采购工程支出1.40万元、政府采购服务支出4.41万元。</w:t>
      </w:r>
    </w:p>
    <w:p w14:paraId="7C4B8C9A">
      <w:pPr>
        <w:spacing w:line="580" w:lineRule="exact"/>
        <w:ind w:firstLine="640"/>
        <w:jc w:val="both"/>
      </w:pPr>
      <w:r>
        <w:rPr>
          <w:rFonts w:ascii="仿宋_GB2312" w:hAnsi="仿宋_GB2312" w:eastAsia="仿宋_GB2312"/>
          <w:b w:val="0"/>
          <w:sz w:val="32"/>
        </w:rPr>
        <w:t>授予中小企业合同金额189.60万元，占政府采购支出总额的97.36%，其中：授予小微企业合同金额125.59万元，占政府采购支出总额的64.49%。</w:t>
      </w:r>
    </w:p>
    <w:p w14:paraId="2D7A4A4D">
      <w:pPr>
        <w:spacing w:line="640" w:lineRule="exact"/>
        <w:ind w:firstLine="640"/>
        <w:jc w:val="both"/>
        <w:outlineLvl w:val="3"/>
      </w:pPr>
      <w:r>
        <w:rPr>
          <w:rFonts w:ascii="楷体_GB2312" w:hAnsi="楷体_GB2312" w:eastAsia="楷体_GB2312"/>
          <w:b/>
          <w:sz w:val="32"/>
        </w:rPr>
        <w:t>（三）国有资产占用情况说明</w:t>
      </w:r>
    </w:p>
    <w:p w14:paraId="5E5F351B">
      <w:pPr>
        <w:spacing w:line="580" w:lineRule="exact"/>
        <w:ind w:firstLine="640"/>
        <w:jc w:val="both"/>
      </w:pPr>
      <w:r>
        <w:rPr>
          <w:rFonts w:ascii="仿宋_GB2312" w:hAnsi="仿宋_GB2312" w:eastAsia="仿宋_GB2312"/>
          <w:b w:val="0"/>
          <w:sz w:val="32"/>
        </w:rPr>
        <w:t>截至2024年12月31日，房屋3,199.20平方米，价值721.87万元。车辆5辆，价值79.35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652B1290">
      <w:pPr>
        <w:spacing w:line="640" w:lineRule="exact"/>
        <w:ind w:firstLine="640"/>
        <w:jc w:val="both"/>
        <w:outlineLvl w:val="2"/>
      </w:pPr>
      <w:r>
        <w:rPr>
          <w:rFonts w:ascii="黑体" w:hAnsi="黑体" w:eastAsia="黑体"/>
          <w:sz w:val="32"/>
        </w:rPr>
        <w:t>十一、预算绩效的情况说明</w:t>
      </w:r>
    </w:p>
    <w:p w14:paraId="1ECC3B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2,234.98万元，实际执行总额2,234.98万元；预算绩效评价项目6个，全年预算数123.85万元，全年执行数123.83万元。预算绩效管理取得的成效：一是为加强预算管理，规范财务行为，已制定各项管理制度，有效保障了高效履行工作职能，加强了制度建设，打牢绩效管理工作基础。二是提高财政资金使用效益，确保民生工程顺利开展，对专项资金使用效果好的予以继续支持，对专项资金管理较好的做法予以宣传推广。发现的问题及原因：一是绩效管理专业人员匮乏，规范管理有盲点。预算绩效管理工作的覆盖面广、专业性强，不论预算单位在开展日常管理，还是财政部门组织实施绩效评价，都需要具备一定专业素养和实战经验的人力资源。二是对绩效目标偏差问题缺乏有效分析，从而导致填报的内容相对简单。三是在部门整体支出的资金安排和使用上仍有不可预见性，在经费支出科学化精细化管理上还有待加强。下一步改进措施：一是提高对预算编制重要性的认识，严格按照财政部门要求编制部门预算，认真做好编制前的准备工作，合理确定收入来源，预算收支数字必须依据充分确定的资料，努力提高预算的透明度，加强业务学习，科学合理</w:t>
      </w:r>
      <w:r>
        <w:rPr>
          <w:rFonts w:hint="eastAsia" w:ascii="仿宋_GB2312" w:hAnsi="仿宋_GB2312" w:eastAsia="仿宋_GB2312"/>
          <w:b w:val="0"/>
          <w:sz w:val="32"/>
          <w:lang w:eastAsia="zh-CN"/>
        </w:rPr>
        <w:t>制定</w:t>
      </w:r>
      <w:r>
        <w:rPr>
          <w:rFonts w:ascii="仿宋_GB2312" w:hAnsi="仿宋_GB2312" w:eastAsia="仿宋_GB2312"/>
          <w:b w:val="0"/>
          <w:sz w:val="32"/>
        </w:rPr>
        <w:t>绩效目标及考核体系，充分发挥绩效工作效用。二是配齐配强绩效管理人员。对人员进行明确分工，明确工作职责，加强人员培训，建立完善的预算绩效管理工作岗位职责及规章制度，建立全过程预算绩效管理链条，制定绩效管理监督制度，对整体的支出实施过程进行严格监控。具体附整体支出绩效自评表，项目支出绩效自评表和评价报告。</w:t>
      </w:r>
    </w:p>
    <w:p w14:paraId="7387CD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52290F">
        <w:tblPrEx>
          <w:tblCellMar>
            <w:top w:w="0" w:type="dxa"/>
            <w:left w:w="108" w:type="dxa"/>
            <w:bottom w:w="0" w:type="dxa"/>
            <w:right w:w="108" w:type="dxa"/>
          </w:tblCellMar>
        </w:tblPrEx>
        <w:tc>
          <w:tcPr>
            <w:tcW w:w="8847" w:type="dxa"/>
            <w:gridSpan w:val="9"/>
            <w:vAlign w:val="center"/>
          </w:tcPr>
          <w:p w14:paraId="7F78AB66">
            <w:pPr>
              <w:jc w:val="center"/>
            </w:pPr>
            <w:r>
              <w:rPr>
                <w:rFonts w:ascii="宋体" w:hAnsi="宋体" w:eastAsia="宋体"/>
                <w:sz w:val="24"/>
              </w:rPr>
              <w:t>单位整体支出绩效自评表</w:t>
            </w:r>
          </w:p>
        </w:tc>
      </w:tr>
      <w:tr w14:paraId="6A71974D">
        <w:tblPrEx>
          <w:tblCellMar>
            <w:top w:w="0" w:type="dxa"/>
            <w:left w:w="108" w:type="dxa"/>
            <w:bottom w:w="0" w:type="dxa"/>
            <w:right w:w="108" w:type="dxa"/>
          </w:tblCellMar>
        </w:tblPrEx>
        <w:tc>
          <w:tcPr>
            <w:tcW w:w="8847" w:type="dxa"/>
            <w:gridSpan w:val="9"/>
            <w:vAlign w:val="center"/>
          </w:tcPr>
          <w:p w14:paraId="13A5F25A">
            <w:pPr>
              <w:jc w:val="center"/>
            </w:pPr>
            <w:r>
              <w:rPr>
                <w:rFonts w:ascii="宋体" w:hAnsi="宋体" w:eastAsia="宋体"/>
                <w:sz w:val="24"/>
              </w:rPr>
              <w:t>（2024年度）</w:t>
            </w:r>
          </w:p>
        </w:tc>
      </w:tr>
      <w:tr w14:paraId="15F387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DCE4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C57217">
            <w:pPr>
              <w:jc w:val="center"/>
            </w:pPr>
            <w:r>
              <w:rPr>
                <w:rFonts w:ascii="宋体" w:hAnsi="宋体" w:eastAsia="宋体"/>
                <w:sz w:val="16"/>
              </w:rPr>
              <w:t>塔什库尔干塔吉克自治县库科西鲁格乡人民政府</w:t>
            </w:r>
          </w:p>
        </w:tc>
      </w:tr>
      <w:tr w14:paraId="6B77D8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AAA67">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C39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93EE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5F9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5F0D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EED1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C08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B8BC">
            <w:pPr>
              <w:jc w:val="center"/>
            </w:pPr>
            <w:r>
              <w:rPr>
                <w:rFonts w:ascii="宋体" w:hAnsi="宋体" w:eastAsia="宋体"/>
                <w:sz w:val="16"/>
              </w:rPr>
              <w:t>得分</w:t>
            </w:r>
          </w:p>
        </w:tc>
      </w:tr>
      <w:tr w14:paraId="02E7D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C36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84B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99021">
            <w:pPr>
              <w:jc w:val="center"/>
            </w:pPr>
            <w:r>
              <w:rPr>
                <w:rFonts w:ascii="宋体" w:hAnsi="宋体" w:eastAsia="宋体"/>
                <w:sz w:val="16"/>
              </w:rPr>
              <w:t>1,772.35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ED791">
            <w:pPr>
              <w:jc w:val="center"/>
            </w:pPr>
            <w:r>
              <w:rPr>
                <w:rFonts w:ascii="宋体" w:hAnsi="宋体" w:eastAsia="宋体"/>
                <w:sz w:val="16"/>
              </w:rPr>
              <w:t>2,234.98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145B4">
            <w:pPr>
              <w:jc w:val="center"/>
            </w:pPr>
            <w:r>
              <w:rPr>
                <w:rFonts w:ascii="宋体" w:hAnsi="宋体" w:eastAsia="宋体"/>
                <w:sz w:val="16"/>
              </w:rPr>
              <w:t>2,234.98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C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4610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DFAF">
            <w:pPr>
              <w:jc w:val="center"/>
            </w:pPr>
            <w:r>
              <w:rPr>
                <w:rFonts w:ascii="宋体" w:hAnsi="宋体" w:eastAsia="宋体"/>
                <w:sz w:val="16"/>
              </w:rPr>
              <w:t>10</w:t>
            </w:r>
          </w:p>
        </w:tc>
      </w:tr>
      <w:tr w14:paraId="47094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6BC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113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50AC6">
            <w:pPr>
              <w:jc w:val="center"/>
            </w:pPr>
            <w:r>
              <w:rPr>
                <w:rFonts w:ascii="宋体" w:hAnsi="宋体" w:eastAsia="宋体"/>
                <w:sz w:val="16"/>
              </w:rPr>
              <w:t>16.53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BB730">
            <w:pPr>
              <w:jc w:val="center"/>
            </w:pPr>
            <w:r>
              <w:rPr>
                <w:rFonts w:ascii="宋体" w:hAnsi="宋体" w:eastAsia="宋体"/>
                <w:sz w:val="16"/>
              </w:rPr>
              <w:t>578.56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0CA1">
            <w:pPr>
              <w:jc w:val="center"/>
            </w:pPr>
            <w:r>
              <w:rPr>
                <w:rFonts w:ascii="宋体" w:hAnsi="宋体" w:eastAsia="宋体"/>
                <w:sz w:val="16"/>
              </w:rPr>
              <w:t>578.56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F1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F5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4BBF">
            <w:pPr>
              <w:jc w:val="center"/>
            </w:pPr>
            <w:r>
              <w:rPr>
                <w:rFonts w:ascii="宋体" w:hAnsi="宋体" w:eastAsia="宋体"/>
                <w:sz w:val="16"/>
              </w:rPr>
              <w:t>—</w:t>
            </w:r>
          </w:p>
        </w:tc>
      </w:tr>
      <w:tr w14:paraId="7A0248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001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A612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07F1">
            <w:pPr>
              <w:jc w:val="center"/>
            </w:pPr>
            <w:r>
              <w:rPr>
                <w:rFonts w:ascii="宋体" w:hAnsi="宋体" w:eastAsia="宋体"/>
                <w:sz w:val="16"/>
              </w:rPr>
              <w:t>1,755.82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296DE">
            <w:pPr>
              <w:jc w:val="center"/>
            </w:pPr>
            <w:r>
              <w:rPr>
                <w:rFonts w:ascii="宋体" w:hAnsi="宋体" w:eastAsia="宋体"/>
                <w:sz w:val="16"/>
              </w:rPr>
              <w:t>1,656.42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6CD02">
            <w:pPr>
              <w:jc w:val="center"/>
            </w:pPr>
            <w:r>
              <w:rPr>
                <w:rFonts w:ascii="宋体" w:hAnsi="宋体" w:eastAsia="宋体"/>
                <w:sz w:val="16"/>
              </w:rPr>
              <w:t>1,656.42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864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E9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502B">
            <w:pPr>
              <w:jc w:val="center"/>
            </w:pPr>
            <w:r>
              <w:rPr>
                <w:rFonts w:ascii="宋体" w:hAnsi="宋体" w:eastAsia="宋体"/>
                <w:sz w:val="16"/>
              </w:rPr>
              <w:t>—</w:t>
            </w:r>
          </w:p>
        </w:tc>
      </w:tr>
      <w:tr w14:paraId="0CA710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D5C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06F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2A6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AE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809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B25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DAD0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B4C9">
            <w:pPr>
              <w:jc w:val="center"/>
            </w:pPr>
            <w:r>
              <w:rPr>
                <w:rFonts w:ascii="宋体" w:hAnsi="宋体" w:eastAsia="宋体"/>
                <w:sz w:val="16"/>
              </w:rPr>
              <w:t>—</w:t>
            </w:r>
          </w:p>
        </w:tc>
      </w:tr>
      <w:tr w14:paraId="4224AA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FA72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A9B6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96FA05">
            <w:pPr>
              <w:jc w:val="center"/>
            </w:pPr>
            <w:r>
              <w:rPr>
                <w:rFonts w:ascii="宋体" w:hAnsi="宋体" w:eastAsia="宋体"/>
                <w:sz w:val="16"/>
              </w:rPr>
              <w:t>实际完成目标</w:t>
            </w:r>
          </w:p>
        </w:tc>
      </w:tr>
      <w:tr w14:paraId="7D380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2769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50A73D">
            <w:pPr>
              <w:jc w:val="both"/>
            </w:pPr>
            <w:r>
              <w:rPr>
                <w:rFonts w:ascii="宋体" w:hAnsi="宋体" w:eastAsia="宋体"/>
                <w:sz w:val="16"/>
              </w:rPr>
              <w:t>2024年库克西鲁格乡</w:t>
            </w:r>
            <w:r>
              <w:rPr>
                <w:rFonts w:hint="eastAsia" w:ascii="宋体" w:hAnsi="宋体"/>
                <w:sz w:val="16"/>
                <w:lang w:eastAsia="zh-CN"/>
              </w:rPr>
              <w:t>党委、政府</w:t>
            </w:r>
            <w:r>
              <w:rPr>
                <w:rFonts w:ascii="宋体" w:hAnsi="宋体" w:eastAsia="宋体"/>
                <w:sz w:val="16"/>
              </w:rPr>
              <w:t>将立足实际，围绕“生态立乡、产业立乡、旅游活乡、党建强乡”。全面做好补短板、促改革、调结构、稳增长、防风险、惠民生工，全力加快建设宜居、宜业、宜游，农牧民持续增收、民俗风情浓厚、生态环境优美、人与自然特色的乡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F06D3">
            <w:pPr>
              <w:jc w:val="both"/>
            </w:pPr>
            <w:r>
              <w:rPr>
                <w:rFonts w:ascii="宋体" w:hAnsi="宋体" w:eastAsia="宋体"/>
                <w:sz w:val="16"/>
              </w:rPr>
              <w:t>2024年库克西鲁格乡</w:t>
            </w:r>
            <w:r>
              <w:rPr>
                <w:rFonts w:hint="eastAsia" w:ascii="宋体" w:hAnsi="宋体"/>
                <w:sz w:val="16"/>
                <w:lang w:eastAsia="zh-CN"/>
              </w:rPr>
              <w:t>党委、政府</w:t>
            </w:r>
            <w:r>
              <w:rPr>
                <w:rFonts w:ascii="宋体" w:hAnsi="宋体" w:eastAsia="宋体"/>
                <w:sz w:val="16"/>
              </w:rPr>
              <w:t>将立足实际，围绕“生态立乡、产业立乡、旅游活乡、党建强乡”。全面做好补短板、促改革、调结构、稳增长、防风险、惠民生工，全力加快建设宜居、宜业、宜游，农牧民持续增收、民俗风情浓厚、生态环境优美、人与自然特色的乡村目标已完成。2024年具体完成的重要工作有：推动亮化项目村数量达到了2个村，开展了1场文化活动，完成了4154.81亩小麦、玉米、青稞、苜蓿、蔬菜、党参种植，推动美丽乡村人居环境整治工作方面涉及户数达508户，林果业产量达到了300吨。</w:t>
            </w:r>
          </w:p>
        </w:tc>
      </w:tr>
      <w:tr w14:paraId="3CA9E4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F9D1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5B5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128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B99F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796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3A1F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612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F41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FF01A">
            <w:pPr>
              <w:jc w:val="center"/>
            </w:pPr>
            <w:r>
              <w:rPr>
                <w:rFonts w:ascii="宋体" w:hAnsi="宋体" w:eastAsia="宋体"/>
                <w:sz w:val="16"/>
              </w:rPr>
              <w:t>得分</w:t>
            </w:r>
          </w:p>
        </w:tc>
      </w:tr>
      <w:tr w14:paraId="6E3293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EF81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139E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0CB8F">
            <w:pPr>
              <w:jc w:val="center"/>
            </w:pPr>
            <w:r>
              <w:rPr>
                <w:rFonts w:ascii="宋体" w:hAnsi="宋体" w:eastAsia="宋体"/>
                <w:sz w:val="16"/>
              </w:rPr>
              <w:t>推动亮化项目村数量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0CB4">
            <w:pPr>
              <w:jc w:val="center"/>
            </w:pPr>
            <w:r>
              <w:rPr>
                <w:rFonts w:ascii="宋体" w:hAnsi="宋体" w:eastAsia="宋体"/>
                <w:sz w:val="16"/>
              </w:rPr>
              <w:t>&gt;=2个村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9A97A">
            <w:pPr>
              <w:jc w:val="center"/>
            </w:pPr>
            <w:r>
              <w:rPr>
                <w:rFonts w:ascii="宋体" w:hAnsi="宋体" w:eastAsia="宋体"/>
                <w:sz w:val="16"/>
              </w:rPr>
              <w:t>2024年库科西鲁格乡人民政府工作计划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953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15501">
            <w:pPr>
              <w:jc w:val="center"/>
            </w:pPr>
            <w:r>
              <w:rPr>
                <w:rFonts w:ascii="宋体" w:hAnsi="宋体" w:eastAsia="宋体"/>
                <w:sz w:val="16"/>
              </w:rPr>
              <w:t>2个村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CE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4F4E3">
            <w:pPr>
              <w:jc w:val="center"/>
            </w:pPr>
            <w:r>
              <w:rPr>
                <w:rFonts w:ascii="宋体" w:hAnsi="宋体" w:eastAsia="宋体"/>
                <w:sz w:val="16"/>
              </w:rPr>
              <w:t>20</w:t>
            </w:r>
          </w:p>
        </w:tc>
      </w:tr>
      <w:tr w14:paraId="075A6B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795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76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F6932">
            <w:pPr>
              <w:jc w:val="center"/>
            </w:pPr>
            <w:r>
              <w:rPr>
                <w:rFonts w:ascii="宋体" w:hAnsi="宋体" w:eastAsia="宋体"/>
                <w:sz w:val="16"/>
              </w:rPr>
              <w:t>开展文化活动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8D0A">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EEF3">
            <w:pPr>
              <w:jc w:val="center"/>
            </w:pPr>
            <w:r>
              <w:rPr>
                <w:rFonts w:ascii="宋体" w:hAnsi="宋体" w:eastAsia="宋体"/>
                <w:sz w:val="16"/>
              </w:rPr>
              <w:t>2024年库克西鲁格乡人民政府工作计划2024年库科西鲁格乡人民政府工作计划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E3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53BB">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8C8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93F1E">
            <w:pPr>
              <w:jc w:val="center"/>
            </w:pPr>
            <w:r>
              <w:rPr>
                <w:rFonts w:ascii="宋体" w:hAnsi="宋体" w:eastAsia="宋体"/>
                <w:sz w:val="16"/>
              </w:rPr>
              <w:t>20</w:t>
            </w:r>
          </w:p>
        </w:tc>
      </w:tr>
      <w:tr w14:paraId="29522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479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7CD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6CEF">
            <w:pPr>
              <w:jc w:val="center"/>
            </w:pPr>
            <w:r>
              <w:rPr>
                <w:rFonts w:ascii="宋体" w:hAnsi="宋体" w:eastAsia="宋体"/>
                <w:sz w:val="16"/>
              </w:rPr>
              <w:t>种植小麦、玉米、青稞、苜蓿、蔬菜、党参亩数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F3E99">
            <w:pPr>
              <w:jc w:val="center"/>
            </w:pPr>
            <w:r>
              <w:rPr>
                <w:rFonts w:ascii="宋体" w:hAnsi="宋体" w:eastAsia="宋体"/>
                <w:sz w:val="16"/>
              </w:rPr>
              <w:t>=4058亩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42D5D">
            <w:pPr>
              <w:jc w:val="center"/>
            </w:pPr>
            <w:r>
              <w:rPr>
                <w:rFonts w:ascii="宋体" w:hAnsi="宋体" w:eastAsia="宋体"/>
                <w:sz w:val="16"/>
              </w:rPr>
              <w:t>2024年库克西鲁格乡人民政府工作计划2024年库科西鲁格乡人民政府工作计划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C6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A8EFC">
            <w:pPr>
              <w:jc w:val="center"/>
            </w:pPr>
            <w:r>
              <w:rPr>
                <w:rFonts w:ascii="宋体" w:hAnsi="宋体" w:eastAsia="宋体"/>
                <w:sz w:val="16"/>
              </w:rPr>
              <w:t>4154.81亩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EE7E">
            <w:pPr>
              <w:jc w:val="center"/>
            </w:pPr>
            <w:r>
              <w:rPr>
                <w:rFonts w:ascii="宋体" w:hAnsi="宋体" w:eastAsia="宋体"/>
                <w:sz w:val="16"/>
              </w:rPr>
              <w:t>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1DB6">
            <w:pPr>
              <w:jc w:val="center"/>
            </w:pPr>
            <w:r>
              <w:rPr>
                <w:rFonts w:ascii="宋体" w:hAnsi="宋体" w:eastAsia="宋体"/>
                <w:sz w:val="16"/>
              </w:rPr>
              <w:t>20</w:t>
            </w:r>
          </w:p>
        </w:tc>
      </w:tr>
      <w:tr w14:paraId="16C2A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5CA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BF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D5E8">
            <w:pPr>
              <w:jc w:val="center"/>
            </w:pPr>
            <w:r>
              <w:rPr>
                <w:rFonts w:ascii="宋体" w:hAnsi="宋体" w:eastAsia="宋体"/>
                <w:sz w:val="16"/>
              </w:rPr>
              <w:t>推动美丽乡村人居环境整治工作方面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E0F44">
            <w:pPr>
              <w:jc w:val="center"/>
            </w:pPr>
            <w:r>
              <w:rPr>
                <w:rFonts w:ascii="宋体" w:hAnsi="宋体" w:eastAsia="宋体"/>
                <w:sz w:val="16"/>
              </w:rPr>
              <w:t>&gt;=508户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7BDD">
            <w:pPr>
              <w:jc w:val="center"/>
            </w:pPr>
            <w:r>
              <w:rPr>
                <w:rFonts w:ascii="宋体" w:hAnsi="宋体" w:eastAsia="宋体"/>
                <w:sz w:val="16"/>
              </w:rPr>
              <w:t>2024年库克西鲁格乡人民政府工作计划2024年库科西鲁格乡人民政府工作计划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252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B389A">
            <w:pPr>
              <w:jc w:val="center"/>
            </w:pPr>
            <w:r>
              <w:rPr>
                <w:rFonts w:ascii="宋体" w:hAnsi="宋体" w:eastAsia="宋体"/>
                <w:sz w:val="16"/>
              </w:rPr>
              <w:t>508户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FB3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AD6A">
            <w:pPr>
              <w:jc w:val="center"/>
            </w:pPr>
            <w:r>
              <w:rPr>
                <w:rFonts w:ascii="宋体" w:hAnsi="宋体" w:eastAsia="宋体"/>
                <w:sz w:val="16"/>
              </w:rPr>
              <w:t>20</w:t>
            </w:r>
          </w:p>
        </w:tc>
      </w:tr>
      <w:tr w14:paraId="57EFF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9E6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9C1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2EA9">
            <w:pPr>
              <w:jc w:val="center"/>
            </w:pPr>
            <w:r>
              <w:rPr>
                <w:rFonts w:ascii="宋体" w:hAnsi="宋体" w:eastAsia="宋体"/>
                <w:sz w:val="16"/>
              </w:rPr>
              <w:t>林果业产量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7B438">
            <w:pPr>
              <w:jc w:val="center"/>
            </w:pPr>
            <w:r>
              <w:rPr>
                <w:rFonts w:ascii="宋体" w:hAnsi="宋体" w:eastAsia="宋体"/>
                <w:sz w:val="16"/>
              </w:rPr>
              <w:t>&gt;=300吨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DC85">
            <w:pPr>
              <w:jc w:val="center"/>
            </w:pPr>
            <w:r>
              <w:rPr>
                <w:rFonts w:ascii="宋体" w:hAnsi="宋体" w:eastAsia="宋体"/>
                <w:sz w:val="16"/>
              </w:rPr>
              <w:t>2024年库科西鲁格乡人民政府工作计划2024年库科西鲁格乡人民政府工作计划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4A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CA86">
            <w:pPr>
              <w:jc w:val="center"/>
            </w:pPr>
            <w:r>
              <w:rPr>
                <w:rFonts w:ascii="宋体" w:hAnsi="宋体" w:eastAsia="宋体"/>
                <w:sz w:val="16"/>
              </w:rPr>
              <w:t>300吨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31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F3C1">
            <w:pPr>
              <w:jc w:val="center"/>
            </w:pPr>
            <w:r>
              <w:rPr>
                <w:rFonts w:ascii="宋体" w:hAnsi="宋体" w:eastAsia="宋体"/>
                <w:sz w:val="16"/>
              </w:rPr>
              <w:t>10</w:t>
            </w:r>
          </w:p>
        </w:tc>
      </w:tr>
    </w:tbl>
    <w:p w14:paraId="461EE8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4F896AC">
        <w:tc>
          <w:tcPr>
            <w:tcW w:w="8848" w:type="dxa"/>
            <w:gridSpan w:val="14"/>
            <w:vAlign w:val="center"/>
          </w:tcPr>
          <w:p w14:paraId="729BAAF0">
            <w:pPr>
              <w:jc w:val="center"/>
            </w:pPr>
            <w:r>
              <w:rPr>
                <w:rFonts w:ascii="宋体" w:hAnsi="宋体" w:eastAsia="宋体"/>
                <w:sz w:val="24"/>
              </w:rPr>
              <w:t>项目支出绩效自评表</w:t>
            </w:r>
          </w:p>
        </w:tc>
      </w:tr>
      <w:tr w14:paraId="226F90C6">
        <w:tblPrEx>
          <w:tblCellMar>
            <w:top w:w="0" w:type="dxa"/>
            <w:left w:w="108" w:type="dxa"/>
            <w:bottom w:w="0" w:type="dxa"/>
            <w:right w:w="108" w:type="dxa"/>
          </w:tblCellMar>
        </w:tblPrEx>
        <w:tc>
          <w:tcPr>
            <w:tcW w:w="8848" w:type="dxa"/>
            <w:gridSpan w:val="14"/>
            <w:vAlign w:val="center"/>
          </w:tcPr>
          <w:p w14:paraId="4677F2E3">
            <w:pPr>
              <w:jc w:val="center"/>
            </w:pPr>
            <w:r>
              <w:rPr>
                <w:rFonts w:ascii="宋体" w:hAnsi="宋体" w:eastAsia="宋体"/>
                <w:sz w:val="24"/>
              </w:rPr>
              <w:t>(2024年度)</w:t>
            </w:r>
          </w:p>
        </w:tc>
      </w:tr>
      <w:tr w14:paraId="247B0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4A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25C31D">
            <w:pPr>
              <w:jc w:val="center"/>
            </w:pPr>
            <w:r>
              <w:rPr>
                <w:rFonts w:ascii="宋体" w:hAnsi="宋体" w:eastAsia="宋体"/>
                <w:sz w:val="16"/>
              </w:rPr>
              <w:t>库科西鲁格乡2024乡村两级人大代表活动经费</w:t>
            </w:r>
          </w:p>
        </w:tc>
      </w:tr>
      <w:tr w14:paraId="73769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A8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9AEA3">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DF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AD5E7E">
            <w:pPr>
              <w:jc w:val="center"/>
            </w:pPr>
            <w:r>
              <w:rPr>
                <w:rFonts w:ascii="宋体" w:hAnsi="宋体" w:eastAsia="宋体"/>
                <w:sz w:val="16"/>
              </w:rPr>
              <w:t>塔什库尔干塔吉克自治县库科西鲁格乡人民政府</w:t>
            </w:r>
          </w:p>
        </w:tc>
      </w:tr>
      <w:tr w14:paraId="6C05A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D1FF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DD96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CF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584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08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53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0B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6845">
            <w:pPr>
              <w:jc w:val="center"/>
            </w:pPr>
            <w:r>
              <w:rPr>
                <w:rFonts w:ascii="宋体" w:hAnsi="宋体" w:eastAsia="宋体"/>
                <w:sz w:val="16"/>
              </w:rPr>
              <w:t>得分</w:t>
            </w:r>
          </w:p>
        </w:tc>
      </w:tr>
      <w:tr w14:paraId="1344B8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2F3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13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EB5E">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6186B">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ADA1F">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59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02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DB5">
            <w:pPr>
              <w:jc w:val="center"/>
            </w:pPr>
            <w:r>
              <w:rPr>
                <w:rFonts w:ascii="宋体" w:hAnsi="宋体" w:eastAsia="宋体"/>
                <w:sz w:val="16"/>
              </w:rPr>
              <w:t>10.00分</w:t>
            </w:r>
          </w:p>
        </w:tc>
      </w:tr>
      <w:tr w14:paraId="0FFBA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1B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FA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8DC9">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4D9A">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7E842">
            <w:pPr>
              <w:jc w:val="center"/>
            </w:pPr>
            <w:r>
              <w:rPr>
                <w:rFonts w:ascii="宋体" w:hAnsi="宋体" w:eastAsia="宋体"/>
                <w:sz w:val="16"/>
              </w:rPr>
              <w:t>1.26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69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26D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8AB3">
            <w:pPr>
              <w:jc w:val="center"/>
            </w:pPr>
            <w:r>
              <w:rPr>
                <w:rFonts w:ascii="宋体" w:hAnsi="宋体" w:eastAsia="宋体"/>
                <w:sz w:val="16"/>
              </w:rPr>
              <w:t>—</w:t>
            </w:r>
          </w:p>
        </w:tc>
      </w:tr>
      <w:tr w14:paraId="7F4C7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A9F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227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A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04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8B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04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93F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2AA0">
            <w:pPr>
              <w:jc w:val="center"/>
            </w:pPr>
            <w:r>
              <w:rPr>
                <w:rFonts w:ascii="宋体" w:hAnsi="宋体" w:eastAsia="宋体"/>
                <w:sz w:val="16"/>
              </w:rPr>
              <w:t>—</w:t>
            </w:r>
          </w:p>
        </w:tc>
      </w:tr>
      <w:tr w14:paraId="2194D0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3AF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C58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A2F8E">
            <w:pPr>
              <w:jc w:val="center"/>
            </w:pPr>
            <w:r>
              <w:rPr>
                <w:rFonts w:ascii="宋体" w:hAnsi="宋体" w:eastAsia="宋体"/>
                <w:sz w:val="16"/>
              </w:rPr>
              <w:t>实际完成情况</w:t>
            </w:r>
          </w:p>
        </w:tc>
      </w:tr>
      <w:tr w14:paraId="2C031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4B9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5F512">
            <w:pPr>
              <w:jc w:val="both"/>
            </w:pPr>
            <w:r>
              <w:rPr>
                <w:rFonts w:ascii="宋体" w:hAnsi="宋体" w:eastAsia="宋体"/>
                <w:sz w:val="16"/>
              </w:rPr>
              <w:t>科克亚尔乡人大代表活动项目主要用于我乡各级人大代表在本乡镇、村人大代表联络站联系人民群众、开展各项活动直接产生的各项费用。为县乡两级人大代表订阅必要的学习用品、办公用品及活动颁发奖品等产生的费用。现计划用于人大代表参观学习费用8000元，人大代表举办活动物资、采购办公用品4690元。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86C6A5">
            <w:pPr>
              <w:jc w:val="both"/>
            </w:pPr>
            <w:r>
              <w:rPr>
                <w:rFonts w:ascii="宋体" w:hAnsi="宋体" w:eastAsia="宋体"/>
                <w:sz w:val="16"/>
              </w:rPr>
              <w:t>该项目实际支出1.26万元，主要用于我乡各级人大代表在本乡镇、村人大代表联络站联系人民群众、开展各项活动直接产生的各项费用。为县乡两级人大代表订阅必要的学习用品、办公用品及活动颁发奖品等产生的费用。用于人大代表参观学习费用8000元，人大代表举办活动物资、采购办公用品4690元。通过项目的实施持续提升了人大代表服务水平，把人民群众的所需、所想、所盼反映上来，把人民群众的聪明才智汇聚</w:t>
            </w:r>
            <w:r>
              <w:rPr>
                <w:rFonts w:hint="eastAsia" w:ascii="宋体" w:hAnsi="宋体"/>
                <w:sz w:val="16"/>
                <w:lang w:eastAsia="zh-CN"/>
              </w:rPr>
              <w:t>，更</w:t>
            </w:r>
            <w:r>
              <w:rPr>
                <w:rFonts w:ascii="宋体" w:hAnsi="宋体" w:eastAsia="宋体"/>
                <w:sz w:val="16"/>
              </w:rPr>
              <w:t>好真诚倾听群众呼声，真实反映群众意愿。人大代表满意度达到100％。</w:t>
            </w:r>
          </w:p>
        </w:tc>
      </w:tr>
      <w:tr w14:paraId="704DB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B0FB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CA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40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69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0C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3B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B9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59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22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9E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52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C9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E747">
            <w:pPr>
              <w:jc w:val="center"/>
            </w:pPr>
            <w:r>
              <w:rPr>
                <w:rFonts w:ascii="宋体" w:hAnsi="宋体" w:eastAsia="宋体"/>
                <w:sz w:val="16"/>
              </w:rPr>
              <w:t>偏差原因分析及改进措施</w:t>
            </w:r>
          </w:p>
        </w:tc>
      </w:tr>
      <w:tr w14:paraId="3CBF8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315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2A91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58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D643">
            <w:pPr>
              <w:jc w:val="center"/>
            </w:pPr>
            <w:r>
              <w:rPr>
                <w:rFonts w:ascii="宋体" w:hAnsi="宋体" w:eastAsia="宋体"/>
                <w:sz w:val="16"/>
              </w:rPr>
              <w:t>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F257">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E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113C">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4F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C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3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749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F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BBF08">
            <w:pPr>
              <w:jc w:val="center"/>
            </w:pPr>
          </w:p>
        </w:tc>
      </w:tr>
      <w:tr w14:paraId="38D90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2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1C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24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A9E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2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5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DF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3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B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1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1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48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C44D">
            <w:pPr>
              <w:jc w:val="center"/>
            </w:pPr>
          </w:p>
        </w:tc>
      </w:tr>
      <w:tr w14:paraId="2E264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F3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005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03A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4B2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B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D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98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F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2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F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6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B3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BDD4">
            <w:pPr>
              <w:jc w:val="center"/>
            </w:pPr>
          </w:p>
        </w:tc>
      </w:tr>
      <w:tr w14:paraId="6286B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D2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D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D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D31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0C9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0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D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6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8B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3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2B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94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74326">
            <w:pPr>
              <w:jc w:val="center"/>
            </w:pPr>
          </w:p>
        </w:tc>
      </w:tr>
      <w:tr w14:paraId="4EE92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3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AB9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56D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FB8">
            <w:pPr>
              <w:jc w:val="center"/>
            </w:pPr>
            <w:r>
              <w:rPr>
                <w:rFonts w:ascii="宋体" w:hAnsi="宋体" w:eastAsia="宋体"/>
                <w:sz w:val="16"/>
              </w:rPr>
              <w:t>人大代表参观学习费用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AB30">
            <w:pPr>
              <w:jc w:val="center"/>
            </w:pPr>
            <w:r>
              <w:rPr>
                <w:rFonts w:ascii="宋体" w:hAnsi="宋体" w:eastAsia="宋体"/>
                <w:sz w:val="16"/>
              </w:rPr>
              <w:t>&lt;=8000元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27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B5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BE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0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28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F3F">
            <w:pPr>
              <w:jc w:val="center"/>
            </w:pPr>
            <w:r>
              <w:rPr>
                <w:rFonts w:ascii="宋体" w:hAnsi="宋体" w:eastAsia="宋体"/>
                <w:sz w:val="16"/>
              </w:rPr>
              <w:t>=8000元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2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FF95">
            <w:pPr>
              <w:jc w:val="center"/>
            </w:pPr>
          </w:p>
        </w:tc>
      </w:tr>
      <w:tr w14:paraId="0CDDB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9B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07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34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2755">
            <w:pPr>
              <w:jc w:val="center"/>
            </w:pPr>
            <w:r>
              <w:rPr>
                <w:rFonts w:ascii="宋体" w:hAnsi="宋体" w:eastAsia="宋体"/>
                <w:sz w:val="16"/>
              </w:rPr>
              <w:t>人大代表活动用品费用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CF9A">
            <w:pPr>
              <w:jc w:val="center"/>
            </w:pPr>
            <w:r>
              <w:rPr>
                <w:rFonts w:ascii="宋体" w:hAnsi="宋体" w:eastAsia="宋体"/>
                <w:sz w:val="16"/>
              </w:rPr>
              <w:t>&lt;=4690元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E6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F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A7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D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60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1EC2">
            <w:pPr>
              <w:jc w:val="center"/>
            </w:pPr>
            <w:r>
              <w:rPr>
                <w:rFonts w:ascii="宋体" w:hAnsi="宋体" w:eastAsia="宋体"/>
                <w:sz w:val="16"/>
              </w:rPr>
              <w:t>=4677.5元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2EE3">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1E20">
            <w:pPr>
              <w:jc w:val="center"/>
            </w:pPr>
            <w:r>
              <w:rPr>
                <w:rFonts w:ascii="宋体" w:hAnsi="宋体" w:eastAsia="宋体"/>
                <w:sz w:val="16"/>
              </w:rPr>
              <w:t>偏差原因：前期资金使用因工程进度缓慢原因未按期支付，导致了资金滞缓，影响了项目的进度，造成了部分资金的浪费。改进措施：年初结合实际需求做好方案与目标，严格按照方案支出，确保资金合理合规使用。</w:t>
            </w:r>
          </w:p>
        </w:tc>
      </w:tr>
      <w:tr w14:paraId="27318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C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98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26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EBAC">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606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3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4CD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09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E3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0AC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6C8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F4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32DC7">
            <w:pPr>
              <w:jc w:val="center"/>
            </w:pPr>
          </w:p>
        </w:tc>
      </w:tr>
      <w:tr w14:paraId="47F9D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2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A8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5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F8C0">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29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B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C7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9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E0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29C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E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0C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8FE82">
            <w:pPr>
              <w:jc w:val="center"/>
            </w:pPr>
            <w:r>
              <w:rPr>
                <w:rFonts w:ascii="宋体" w:hAnsi="宋体" w:eastAsia="宋体"/>
                <w:sz w:val="16"/>
              </w:rPr>
              <w:t>项目完成情况较好，实际人大代表满意度较高，所以指标出现正偏差</w:t>
            </w:r>
          </w:p>
        </w:tc>
      </w:tr>
      <w:tr w14:paraId="4E24E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2E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2AE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C1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8F8FC1">
            <w:pPr>
              <w:jc w:val="center"/>
            </w:pPr>
            <w:r>
              <w:rPr>
                <w:rFonts w:ascii="宋体" w:hAnsi="宋体" w:eastAsia="宋体"/>
                <w:sz w:val="16"/>
              </w:rPr>
              <w:t>99.93分</w:t>
            </w:r>
          </w:p>
        </w:tc>
      </w:tr>
    </w:tbl>
    <w:p w14:paraId="4939100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632"/>
        <w:gridCol w:w="632"/>
        <w:gridCol w:w="526"/>
        <w:gridCol w:w="106"/>
        <w:gridCol w:w="547"/>
        <w:gridCol w:w="85"/>
        <w:gridCol w:w="409"/>
        <w:gridCol w:w="223"/>
        <w:gridCol w:w="632"/>
        <w:gridCol w:w="632"/>
      </w:tblGrid>
      <w:tr w14:paraId="14CA664D">
        <w:tblPrEx>
          <w:tblCellMar>
            <w:top w:w="0" w:type="dxa"/>
            <w:left w:w="108" w:type="dxa"/>
            <w:bottom w:w="0" w:type="dxa"/>
            <w:right w:w="108" w:type="dxa"/>
          </w:tblCellMar>
        </w:tblPrEx>
        <w:tc>
          <w:tcPr>
            <w:tcW w:w="8976" w:type="dxa"/>
            <w:gridSpan w:val="17"/>
            <w:vAlign w:val="center"/>
          </w:tcPr>
          <w:p w14:paraId="1DED22BE">
            <w:pPr>
              <w:jc w:val="center"/>
            </w:pPr>
            <w:r>
              <w:rPr>
                <w:rFonts w:ascii="宋体" w:hAnsi="宋体" w:eastAsia="宋体"/>
                <w:sz w:val="24"/>
              </w:rPr>
              <w:t>项目支出绩效自评表</w:t>
            </w:r>
          </w:p>
        </w:tc>
      </w:tr>
      <w:tr w14:paraId="53135C7B">
        <w:tblPrEx>
          <w:tblCellMar>
            <w:top w:w="0" w:type="dxa"/>
            <w:left w:w="108" w:type="dxa"/>
            <w:bottom w:w="0" w:type="dxa"/>
            <w:right w:w="108" w:type="dxa"/>
          </w:tblCellMar>
        </w:tblPrEx>
        <w:tc>
          <w:tcPr>
            <w:tcW w:w="8976" w:type="dxa"/>
            <w:gridSpan w:val="17"/>
            <w:vAlign w:val="center"/>
          </w:tcPr>
          <w:p w14:paraId="3C753896">
            <w:pPr>
              <w:jc w:val="center"/>
            </w:pPr>
            <w:r>
              <w:rPr>
                <w:rFonts w:ascii="宋体" w:hAnsi="宋体" w:eastAsia="宋体"/>
                <w:sz w:val="24"/>
              </w:rPr>
              <w:t>(2024年度)</w:t>
            </w:r>
          </w:p>
        </w:tc>
      </w:tr>
      <w:tr w14:paraId="66CEA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E878">
            <w:pPr>
              <w:jc w:val="center"/>
            </w:pPr>
            <w:r>
              <w:rPr>
                <w:rFonts w:ascii="宋体" w:hAnsi="宋体" w:eastAsia="宋体"/>
                <w:sz w:val="16"/>
              </w:rPr>
              <w:t>项目名称</w:t>
            </w:r>
          </w:p>
        </w:tc>
        <w:tc>
          <w:tcPr>
            <w:tcW w:w="834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3BC110E6">
            <w:pPr>
              <w:jc w:val="center"/>
            </w:pPr>
            <w:r>
              <w:rPr>
                <w:rFonts w:ascii="宋体" w:hAnsi="宋体" w:eastAsia="宋体"/>
                <w:sz w:val="16"/>
              </w:rPr>
              <w:t>库科西鲁格乡两级人大代表会经费</w:t>
            </w:r>
          </w:p>
        </w:tc>
      </w:tr>
      <w:tr w14:paraId="637E3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FC15">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4BD94">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7404">
            <w:pPr>
              <w:jc w:val="center"/>
            </w:pPr>
            <w:r>
              <w:rPr>
                <w:rFonts w:ascii="宋体" w:hAnsi="宋体" w:eastAsia="宋体"/>
                <w:sz w:val="16"/>
              </w:rPr>
              <w:t>实施单位</w:t>
            </w:r>
          </w:p>
        </w:tc>
        <w:tc>
          <w:tcPr>
            <w:tcW w:w="3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A603C9">
            <w:pPr>
              <w:jc w:val="center"/>
            </w:pPr>
            <w:r>
              <w:rPr>
                <w:rFonts w:ascii="宋体" w:hAnsi="宋体" w:eastAsia="宋体"/>
                <w:sz w:val="16"/>
              </w:rPr>
              <w:t>塔什库尔干塔吉克自治县库科西鲁格乡人民政府</w:t>
            </w:r>
          </w:p>
        </w:tc>
      </w:tr>
      <w:tr w14:paraId="2508A5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ECB5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75D32">
            <w:pPr>
              <w:jc w:val="center"/>
            </w:pPr>
            <w:r>
              <w:rPr>
                <w:rFonts w:ascii="宋体" w:hAnsi="宋体" w:eastAsia="宋体"/>
                <w:sz w:val="16"/>
              </w:rPr>
              <w:t>资金来源</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50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5A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0799">
            <w:pPr>
              <w:jc w:val="center"/>
            </w:pPr>
            <w:r>
              <w:rPr>
                <w:rFonts w:ascii="宋体" w:hAnsi="宋体" w:eastAsia="宋体"/>
                <w:sz w:val="16"/>
              </w:rPr>
              <w:t>全年执行数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55379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4AEF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F6DB">
            <w:pPr>
              <w:jc w:val="center"/>
            </w:pPr>
            <w:r>
              <w:rPr>
                <w:rFonts w:ascii="宋体" w:hAnsi="宋体" w:eastAsia="宋体"/>
                <w:sz w:val="16"/>
              </w:rPr>
              <w:t>得分</w:t>
            </w:r>
          </w:p>
        </w:tc>
      </w:tr>
      <w:tr w14:paraId="28E36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D1F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34B2">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03AB">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EF9A">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54B6">
            <w:pPr>
              <w:jc w:val="center"/>
            </w:pPr>
            <w:r>
              <w:rPr>
                <w:rFonts w:ascii="宋体" w:hAnsi="宋体" w:eastAsia="宋体"/>
                <w:sz w:val="16"/>
              </w:rPr>
              <w:t>1.04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0ADCAD">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BA6846">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8406">
            <w:pPr>
              <w:jc w:val="center"/>
            </w:pPr>
            <w:r>
              <w:rPr>
                <w:rFonts w:ascii="宋体" w:hAnsi="宋体" w:eastAsia="宋体"/>
                <w:sz w:val="16"/>
              </w:rPr>
              <w:t>9.53分</w:t>
            </w:r>
          </w:p>
        </w:tc>
      </w:tr>
      <w:tr w14:paraId="048A6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5D0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B868">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E256">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720C">
            <w:pPr>
              <w:jc w:val="center"/>
            </w:pPr>
            <w:r>
              <w:rPr>
                <w:rFonts w:ascii="宋体" w:hAnsi="宋体" w:eastAsia="宋体"/>
                <w:sz w:val="16"/>
              </w:rPr>
              <w:t>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E518">
            <w:pPr>
              <w:jc w:val="center"/>
            </w:pPr>
            <w:r>
              <w:rPr>
                <w:rFonts w:ascii="宋体" w:hAnsi="宋体" w:eastAsia="宋体"/>
                <w:sz w:val="16"/>
              </w:rPr>
              <w:t>1.04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64B23">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457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CE29">
            <w:pPr>
              <w:jc w:val="center"/>
            </w:pPr>
            <w:r>
              <w:rPr>
                <w:rFonts w:ascii="宋体" w:hAnsi="宋体" w:eastAsia="宋体"/>
                <w:sz w:val="16"/>
              </w:rPr>
              <w:t>—</w:t>
            </w:r>
          </w:p>
        </w:tc>
      </w:tr>
      <w:tr w14:paraId="5A1EE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A7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83CB">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F1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6D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CA291">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D9BB5B">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E50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FBBF">
            <w:pPr>
              <w:jc w:val="center"/>
            </w:pPr>
            <w:r>
              <w:rPr>
                <w:rFonts w:ascii="宋体" w:hAnsi="宋体" w:eastAsia="宋体"/>
                <w:sz w:val="16"/>
              </w:rPr>
              <w:t>—</w:t>
            </w:r>
          </w:p>
        </w:tc>
      </w:tr>
      <w:tr w14:paraId="0C6F3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151FA">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91572">
            <w:pPr>
              <w:jc w:val="center"/>
            </w:pPr>
            <w:r>
              <w:rPr>
                <w:rFonts w:ascii="宋体" w:hAnsi="宋体" w:eastAsia="宋体"/>
                <w:sz w:val="16"/>
              </w:rPr>
              <w:t>预期目标</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9A8160A">
            <w:pPr>
              <w:jc w:val="center"/>
            </w:pPr>
            <w:r>
              <w:rPr>
                <w:rFonts w:ascii="宋体" w:hAnsi="宋体" w:eastAsia="宋体"/>
                <w:sz w:val="16"/>
              </w:rPr>
              <w:t>实际完成情况</w:t>
            </w:r>
          </w:p>
        </w:tc>
      </w:tr>
      <w:tr w14:paraId="52802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8B4F"/>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DFDC7">
            <w:pPr>
              <w:jc w:val="both"/>
            </w:pPr>
            <w:r>
              <w:rPr>
                <w:rFonts w:ascii="宋体" w:hAnsi="宋体" w:eastAsia="宋体"/>
                <w:sz w:val="16"/>
              </w:rPr>
              <w:t>库科西鲁格乡人大代表会议经费共10630元，主要用于：保障我</w:t>
            </w:r>
            <w:r>
              <w:rPr>
                <w:rFonts w:hint="eastAsia" w:ascii="宋体" w:hAnsi="宋体"/>
                <w:sz w:val="16"/>
                <w:lang w:eastAsia="zh-CN"/>
              </w:rPr>
              <w:t>乡</w:t>
            </w:r>
            <w:r>
              <w:rPr>
                <w:rFonts w:ascii="宋体" w:hAnsi="宋体" w:eastAsia="宋体"/>
                <w:sz w:val="16"/>
              </w:rPr>
              <w:t>29名人大代表在参加库科西鲁格乡第十七届人大代表第四次会议的补助，具体是农民代表误工补助，保障了人大代表活动顺利开展。</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4D5F25C">
            <w:pPr>
              <w:jc w:val="both"/>
            </w:pPr>
            <w:r>
              <w:rPr>
                <w:rFonts w:ascii="宋体" w:hAnsi="宋体" w:eastAsia="宋体"/>
                <w:sz w:val="16"/>
              </w:rPr>
              <w:t>库科西鲁格乡人大代表会议经费实际支出10406元，主要用于：保障我</w:t>
            </w:r>
            <w:r>
              <w:rPr>
                <w:rFonts w:hint="eastAsia" w:ascii="宋体" w:hAnsi="宋体"/>
                <w:sz w:val="16"/>
                <w:lang w:eastAsia="zh-CN"/>
              </w:rPr>
              <w:t>乡</w:t>
            </w:r>
            <w:r>
              <w:rPr>
                <w:rFonts w:ascii="宋体" w:hAnsi="宋体" w:eastAsia="宋体"/>
                <w:sz w:val="16"/>
              </w:rPr>
              <w:t>29名人大代表在参加库科西鲁格乡第十七届人大代表第四次会议的补助，具体是农民代表误工补助，保障了人大代表活动顺利开展，使人大代表满意度达到100%。</w:t>
            </w:r>
          </w:p>
        </w:tc>
      </w:tr>
      <w:tr w14:paraId="6C91E6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A8B2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D6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3E9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A11E71">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A079F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80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DC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CF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7A2F">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AC7">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8832">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A6B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AF2C">
            <w:pPr>
              <w:jc w:val="center"/>
            </w:pPr>
            <w:r>
              <w:rPr>
                <w:rFonts w:ascii="宋体" w:hAnsi="宋体" w:eastAsia="宋体"/>
                <w:sz w:val="16"/>
              </w:rPr>
              <w:t>偏差原因分析及改进措施</w:t>
            </w:r>
          </w:p>
        </w:tc>
      </w:tr>
      <w:tr w14:paraId="31B8A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B9F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0F4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6D3B">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BE1EEF">
            <w:pPr>
              <w:jc w:val="center"/>
            </w:pPr>
            <w:r>
              <w:rPr>
                <w:rFonts w:ascii="宋体" w:hAnsi="宋体" w:eastAsia="宋体"/>
                <w:sz w:val="16"/>
              </w:rPr>
              <w:t>保障乡人大代表开展工作人数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79A9B9">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8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B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BB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9B1C">
            <w:pPr>
              <w:jc w:val="center"/>
            </w:pPr>
            <w:r>
              <w:rPr>
                <w:rFonts w:ascii="宋体" w:hAnsi="宋体" w:eastAsia="宋体"/>
                <w:sz w:val="16"/>
              </w:rPr>
              <w:t>直接赋分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36DE">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FF15">
            <w:pPr>
              <w:jc w:val="center"/>
            </w:pPr>
            <w:r>
              <w:rPr>
                <w:rFonts w:ascii="宋体" w:hAnsi="宋体" w:eastAsia="宋体"/>
                <w:sz w:val="16"/>
              </w:rPr>
              <w:t>=29人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61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445DC">
            <w:pPr>
              <w:jc w:val="center"/>
            </w:pPr>
          </w:p>
        </w:tc>
      </w:tr>
      <w:tr w14:paraId="2CB54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2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9E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D4F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8BA7B7">
            <w:pPr>
              <w:jc w:val="center"/>
            </w:pPr>
            <w:r>
              <w:rPr>
                <w:rFonts w:ascii="宋体" w:hAnsi="宋体" w:eastAsia="宋体"/>
                <w:sz w:val="16"/>
              </w:rPr>
              <w:t>经费发放合规率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E56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0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C9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E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F353">
            <w:pPr>
              <w:jc w:val="center"/>
            </w:pPr>
            <w:r>
              <w:rPr>
                <w:rFonts w:ascii="宋体" w:hAnsi="宋体" w:eastAsia="宋体"/>
                <w:sz w:val="16"/>
              </w:rPr>
              <w:t>直接赋分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200D">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8B17D">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E73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EE992">
            <w:pPr>
              <w:jc w:val="center"/>
            </w:pPr>
          </w:p>
        </w:tc>
      </w:tr>
      <w:tr w14:paraId="78080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C6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2F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7B1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44C35E">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051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4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8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7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009">
            <w:pPr>
              <w:jc w:val="center"/>
            </w:pPr>
            <w:r>
              <w:rPr>
                <w:rFonts w:ascii="宋体" w:hAnsi="宋体" w:eastAsia="宋体"/>
                <w:sz w:val="16"/>
              </w:rPr>
              <w:t>直接赋分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53D25518">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2837">
            <w:pPr>
              <w:jc w:val="center"/>
            </w:pPr>
            <w:r>
              <w:rPr>
                <w:rFonts w:ascii="宋体" w:hAnsi="宋体" w:eastAsia="宋体"/>
                <w:sz w:val="16"/>
              </w:rPr>
              <w:t>=97%</w:t>
            </w:r>
          </w:p>
        </w:tc>
        <w:tc>
          <w:tcPr>
            <w:tcW w:w="4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C578">
            <w:pPr>
              <w:jc w:val="center"/>
            </w:pPr>
            <w:r>
              <w:rPr>
                <w:rFonts w:ascii="宋体" w:hAnsi="宋体" w:eastAsia="宋体"/>
                <w:sz w:val="16"/>
              </w:rPr>
              <w:t>0</w:t>
            </w:r>
          </w:p>
        </w:tc>
        <w:tc>
          <w:tcPr>
            <w:tcW w:w="14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F6D2E1">
            <w:pPr>
              <w:jc w:val="center"/>
            </w:pPr>
            <w:r>
              <w:rPr>
                <w:rFonts w:ascii="宋体" w:hAnsi="宋体" w:eastAsia="宋体"/>
                <w:sz w:val="16"/>
              </w:rPr>
              <w:t>偏差原因：前期资金使用因工程进度缓慢原因未按期支付，导致了资金滞缓，影响了项目的进度，造成了部分资金的浪费。1.改进措施：1.年初结合实际需求制定资金支出目标，避免偏差率出现；2.严格监管经费支出流程，确保流程合理合规。</w:t>
            </w:r>
          </w:p>
        </w:tc>
      </w:tr>
      <w:tr w14:paraId="2DEFC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78A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826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5115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18C800">
            <w:pPr>
              <w:jc w:val="center"/>
            </w:pPr>
            <w:r>
              <w:rPr>
                <w:rFonts w:ascii="宋体" w:hAnsi="宋体" w:eastAsia="宋体"/>
                <w:sz w:val="16"/>
              </w:rPr>
              <w:t>乡人大代表经费材料费发放标准（元）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CE8088">
            <w:pPr>
              <w:jc w:val="center"/>
            </w:pPr>
            <w:r>
              <w:rPr>
                <w:rFonts w:ascii="宋体" w:hAnsi="宋体" w:eastAsia="宋体"/>
                <w:sz w:val="16"/>
              </w:rPr>
              <w:t>&lt;=6670元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9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4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2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20DC">
            <w:pPr>
              <w:jc w:val="center"/>
            </w:pPr>
            <w:r>
              <w:rPr>
                <w:rFonts w:ascii="宋体" w:hAnsi="宋体" w:eastAsia="宋体"/>
                <w:sz w:val="16"/>
              </w:rPr>
              <w:t>按照完成比例赋分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17F67087">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C56B7">
            <w:pPr>
              <w:jc w:val="center"/>
            </w:pPr>
            <w:r>
              <w:rPr>
                <w:rFonts w:ascii="宋体" w:hAnsi="宋体" w:eastAsia="宋体"/>
                <w:sz w:val="16"/>
              </w:rPr>
              <w:t>=6446元</w:t>
            </w:r>
          </w:p>
        </w:tc>
        <w:tc>
          <w:tcPr>
            <w:tcW w:w="4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2B6C">
            <w:pPr>
              <w:jc w:val="center"/>
            </w:pPr>
            <w:r>
              <w:rPr>
                <w:rFonts w:ascii="宋体" w:hAnsi="宋体" w:eastAsia="宋体"/>
                <w:sz w:val="16"/>
              </w:rPr>
              <w:t>9.15</w:t>
            </w:r>
          </w:p>
        </w:tc>
        <w:tc>
          <w:tcPr>
            <w:tcW w:w="14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6071BC">
            <w:pPr>
              <w:jc w:val="center"/>
            </w:pPr>
            <w:r>
              <w:rPr>
                <w:rFonts w:ascii="宋体" w:hAnsi="宋体" w:eastAsia="宋体"/>
                <w:sz w:val="16"/>
              </w:rPr>
              <w:t>偏差原因：前期资金使用因工程进度缓慢原因未按期支付，导致了资金滞缓，影响了项目的进度，造成了部分资金的浪费。1.改进措施：1.年初结合实际需求制定资金支出目标，避免偏差率出现；2.严格监管经费支出流程，确保流程合理合规。</w:t>
            </w:r>
          </w:p>
        </w:tc>
      </w:tr>
      <w:tr w14:paraId="50F3C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1C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AF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151D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55CA88">
            <w:pPr>
              <w:jc w:val="center"/>
            </w:pPr>
            <w:r>
              <w:rPr>
                <w:rFonts w:ascii="宋体" w:hAnsi="宋体" w:eastAsia="宋体"/>
                <w:sz w:val="16"/>
              </w:rPr>
              <w:t>乡人大代表经费误工补贴发放标准（元）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20423F">
            <w:pPr>
              <w:jc w:val="center"/>
            </w:pPr>
            <w:r>
              <w:rPr>
                <w:rFonts w:ascii="宋体" w:hAnsi="宋体" w:eastAsia="宋体"/>
                <w:sz w:val="16"/>
              </w:rPr>
              <w:t>&lt;=3960元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B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A2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DB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EFB0">
            <w:pPr>
              <w:jc w:val="center"/>
            </w:pPr>
            <w:r>
              <w:rPr>
                <w:rFonts w:ascii="宋体" w:hAnsi="宋体" w:eastAsia="宋体"/>
                <w:sz w:val="16"/>
              </w:rPr>
              <w:t>按照完成比例赋分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4041BB50">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83A7">
            <w:pPr>
              <w:jc w:val="center"/>
            </w:pPr>
            <w:r>
              <w:rPr>
                <w:rFonts w:ascii="宋体" w:hAnsi="宋体" w:eastAsia="宋体"/>
                <w:sz w:val="16"/>
              </w:rPr>
              <w:t>=3960元</w:t>
            </w:r>
          </w:p>
        </w:tc>
        <w:tc>
          <w:tcPr>
            <w:tcW w:w="4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7006">
            <w:pPr>
              <w:jc w:val="center"/>
            </w:pPr>
            <w:r>
              <w:rPr>
                <w:rFonts w:ascii="宋体" w:hAnsi="宋体" w:eastAsia="宋体"/>
                <w:sz w:val="16"/>
              </w:rPr>
              <w:t>10</w:t>
            </w:r>
          </w:p>
        </w:tc>
        <w:tc>
          <w:tcPr>
            <w:tcW w:w="14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EF57D">
            <w:pPr>
              <w:jc w:val="center"/>
            </w:pPr>
          </w:p>
        </w:tc>
      </w:tr>
      <w:tr w14:paraId="0CE2E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5E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B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D4D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18E60C">
            <w:pPr>
              <w:jc w:val="center"/>
            </w:pPr>
            <w:r>
              <w:rPr>
                <w:rFonts w:ascii="宋体" w:hAnsi="宋体" w:eastAsia="宋体"/>
                <w:sz w:val="16"/>
              </w:rPr>
              <w:t>保障人大代表活动工作顺利开展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2A317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5EA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00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1D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C533">
            <w:pPr>
              <w:jc w:val="center"/>
            </w:pPr>
            <w:r>
              <w:rPr>
                <w:rFonts w:ascii="宋体" w:hAnsi="宋体" w:eastAsia="宋体"/>
                <w:sz w:val="16"/>
              </w:rPr>
              <w:t>按评判等级赋分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58B31EAD">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79169">
            <w:pPr>
              <w:jc w:val="center"/>
            </w:pPr>
            <w:r>
              <w:rPr>
                <w:rFonts w:ascii="宋体" w:hAnsi="宋体" w:eastAsia="宋体"/>
                <w:sz w:val="16"/>
              </w:rPr>
              <w:t>有效</w:t>
            </w:r>
          </w:p>
        </w:tc>
        <w:tc>
          <w:tcPr>
            <w:tcW w:w="4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EF88">
            <w:pPr>
              <w:jc w:val="center"/>
            </w:pPr>
            <w:r>
              <w:rPr>
                <w:rFonts w:ascii="宋体" w:hAnsi="宋体" w:eastAsia="宋体"/>
                <w:sz w:val="16"/>
              </w:rPr>
              <w:t>20</w:t>
            </w:r>
          </w:p>
        </w:tc>
        <w:tc>
          <w:tcPr>
            <w:tcW w:w="14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3FB1AF">
            <w:pPr>
              <w:jc w:val="center"/>
            </w:pPr>
          </w:p>
        </w:tc>
      </w:tr>
      <w:tr w14:paraId="36223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8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9B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7A50">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A924F">
            <w:pPr>
              <w:jc w:val="center"/>
            </w:pPr>
            <w:r>
              <w:rPr>
                <w:rFonts w:ascii="宋体" w:hAnsi="宋体" w:eastAsia="宋体"/>
                <w:sz w:val="16"/>
              </w:rPr>
              <w:t>人大代表满意度（%）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256A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78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D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7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8A35">
            <w:pPr>
              <w:jc w:val="center"/>
            </w:pPr>
            <w:r>
              <w:rPr>
                <w:rFonts w:ascii="宋体" w:hAnsi="宋体" w:eastAsia="宋体"/>
                <w:sz w:val="16"/>
              </w:rPr>
              <w:t>满意度赋分</w:t>
            </w:r>
          </w:p>
        </w:tc>
        <w:tc>
          <w:tcPr>
            <w:tcW w:w="526" w:type="dxa"/>
            <w:tcBorders>
              <w:top w:val="single" w:color="auto" w:sz="10" w:space="0"/>
              <w:left w:val="single" w:color="auto" w:sz="10" w:space="0"/>
              <w:bottom w:val="single" w:color="auto" w:sz="10" w:space="0"/>
              <w:right w:val="single" w:color="auto" w:sz="10" w:space="0"/>
              <w:insideV w:val="single" w:sz="10" w:space="0"/>
            </w:tcBorders>
            <w:vAlign w:val="center"/>
          </w:tcPr>
          <w:p w14:paraId="0F7C638D">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F6C8">
            <w:pPr>
              <w:jc w:val="center"/>
            </w:pPr>
            <w:r>
              <w:rPr>
                <w:rFonts w:ascii="宋体" w:hAnsi="宋体" w:eastAsia="宋体"/>
                <w:sz w:val="16"/>
              </w:rPr>
              <w:t>=100%</w:t>
            </w:r>
          </w:p>
        </w:tc>
        <w:tc>
          <w:tcPr>
            <w:tcW w:w="4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88048">
            <w:pPr>
              <w:jc w:val="center"/>
            </w:pPr>
            <w:r>
              <w:rPr>
                <w:rFonts w:ascii="宋体" w:hAnsi="宋体" w:eastAsia="宋体"/>
                <w:sz w:val="16"/>
              </w:rPr>
              <w:t>10</w:t>
            </w:r>
          </w:p>
        </w:tc>
        <w:tc>
          <w:tcPr>
            <w:tcW w:w="14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534A2B">
            <w:pPr>
              <w:jc w:val="center"/>
            </w:pPr>
            <w:r>
              <w:rPr>
                <w:rFonts w:ascii="宋体" w:hAnsi="宋体" w:eastAsia="宋体"/>
                <w:sz w:val="16"/>
              </w:rPr>
              <w:t>项目完成情况较好，实际人大代表满意度较高，所以指标出现正偏差</w:t>
            </w:r>
          </w:p>
        </w:tc>
      </w:tr>
      <w:tr w14:paraId="31ECA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2DFE">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DA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655F">
            <w:pPr>
              <w:jc w:val="center"/>
            </w:pPr>
            <w:r>
              <w:rPr>
                <w:rFonts w:ascii="宋体" w:hAnsi="宋体" w:eastAsia="宋体"/>
                <w:sz w:val="16"/>
              </w:rPr>
              <w:t>得分</w:t>
            </w:r>
          </w:p>
        </w:tc>
        <w:tc>
          <w:tcPr>
            <w:tcW w:w="3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8C7A62">
            <w:pPr>
              <w:jc w:val="center"/>
            </w:pPr>
            <w:r>
              <w:rPr>
                <w:rFonts w:ascii="宋体" w:hAnsi="宋体" w:eastAsia="宋体"/>
                <w:sz w:val="16"/>
              </w:rPr>
              <w:t>88.68分</w:t>
            </w:r>
          </w:p>
        </w:tc>
      </w:tr>
    </w:tbl>
    <w:p w14:paraId="4C41AB38">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936"/>
        <w:gridCol w:w="696"/>
        <w:gridCol w:w="616"/>
        <w:gridCol w:w="616"/>
        <w:gridCol w:w="616"/>
        <w:gridCol w:w="616"/>
        <w:gridCol w:w="616"/>
        <w:gridCol w:w="631"/>
        <w:gridCol w:w="631"/>
        <w:gridCol w:w="598"/>
        <w:gridCol w:w="631"/>
      </w:tblGrid>
      <w:tr w14:paraId="6564D1A7">
        <w:tblPrEx>
          <w:tblCellMar>
            <w:top w:w="0" w:type="dxa"/>
            <w:left w:w="108" w:type="dxa"/>
            <w:bottom w:w="0" w:type="dxa"/>
            <w:right w:w="108" w:type="dxa"/>
          </w:tblCellMar>
        </w:tblPrEx>
        <w:tc>
          <w:tcPr>
            <w:tcW w:w="8848" w:type="dxa"/>
            <w:gridSpan w:val="14"/>
            <w:vAlign w:val="center"/>
          </w:tcPr>
          <w:p w14:paraId="54C2F53E">
            <w:pPr>
              <w:jc w:val="center"/>
            </w:pPr>
            <w:r>
              <w:rPr>
                <w:rFonts w:ascii="宋体" w:hAnsi="宋体" w:eastAsia="宋体"/>
                <w:sz w:val="24"/>
              </w:rPr>
              <w:t>项目支出绩效自评表</w:t>
            </w:r>
          </w:p>
        </w:tc>
      </w:tr>
      <w:tr w14:paraId="6BCE051A">
        <w:tblPrEx>
          <w:tblCellMar>
            <w:top w:w="0" w:type="dxa"/>
            <w:left w:w="108" w:type="dxa"/>
            <w:bottom w:w="0" w:type="dxa"/>
            <w:right w:w="108" w:type="dxa"/>
          </w:tblCellMar>
        </w:tblPrEx>
        <w:tc>
          <w:tcPr>
            <w:tcW w:w="8848" w:type="dxa"/>
            <w:gridSpan w:val="14"/>
            <w:vAlign w:val="center"/>
          </w:tcPr>
          <w:p w14:paraId="57ADAA6E">
            <w:pPr>
              <w:jc w:val="center"/>
            </w:pPr>
            <w:r>
              <w:rPr>
                <w:rFonts w:ascii="宋体" w:hAnsi="宋体" w:eastAsia="宋体"/>
                <w:sz w:val="24"/>
              </w:rPr>
              <w:t>(2024年度)</w:t>
            </w:r>
          </w:p>
        </w:tc>
      </w:tr>
      <w:tr w14:paraId="6347B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7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876C37">
            <w:pPr>
              <w:jc w:val="center"/>
            </w:pPr>
            <w:r>
              <w:rPr>
                <w:rFonts w:ascii="宋体" w:hAnsi="宋体" w:eastAsia="宋体"/>
                <w:sz w:val="16"/>
              </w:rPr>
              <w:t>库科西鲁格乡其如克同村亮化项目</w:t>
            </w:r>
          </w:p>
        </w:tc>
      </w:tr>
      <w:tr w14:paraId="44F0F4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8A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58136">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2A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C5F9A3">
            <w:pPr>
              <w:jc w:val="center"/>
            </w:pPr>
            <w:r>
              <w:rPr>
                <w:rFonts w:ascii="宋体" w:hAnsi="宋体" w:eastAsia="宋体"/>
                <w:sz w:val="16"/>
              </w:rPr>
              <w:t>塔什库尔干塔吉克自治县库科西鲁格乡人民政府</w:t>
            </w:r>
          </w:p>
        </w:tc>
      </w:tr>
      <w:tr w14:paraId="7DC96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759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3DE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D7D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402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CD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D7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5A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B6EF">
            <w:pPr>
              <w:jc w:val="center"/>
            </w:pPr>
            <w:r>
              <w:rPr>
                <w:rFonts w:ascii="宋体" w:hAnsi="宋体" w:eastAsia="宋体"/>
                <w:sz w:val="16"/>
              </w:rPr>
              <w:t>得分</w:t>
            </w:r>
          </w:p>
        </w:tc>
      </w:tr>
      <w:tr w14:paraId="5DCD6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7C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D2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889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6BF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4354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2B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AD4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AD15">
            <w:pPr>
              <w:jc w:val="center"/>
            </w:pPr>
            <w:r>
              <w:rPr>
                <w:rFonts w:ascii="宋体" w:hAnsi="宋体" w:eastAsia="宋体"/>
                <w:sz w:val="16"/>
              </w:rPr>
              <w:t>10.00分</w:t>
            </w:r>
          </w:p>
        </w:tc>
      </w:tr>
      <w:tr w14:paraId="1318B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91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71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51B8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315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728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A9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0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641B">
            <w:pPr>
              <w:jc w:val="center"/>
            </w:pPr>
            <w:r>
              <w:rPr>
                <w:rFonts w:ascii="宋体" w:hAnsi="宋体" w:eastAsia="宋体"/>
                <w:sz w:val="16"/>
              </w:rPr>
              <w:t>—</w:t>
            </w:r>
          </w:p>
        </w:tc>
      </w:tr>
      <w:tr w14:paraId="5D4BA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B4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E15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ECA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D7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4D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B9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4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0B1B">
            <w:pPr>
              <w:jc w:val="center"/>
            </w:pPr>
            <w:r>
              <w:rPr>
                <w:rFonts w:ascii="宋体" w:hAnsi="宋体" w:eastAsia="宋体"/>
                <w:sz w:val="16"/>
              </w:rPr>
              <w:t>—</w:t>
            </w:r>
          </w:p>
        </w:tc>
      </w:tr>
      <w:tr w14:paraId="3CC95E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690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3D9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D35A1A">
            <w:pPr>
              <w:jc w:val="center"/>
            </w:pPr>
            <w:r>
              <w:rPr>
                <w:rFonts w:ascii="宋体" w:hAnsi="宋体" w:eastAsia="宋体"/>
                <w:sz w:val="16"/>
              </w:rPr>
              <w:t>实际完成情况</w:t>
            </w:r>
          </w:p>
        </w:tc>
      </w:tr>
      <w:tr w14:paraId="1FD73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22A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3BBC7">
            <w:pPr>
              <w:jc w:val="both"/>
            </w:pPr>
            <w:r>
              <w:rPr>
                <w:rFonts w:ascii="宋体" w:hAnsi="宋体" w:eastAsia="宋体"/>
                <w:sz w:val="16"/>
              </w:rPr>
              <w:t>投资50万元，其如克同村主要道路购置路灯137盏，每盏3649元。项目建成后资产归其如克同村村集体。通过该项目建设，有利于提高当地夜间出行安全及村风村貌。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E397EF">
            <w:pPr>
              <w:jc w:val="both"/>
            </w:pPr>
            <w:r>
              <w:rPr>
                <w:rFonts w:ascii="宋体" w:hAnsi="宋体" w:eastAsia="宋体"/>
                <w:sz w:val="16"/>
              </w:rPr>
              <w:t>投资50万元，实际支出50万，为其如克同村主要道路购置路灯137盏，每盏3649元。资产归其如克同村村集体。通过该项目建设，大大提高了当地夜间出行安全及村风村貌。</w:t>
            </w:r>
          </w:p>
        </w:tc>
      </w:tr>
      <w:tr w14:paraId="6833D7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008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AF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D5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F2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E5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C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34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58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D2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31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70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E4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87EA">
            <w:pPr>
              <w:jc w:val="center"/>
            </w:pPr>
            <w:r>
              <w:rPr>
                <w:rFonts w:ascii="宋体" w:hAnsi="宋体" w:eastAsia="宋体"/>
                <w:sz w:val="16"/>
              </w:rPr>
              <w:t>偏差原因分析及改进措施</w:t>
            </w:r>
          </w:p>
        </w:tc>
      </w:tr>
      <w:tr w14:paraId="75E56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C5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5B8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A4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41CC">
            <w:pPr>
              <w:jc w:val="center"/>
            </w:pPr>
            <w:r>
              <w:rPr>
                <w:rFonts w:ascii="宋体" w:hAnsi="宋体" w:eastAsia="宋体"/>
                <w:sz w:val="16"/>
              </w:rPr>
              <w:t>新建太阳能路灯数量（盏）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1B69">
            <w:pPr>
              <w:jc w:val="center"/>
            </w:pPr>
            <w:r>
              <w:rPr>
                <w:rFonts w:ascii="宋体" w:hAnsi="宋体" w:eastAsia="宋体"/>
                <w:sz w:val="16"/>
              </w:rPr>
              <w:t>&gt;=137盏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8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0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0F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D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3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20FB">
            <w:pPr>
              <w:jc w:val="center"/>
            </w:pPr>
            <w:r>
              <w:rPr>
                <w:rFonts w:ascii="宋体" w:hAnsi="宋体" w:eastAsia="宋体"/>
                <w:sz w:val="16"/>
              </w:rPr>
              <w:t>=137盏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0F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870C0">
            <w:pPr>
              <w:jc w:val="center"/>
            </w:pPr>
          </w:p>
        </w:tc>
      </w:tr>
      <w:tr w14:paraId="15E8F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B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D3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83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7198">
            <w:pPr>
              <w:jc w:val="center"/>
            </w:pPr>
            <w:r>
              <w:rPr>
                <w:rFonts w:ascii="宋体" w:hAnsi="宋体" w:eastAsia="宋体"/>
                <w:sz w:val="16"/>
              </w:rPr>
              <w:t>新建太阳能路灯验收合格率（%）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7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B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2E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C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7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8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E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4E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1578">
            <w:pPr>
              <w:jc w:val="center"/>
            </w:pPr>
          </w:p>
        </w:tc>
      </w:tr>
      <w:tr w14:paraId="3E965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1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FB9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A7A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7C3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8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C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B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1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6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8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F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2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69EC">
            <w:pPr>
              <w:jc w:val="center"/>
            </w:pPr>
          </w:p>
        </w:tc>
      </w:tr>
      <w:tr w14:paraId="6AF61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0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96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E1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5F3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2236">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0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5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F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F5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5F6C">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FD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F6DD">
            <w:pPr>
              <w:jc w:val="center"/>
            </w:pPr>
          </w:p>
        </w:tc>
      </w:tr>
      <w:tr w14:paraId="4C343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2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24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AB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7A43">
            <w:pPr>
              <w:jc w:val="center"/>
            </w:pPr>
            <w:r>
              <w:rPr>
                <w:rFonts w:ascii="宋体" w:hAnsi="宋体" w:eastAsia="宋体"/>
                <w:sz w:val="16"/>
              </w:rPr>
              <w:t>亮化工程投资额标准(盏/元)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72A8">
            <w:pPr>
              <w:jc w:val="center"/>
            </w:pPr>
            <w:r>
              <w:rPr>
                <w:rFonts w:ascii="宋体" w:hAnsi="宋体" w:eastAsia="宋体"/>
                <w:sz w:val="16"/>
              </w:rPr>
              <w:t>&lt;=3649盏/元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06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9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34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3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C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956A">
            <w:pPr>
              <w:jc w:val="center"/>
            </w:pPr>
            <w:r>
              <w:rPr>
                <w:rFonts w:ascii="宋体" w:hAnsi="宋体" w:eastAsia="宋体"/>
                <w:sz w:val="16"/>
              </w:rPr>
              <w:t>=3649盏/元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A0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FA7C0">
            <w:pPr>
              <w:jc w:val="center"/>
            </w:pPr>
          </w:p>
        </w:tc>
      </w:tr>
      <w:tr w14:paraId="39050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CD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AFBC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98C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0072">
            <w:pPr>
              <w:jc w:val="center"/>
            </w:pPr>
            <w:r>
              <w:rPr>
                <w:rFonts w:ascii="宋体" w:hAnsi="宋体" w:eastAsia="宋体"/>
                <w:sz w:val="16"/>
              </w:rPr>
              <w:t>改善全村人居环境人口数（人）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5432">
            <w:pPr>
              <w:jc w:val="center"/>
            </w:pPr>
            <w:r>
              <w:rPr>
                <w:rFonts w:ascii="宋体" w:hAnsi="宋体" w:eastAsia="宋体"/>
                <w:sz w:val="16"/>
              </w:rPr>
              <w:t>=299人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C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DC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6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A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B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BFE8">
            <w:pPr>
              <w:jc w:val="center"/>
            </w:pPr>
            <w:r>
              <w:rPr>
                <w:rFonts w:ascii="宋体" w:hAnsi="宋体" w:eastAsia="宋体"/>
                <w:sz w:val="16"/>
              </w:rPr>
              <w:t>=299人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14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2C15">
            <w:pPr>
              <w:jc w:val="center"/>
            </w:pPr>
          </w:p>
        </w:tc>
      </w:tr>
      <w:tr w14:paraId="5C539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D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0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54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13F5">
            <w:pPr>
              <w:jc w:val="center"/>
            </w:pPr>
            <w:r>
              <w:rPr>
                <w:rFonts w:ascii="宋体" w:hAnsi="宋体" w:eastAsia="宋体"/>
                <w:sz w:val="16"/>
              </w:rPr>
              <w:t>改善贫困户农村生活环境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380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6F0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5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A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BE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1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8EC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08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B18CB">
            <w:pPr>
              <w:jc w:val="center"/>
            </w:pPr>
          </w:p>
        </w:tc>
      </w:tr>
      <w:tr w14:paraId="64A38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6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25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19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A278">
            <w:pPr>
              <w:jc w:val="center"/>
            </w:pPr>
            <w:r>
              <w:rPr>
                <w:rFonts w:ascii="宋体" w:hAnsi="宋体" w:eastAsia="宋体"/>
                <w:sz w:val="16"/>
              </w:rPr>
              <w:t>受益农村居民满意度（≥**%）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3C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9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B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F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13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6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C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3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EC8F9">
            <w:pPr>
              <w:jc w:val="center"/>
            </w:pPr>
            <w:r>
              <w:rPr>
                <w:rFonts w:ascii="宋体" w:hAnsi="宋体" w:eastAsia="宋体"/>
                <w:sz w:val="16"/>
              </w:rPr>
              <w:t>偏差原因：项目实施情况较好，受益农村居民满意度高于预期，导致出现正偏差，改进措施：基于当前良好表现，重新审视绩效目标，在以后绩效目标设置时设置更具挑战性的目标，以推动业务持续发展。</w:t>
            </w:r>
          </w:p>
        </w:tc>
      </w:tr>
      <w:tr w14:paraId="427CC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57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C8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A2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45446">
            <w:pPr>
              <w:jc w:val="center"/>
            </w:pPr>
            <w:r>
              <w:rPr>
                <w:rFonts w:ascii="宋体" w:hAnsi="宋体" w:eastAsia="宋体"/>
                <w:sz w:val="16"/>
              </w:rPr>
              <w:t>100分</w:t>
            </w:r>
          </w:p>
        </w:tc>
      </w:tr>
    </w:tbl>
    <w:p w14:paraId="4BFB757B">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936"/>
        <w:gridCol w:w="696"/>
        <w:gridCol w:w="616"/>
        <w:gridCol w:w="616"/>
        <w:gridCol w:w="616"/>
        <w:gridCol w:w="616"/>
        <w:gridCol w:w="616"/>
        <w:gridCol w:w="631"/>
        <w:gridCol w:w="631"/>
        <w:gridCol w:w="598"/>
        <w:gridCol w:w="631"/>
      </w:tblGrid>
      <w:tr w14:paraId="048A6FB3">
        <w:tblPrEx>
          <w:tblCellMar>
            <w:top w:w="0" w:type="dxa"/>
            <w:left w:w="108" w:type="dxa"/>
            <w:bottom w:w="0" w:type="dxa"/>
            <w:right w:w="108" w:type="dxa"/>
          </w:tblCellMar>
        </w:tblPrEx>
        <w:tc>
          <w:tcPr>
            <w:tcW w:w="8848" w:type="dxa"/>
            <w:gridSpan w:val="14"/>
            <w:vAlign w:val="center"/>
          </w:tcPr>
          <w:p w14:paraId="3E0DE745">
            <w:pPr>
              <w:jc w:val="center"/>
            </w:pPr>
            <w:r>
              <w:rPr>
                <w:rFonts w:ascii="宋体" w:hAnsi="宋体" w:eastAsia="宋体"/>
                <w:sz w:val="24"/>
              </w:rPr>
              <w:t>项目支出绩效自评表</w:t>
            </w:r>
          </w:p>
        </w:tc>
      </w:tr>
      <w:tr w14:paraId="026B839C">
        <w:tblPrEx>
          <w:tblCellMar>
            <w:top w:w="0" w:type="dxa"/>
            <w:left w:w="108" w:type="dxa"/>
            <w:bottom w:w="0" w:type="dxa"/>
            <w:right w:w="108" w:type="dxa"/>
          </w:tblCellMar>
        </w:tblPrEx>
        <w:tc>
          <w:tcPr>
            <w:tcW w:w="8848" w:type="dxa"/>
            <w:gridSpan w:val="14"/>
            <w:vAlign w:val="center"/>
          </w:tcPr>
          <w:p w14:paraId="53EA060C">
            <w:pPr>
              <w:jc w:val="center"/>
            </w:pPr>
            <w:r>
              <w:rPr>
                <w:rFonts w:ascii="宋体" w:hAnsi="宋体" w:eastAsia="宋体"/>
                <w:sz w:val="24"/>
              </w:rPr>
              <w:t>(2024年度)</w:t>
            </w:r>
          </w:p>
        </w:tc>
      </w:tr>
      <w:tr w14:paraId="3D5C8B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4A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C4650">
            <w:pPr>
              <w:jc w:val="center"/>
            </w:pPr>
            <w:r>
              <w:rPr>
                <w:rFonts w:ascii="宋体" w:hAnsi="宋体" w:eastAsia="宋体"/>
                <w:sz w:val="16"/>
              </w:rPr>
              <w:t>库科西鲁格乡喀玛如孜村亮化项目</w:t>
            </w:r>
          </w:p>
        </w:tc>
      </w:tr>
      <w:tr w14:paraId="16D5D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D8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04043">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7C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73C36">
            <w:pPr>
              <w:jc w:val="center"/>
            </w:pPr>
            <w:r>
              <w:rPr>
                <w:rFonts w:ascii="宋体" w:hAnsi="宋体" w:eastAsia="宋体"/>
                <w:sz w:val="16"/>
              </w:rPr>
              <w:t>塔什库尔干塔吉克自治县库科西鲁格乡人民政府</w:t>
            </w:r>
          </w:p>
        </w:tc>
      </w:tr>
      <w:tr w14:paraId="2400E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01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00C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95C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97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20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F83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10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7F94">
            <w:pPr>
              <w:jc w:val="center"/>
            </w:pPr>
            <w:r>
              <w:rPr>
                <w:rFonts w:ascii="宋体" w:hAnsi="宋体" w:eastAsia="宋体"/>
                <w:sz w:val="16"/>
              </w:rPr>
              <w:t>得分</w:t>
            </w:r>
          </w:p>
        </w:tc>
      </w:tr>
      <w:tr w14:paraId="11C61E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39F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CD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EFA1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77F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E37C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EC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92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11A7">
            <w:pPr>
              <w:jc w:val="center"/>
            </w:pPr>
            <w:r>
              <w:rPr>
                <w:rFonts w:ascii="宋体" w:hAnsi="宋体" w:eastAsia="宋体"/>
                <w:sz w:val="16"/>
              </w:rPr>
              <w:t>10.00分</w:t>
            </w:r>
          </w:p>
        </w:tc>
      </w:tr>
      <w:tr w14:paraId="4A707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E4D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94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A62B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871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5FF9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8F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A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8C15">
            <w:pPr>
              <w:jc w:val="center"/>
            </w:pPr>
            <w:r>
              <w:rPr>
                <w:rFonts w:ascii="宋体" w:hAnsi="宋体" w:eastAsia="宋体"/>
                <w:sz w:val="16"/>
              </w:rPr>
              <w:t>—</w:t>
            </w:r>
          </w:p>
        </w:tc>
      </w:tr>
      <w:tr w14:paraId="1AA84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89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6C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918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45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2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79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07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63F5">
            <w:pPr>
              <w:jc w:val="center"/>
            </w:pPr>
            <w:r>
              <w:rPr>
                <w:rFonts w:ascii="宋体" w:hAnsi="宋体" w:eastAsia="宋体"/>
                <w:sz w:val="16"/>
              </w:rPr>
              <w:t>—</w:t>
            </w:r>
          </w:p>
        </w:tc>
      </w:tr>
      <w:tr w14:paraId="67761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628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12F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9F431">
            <w:pPr>
              <w:jc w:val="center"/>
            </w:pPr>
            <w:r>
              <w:rPr>
                <w:rFonts w:ascii="宋体" w:hAnsi="宋体" w:eastAsia="宋体"/>
                <w:sz w:val="16"/>
              </w:rPr>
              <w:t>实际完成情况</w:t>
            </w:r>
          </w:p>
        </w:tc>
      </w:tr>
      <w:tr w14:paraId="46A35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B9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1E464">
            <w:pPr>
              <w:jc w:val="both"/>
            </w:pPr>
            <w:r>
              <w:rPr>
                <w:rFonts w:ascii="宋体" w:hAnsi="宋体" w:eastAsia="宋体"/>
                <w:sz w:val="16"/>
              </w:rPr>
              <w:t>投资50万元，喀玛如孜村主要道路购置路灯137盏，每盏3649元</w:t>
            </w:r>
            <w:r>
              <w:rPr>
                <w:rFonts w:hint="eastAsia" w:ascii="宋体" w:hAnsi="宋体"/>
                <w:sz w:val="16"/>
                <w:lang w:eastAsia="zh-CN"/>
              </w:rPr>
              <w:t>。</w:t>
            </w:r>
            <w:r>
              <w:rPr>
                <w:rFonts w:ascii="宋体" w:hAnsi="宋体" w:eastAsia="宋体"/>
                <w:sz w:val="16"/>
              </w:rPr>
              <w:t>项目建成后资产归喀玛如孜村村集体。通过该项目建设，有利于提高当地夜间出行安全及村风村貌。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4B5D4">
            <w:pPr>
              <w:jc w:val="both"/>
            </w:pPr>
            <w:r>
              <w:rPr>
                <w:rFonts w:ascii="宋体" w:hAnsi="宋体" w:eastAsia="宋体"/>
                <w:sz w:val="16"/>
              </w:rPr>
              <w:t>实际支出50万元，用于喀玛如孜村主要道路购置路灯137盏，每盏3649元。改善全村人居环境人口数781人，提高了当地夜间出行安全及村风村貌，受益农村居民满意度达到100％。</w:t>
            </w:r>
          </w:p>
        </w:tc>
      </w:tr>
      <w:tr w14:paraId="17C0CF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D21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3D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D5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5E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7B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01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9C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2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1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3E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4A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F0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8725">
            <w:pPr>
              <w:jc w:val="center"/>
            </w:pPr>
            <w:r>
              <w:rPr>
                <w:rFonts w:ascii="宋体" w:hAnsi="宋体" w:eastAsia="宋体"/>
                <w:sz w:val="16"/>
              </w:rPr>
              <w:t>偏差原因分析及改进措施</w:t>
            </w:r>
          </w:p>
        </w:tc>
      </w:tr>
      <w:tr w14:paraId="7D8A9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1F5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FCE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7D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850B">
            <w:pPr>
              <w:jc w:val="center"/>
            </w:pPr>
            <w:r>
              <w:rPr>
                <w:rFonts w:ascii="宋体" w:hAnsi="宋体" w:eastAsia="宋体"/>
                <w:sz w:val="16"/>
              </w:rPr>
              <w:t>新建太阳能路灯数量（盏）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FAF4">
            <w:pPr>
              <w:jc w:val="center"/>
            </w:pPr>
            <w:r>
              <w:rPr>
                <w:rFonts w:ascii="宋体" w:hAnsi="宋体" w:eastAsia="宋体"/>
                <w:sz w:val="16"/>
              </w:rPr>
              <w:t>&gt;=137盏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A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E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6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6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7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EA92">
            <w:pPr>
              <w:jc w:val="center"/>
            </w:pPr>
            <w:r>
              <w:rPr>
                <w:rFonts w:ascii="宋体" w:hAnsi="宋体" w:eastAsia="宋体"/>
                <w:sz w:val="16"/>
              </w:rPr>
              <w:t>=137盏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D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C1810">
            <w:pPr>
              <w:jc w:val="center"/>
            </w:pPr>
          </w:p>
        </w:tc>
      </w:tr>
      <w:tr w14:paraId="19EB0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FE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64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DC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A59C">
            <w:pPr>
              <w:jc w:val="center"/>
            </w:pPr>
            <w:r>
              <w:rPr>
                <w:rFonts w:ascii="宋体" w:hAnsi="宋体" w:eastAsia="宋体"/>
                <w:sz w:val="16"/>
              </w:rPr>
              <w:t>新建太阳能路灯验收合格率（%）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0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4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A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1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4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8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5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F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A3298">
            <w:pPr>
              <w:jc w:val="center"/>
            </w:pPr>
          </w:p>
        </w:tc>
      </w:tr>
      <w:tr w14:paraId="70F11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64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82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2B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016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3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8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6E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C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5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6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12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E9583">
            <w:pPr>
              <w:jc w:val="center"/>
            </w:pPr>
          </w:p>
        </w:tc>
      </w:tr>
      <w:tr w14:paraId="2556E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B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AB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56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39BB">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441C">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F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0E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9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69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7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696D">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39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EE06">
            <w:pPr>
              <w:jc w:val="center"/>
            </w:pPr>
          </w:p>
        </w:tc>
      </w:tr>
      <w:tr w14:paraId="66B1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4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0F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B6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ADBA">
            <w:pPr>
              <w:jc w:val="center"/>
            </w:pPr>
            <w:r>
              <w:rPr>
                <w:rFonts w:ascii="宋体" w:hAnsi="宋体" w:eastAsia="宋体"/>
                <w:sz w:val="16"/>
              </w:rPr>
              <w:t>亮化工程投资额标准(盏/元)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4B02">
            <w:pPr>
              <w:jc w:val="center"/>
            </w:pPr>
            <w:r>
              <w:rPr>
                <w:rFonts w:ascii="宋体" w:hAnsi="宋体" w:eastAsia="宋体"/>
                <w:sz w:val="16"/>
              </w:rPr>
              <w:t>&lt;=3649盏/元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B5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E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57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7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00F0">
            <w:pPr>
              <w:jc w:val="center"/>
            </w:pPr>
            <w:r>
              <w:rPr>
                <w:rFonts w:ascii="宋体" w:hAnsi="宋体" w:eastAsia="宋体"/>
                <w:sz w:val="16"/>
              </w:rPr>
              <w:t>=3649盏/元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D3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77ABA">
            <w:pPr>
              <w:jc w:val="center"/>
            </w:pPr>
          </w:p>
        </w:tc>
      </w:tr>
      <w:tr w14:paraId="64446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70E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126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E0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7D1B">
            <w:pPr>
              <w:jc w:val="center"/>
            </w:pPr>
            <w:r>
              <w:rPr>
                <w:rFonts w:ascii="宋体" w:hAnsi="宋体" w:eastAsia="宋体"/>
                <w:sz w:val="16"/>
              </w:rPr>
              <w:t>改善贫困户农村生活环境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05D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F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77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F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67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6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D428">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AA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1902A">
            <w:pPr>
              <w:jc w:val="center"/>
            </w:pPr>
          </w:p>
        </w:tc>
      </w:tr>
      <w:tr w14:paraId="645BC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D3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7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1B4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5557">
            <w:pPr>
              <w:jc w:val="center"/>
            </w:pPr>
            <w:r>
              <w:rPr>
                <w:rFonts w:ascii="宋体" w:hAnsi="宋体" w:eastAsia="宋体"/>
                <w:sz w:val="16"/>
              </w:rPr>
              <w:t>改善全村人居环境人口数（人）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A292">
            <w:pPr>
              <w:jc w:val="center"/>
            </w:pPr>
            <w:r>
              <w:rPr>
                <w:rFonts w:ascii="宋体" w:hAnsi="宋体" w:eastAsia="宋体"/>
                <w:sz w:val="16"/>
              </w:rPr>
              <w:t>=781人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F0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D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D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4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A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6BF0">
            <w:pPr>
              <w:jc w:val="center"/>
            </w:pPr>
            <w:r>
              <w:rPr>
                <w:rFonts w:ascii="宋体" w:hAnsi="宋体" w:eastAsia="宋体"/>
                <w:sz w:val="16"/>
              </w:rPr>
              <w:t>=781人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1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7108F">
            <w:pPr>
              <w:jc w:val="center"/>
            </w:pPr>
          </w:p>
        </w:tc>
      </w:tr>
      <w:tr w14:paraId="5C0E4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3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FB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D1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7342">
            <w:pPr>
              <w:jc w:val="center"/>
            </w:pPr>
            <w:r>
              <w:rPr>
                <w:rFonts w:ascii="宋体" w:hAnsi="宋体" w:eastAsia="宋体"/>
                <w:sz w:val="16"/>
              </w:rPr>
              <w:t>受益农村居民满意度（≥**%）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8C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7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E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D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89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28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F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8D4C">
            <w:pPr>
              <w:jc w:val="center"/>
            </w:pPr>
            <w:r>
              <w:rPr>
                <w:rFonts w:ascii="宋体" w:hAnsi="宋体" w:eastAsia="宋体"/>
                <w:sz w:val="16"/>
              </w:rPr>
              <w:t>项目完成情况较好，实际受益农村居民满意度较高，所以指标出现正偏差</w:t>
            </w:r>
          </w:p>
        </w:tc>
      </w:tr>
      <w:tr w14:paraId="767EE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08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2C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A2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385BB">
            <w:pPr>
              <w:jc w:val="center"/>
            </w:pPr>
            <w:r>
              <w:rPr>
                <w:rFonts w:ascii="宋体" w:hAnsi="宋体" w:eastAsia="宋体"/>
                <w:sz w:val="16"/>
              </w:rPr>
              <w:t>100分</w:t>
            </w:r>
          </w:p>
        </w:tc>
      </w:tr>
    </w:tbl>
    <w:p w14:paraId="6330E0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4F985F2">
        <w:tblPrEx>
          <w:tblCellMar>
            <w:top w:w="0" w:type="dxa"/>
            <w:left w:w="108" w:type="dxa"/>
            <w:bottom w:w="0" w:type="dxa"/>
            <w:right w:w="108" w:type="dxa"/>
          </w:tblCellMar>
        </w:tblPrEx>
        <w:tc>
          <w:tcPr>
            <w:tcW w:w="8848" w:type="dxa"/>
            <w:gridSpan w:val="14"/>
            <w:vAlign w:val="center"/>
          </w:tcPr>
          <w:p w14:paraId="76A12F58">
            <w:pPr>
              <w:jc w:val="center"/>
            </w:pPr>
            <w:r>
              <w:rPr>
                <w:rFonts w:ascii="宋体" w:hAnsi="宋体" w:eastAsia="宋体"/>
                <w:sz w:val="24"/>
              </w:rPr>
              <w:t>项目支出绩效自评表</w:t>
            </w:r>
          </w:p>
        </w:tc>
      </w:tr>
      <w:tr w14:paraId="495C20C7">
        <w:tblPrEx>
          <w:tblCellMar>
            <w:top w:w="0" w:type="dxa"/>
            <w:left w:w="108" w:type="dxa"/>
            <w:bottom w:w="0" w:type="dxa"/>
            <w:right w:w="108" w:type="dxa"/>
          </w:tblCellMar>
        </w:tblPrEx>
        <w:tc>
          <w:tcPr>
            <w:tcW w:w="8848" w:type="dxa"/>
            <w:gridSpan w:val="14"/>
            <w:vAlign w:val="center"/>
          </w:tcPr>
          <w:p w14:paraId="1D7D8EA5">
            <w:pPr>
              <w:jc w:val="center"/>
            </w:pPr>
            <w:r>
              <w:rPr>
                <w:rFonts w:ascii="宋体" w:hAnsi="宋体" w:eastAsia="宋体"/>
                <w:sz w:val="24"/>
              </w:rPr>
              <w:t>(2024年度)</w:t>
            </w:r>
          </w:p>
        </w:tc>
      </w:tr>
      <w:tr w14:paraId="127E2D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2D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03FD10">
            <w:pPr>
              <w:jc w:val="center"/>
            </w:pPr>
            <w:r>
              <w:rPr>
                <w:rFonts w:ascii="宋体" w:hAnsi="宋体" w:eastAsia="宋体"/>
                <w:sz w:val="16"/>
              </w:rPr>
              <w:t>库科西鲁格乡车辆采购项目</w:t>
            </w:r>
          </w:p>
        </w:tc>
      </w:tr>
      <w:tr w14:paraId="45232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CD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C9A98">
            <w:pPr>
              <w:jc w:val="center"/>
            </w:pPr>
            <w:r>
              <w:rPr>
                <w:rFonts w:ascii="宋体" w:hAnsi="宋体" w:eastAsia="宋体"/>
                <w:sz w:val="16"/>
              </w:rPr>
              <w:t>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F6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6E558">
            <w:pPr>
              <w:jc w:val="center"/>
            </w:pPr>
            <w:r>
              <w:rPr>
                <w:rFonts w:ascii="宋体" w:hAnsi="宋体" w:eastAsia="宋体"/>
                <w:sz w:val="16"/>
              </w:rPr>
              <w:t>塔什库尔干塔吉克自治县库科西鲁格乡人民政府</w:t>
            </w:r>
          </w:p>
        </w:tc>
      </w:tr>
      <w:tr w14:paraId="79B684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608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65B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FA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E3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34C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1B2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E4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76CC">
            <w:pPr>
              <w:jc w:val="center"/>
            </w:pPr>
            <w:r>
              <w:rPr>
                <w:rFonts w:ascii="宋体" w:hAnsi="宋体" w:eastAsia="宋体"/>
                <w:sz w:val="16"/>
              </w:rPr>
              <w:t>得分</w:t>
            </w:r>
          </w:p>
        </w:tc>
      </w:tr>
      <w:tr w14:paraId="1320E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D19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3B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577F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8428D">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74E70">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B7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BC0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4265">
            <w:pPr>
              <w:jc w:val="center"/>
            </w:pPr>
            <w:r>
              <w:rPr>
                <w:rFonts w:ascii="宋体" w:hAnsi="宋体" w:eastAsia="宋体"/>
                <w:sz w:val="16"/>
              </w:rPr>
              <w:t>10.00分</w:t>
            </w:r>
          </w:p>
        </w:tc>
      </w:tr>
      <w:tr w14:paraId="374D4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A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8C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2EB8">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2798A">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39B0">
            <w:pPr>
              <w:jc w:val="center"/>
            </w:pPr>
            <w:r>
              <w:rPr>
                <w:rFonts w:ascii="宋体" w:hAnsi="宋体" w:eastAsia="宋体"/>
                <w:sz w:val="16"/>
              </w:rPr>
              <w:t>16.53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D4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FF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952A">
            <w:pPr>
              <w:jc w:val="center"/>
            </w:pPr>
            <w:r>
              <w:rPr>
                <w:rFonts w:ascii="宋体" w:hAnsi="宋体" w:eastAsia="宋体"/>
                <w:sz w:val="16"/>
              </w:rPr>
              <w:t>—</w:t>
            </w:r>
          </w:p>
        </w:tc>
      </w:tr>
      <w:tr w14:paraId="19353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6B0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58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8F7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EE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6A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0D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9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6A47">
            <w:pPr>
              <w:jc w:val="center"/>
            </w:pPr>
            <w:r>
              <w:rPr>
                <w:rFonts w:ascii="宋体" w:hAnsi="宋体" w:eastAsia="宋体"/>
                <w:sz w:val="16"/>
              </w:rPr>
              <w:t>—</w:t>
            </w:r>
          </w:p>
        </w:tc>
      </w:tr>
      <w:tr w14:paraId="226B9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64D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380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5CEBA">
            <w:pPr>
              <w:jc w:val="center"/>
            </w:pPr>
            <w:r>
              <w:rPr>
                <w:rFonts w:ascii="宋体" w:hAnsi="宋体" w:eastAsia="宋体"/>
                <w:sz w:val="16"/>
              </w:rPr>
              <w:t>实际完成情况</w:t>
            </w:r>
          </w:p>
        </w:tc>
      </w:tr>
      <w:tr w14:paraId="5C6E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156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D4ED3">
            <w:pPr>
              <w:jc w:val="both"/>
            </w:pPr>
            <w:r>
              <w:rPr>
                <w:rFonts w:ascii="宋体" w:hAnsi="宋体" w:eastAsia="宋体"/>
                <w:sz w:val="16"/>
              </w:rPr>
              <w:t>该项目用于为库科西鲁格乡人民政府公务车辆编制内采购车辆1辆，需解决资金16.53万元。通过该项目的实施保障日常出勤、工作使用，质量合格，确保乘车人及其他人交通安全，确保行政机关交通便利。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5AE01">
            <w:pPr>
              <w:jc w:val="both"/>
            </w:pPr>
            <w:r>
              <w:rPr>
                <w:rFonts w:ascii="宋体" w:hAnsi="宋体" w:eastAsia="宋体"/>
                <w:sz w:val="16"/>
              </w:rPr>
              <w:t>项目实际支出16.53万元，用于为库科西鲁格乡人民政府公务车辆编制内采购车辆1辆。通过该项目的实施保障了日常出勤、工作使用，质量合格，确保了乘车人及其他人交通安全，确保了行政机关交通便利，行政人员满意度达到100%。</w:t>
            </w:r>
          </w:p>
        </w:tc>
      </w:tr>
      <w:tr w14:paraId="187F0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1E87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1C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A1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DE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54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2B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F4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79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2F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1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01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56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C811">
            <w:pPr>
              <w:jc w:val="center"/>
            </w:pPr>
            <w:r>
              <w:rPr>
                <w:rFonts w:ascii="宋体" w:hAnsi="宋体" w:eastAsia="宋体"/>
                <w:sz w:val="16"/>
              </w:rPr>
              <w:t>偏差原因分析及改进措施</w:t>
            </w:r>
          </w:p>
        </w:tc>
      </w:tr>
      <w:tr w14:paraId="5B87F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1E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ABB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A5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873D">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60D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7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8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3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F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2F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0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49A5">
            <w:pPr>
              <w:jc w:val="center"/>
            </w:pPr>
          </w:p>
        </w:tc>
      </w:tr>
      <w:tr w14:paraId="4C3D1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1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E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5D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E7D2">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1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6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0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2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C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D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3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C6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86BC">
            <w:pPr>
              <w:jc w:val="center"/>
            </w:pPr>
          </w:p>
        </w:tc>
      </w:tr>
      <w:tr w14:paraId="3A5DE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2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67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5FE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B7F9">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1D28">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2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8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1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F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0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8813">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E8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12CD">
            <w:pPr>
              <w:jc w:val="center"/>
            </w:pPr>
          </w:p>
        </w:tc>
      </w:tr>
      <w:tr w14:paraId="20B13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14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43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F1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751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D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7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5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D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6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16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5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02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8E1D">
            <w:pPr>
              <w:jc w:val="center"/>
            </w:pPr>
          </w:p>
        </w:tc>
      </w:tr>
      <w:tr w14:paraId="622DA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4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D40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3C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EBAA">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DE8B">
            <w:pPr>
              <w:jc w:val="center"/>
            </w:pPr>
            <w:r>
              <w:rPr>
                <w:rFonts w:ascii="宋体" w:hAnsi="宋体" w:eastAsia="宋体"/>
                <w:sz w:val="16"/>
              </w:rPr>
              <w:t>&lt;=16.53万元/辆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A6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6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2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F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8D98">
            <w:pPr>
              <w:jc w:val="center"/>
            </w:pPr>
            <w:r>
              <w:rPr>
                <w:rFonts w:ascii="宋体" w:hAnsi="宋体" w:eastAsia="宋体"/>
                <w:sz w:val="16"/>
              </w:rPr>
              <w:t>=16.53万元/辆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BA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04191">
            <w:pPr>
              <w:jc w:val="center"/>
            </w:pPr>
          </w:p>
        </w:tc>
      </w:tr>
      <w:tr w14:paraId="6B070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BA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25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81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F949">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3943">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E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09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51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A5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9FC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EAE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47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D35E">
            <w:pPr>
              <w:jc w:val="center"/>
            </w:pPr>
          </w:p>
        </w:tc>
      </w:tr>
      <w:tr w14:paraId="5E1F0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0D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2F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DF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A8BE">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8D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9B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6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62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B33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A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70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A607">
            <w:pPr>
              <w:jc w:val="center"/>
            </w:pPr>
            <w:r>
              <w:rPr>
                <w:rFonts w:ascii="宋体" w:hAnsi="宋体" w:eastAsia="宋体"/>
                <w:sz w:val="16"/>
              </w:rPr>
              <w:t>项目完成情况较好，实际行政人员满意度较高，所以指标出现正偏差</w:t>
            </w:r>
          </w:p>
        </w:tc>
      </w:tr>
      <w:tr w14:paraId="02385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D4F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FA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42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2F77C">
            <w:pPr>
              <w:jc w:val="center"/>
            </w:pPr>
            <w:r>
              <w:rPr>
                <w:rFonts w:ascii="宋体" w:hAnsi="宋体" w:eastAsia="宋体"/>
                <w:sz w:val="16"/>
              </w:rPr>
              <w:t>100分</w:t>
            </w:r>
          </w:p>
        </w:tc>
      </w:tr>
    </w:tbl>
    <w:p w14:paraId="6B3E44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9F8E154">
        <w:tblPrEx>
          <w:tblCellMar>
            <w:top w:w="0" w:type="dxa"/>
            <w:left w:w="108" w:type="dxa"/>
            <w:bottom w:w="0" w:type="dxa"/>
            <w:right w:w="108" w:type="dxa"/>
          </w:tblCellMar>
        </w:tblPrEx>
        <w:tc>
          <w:tcPr>
            <w:tcW w:w="8848" w:type="dxa"/>
            <w:gridSpan w:val="14"/>
            <w:vAlign w:val="center"/>
          </w:tcPr>
          <w:p w14:paraId="41393FA4">
            <w:pPr>
              <w:jc w:val="center"/>
            </w:pPr>
            <w:r>
              <w:rPr>
                <w:rFonts w:ascii="宋体" w:hAnsi="宋体" w:eastAsia="宋体"/>
                <w:sz w:val="24"/>
              </w:rPr>
              <w:t>项目支出绩效自评表</w:t>
            </w:r>
          </w:p>
        </w:tc>
      </w:tr>
      <w:tr w14:paraId="31754F6E">
        <w:tblPrEx>
          <w:tblCellMar>
            <w:top w:w="0" w:type="dxa"/>
            <w:left w:w="108" w:type="dxa"/>
            <w:bottom w:w="0" w:type="dxa"/>
            <w:right w:w="108" w:type="dxa"/>
          </w:tblCellMar>
        </w:tblPrEx>
        <w:tc>
          <w:tcPr>
            <w:tcW w:w="8848" w:type="dxa"/>
            <w:gridSpan w:val="14"/>
            <w:vAlign w:val="center"/>
          </w:tcPr>
          <w:p w14:paraId="4C4AA9D0">
            <w:pPr>
              <w:jc w:val="center"/>
            </w:pPr>
            <w:r>
              <w:rPr>
                <w:rFonts w:ascii="宋体" w:hAnsi="宋体" w:eastAsia="宋体"/>
                <w:sz w:val="24"/>
              </w:rPr>
              <w:t>(2024年度)</w:t>
            </w:r>
          </w:p>
        </w:tc>
      </w:tr>
      <w:tr w14:paraId="5D4DF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ED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CDA7C">
            <w:pPr>
              <w:jc w:val="center"/>
            </w:pPr>
            <w:r>
              <w:rPr>
                <w:rFonts w:ascii="宋体" w:hAnsi="宋体" w:eastAsia="宋体"/>
                <w:sz w:val="16"/>
              </w:rPr>
              <w:t>2024年库科西鲁格乡文化站项目</w:t>
            </w:r>
          </w:p>
        </w:tc>
      </w:tr>
      <w:tr w14:paraId="559974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6E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ADBED">
            <w:pPr>
              <w:jc w:val="center"/>
            </w:pPr>
            <w:r>
              <w:rPr>
                <w:rFonts w:ascii="宋体" w:hAnsi="宋体" w:eastAsia="宋体"/>
                <w:sz w:val="16"/>
              </w:rPr>
              <w:t>塔什库尔干塔吉克自治县文化馆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BD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C98C0">
            <w:pPr>
              <w:jc w:val="center"/>
            </w:pPr>
            <w:r>
              <w:rPr>
                <w:rFonts w:ascii="宋体" w:hAnsi="宋体" w:eastAsia="宋体"/>
                <w:sz w:val="16"/>
              </w:rPr>
              <w:t>塔什库尔干塔吉克自治县库科西鲁格乡人民政府</w:t>
            </w:r>
          </w:p>
        </w:tc>
      </w:tr>
      <w:tr w14:paraId="0839C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42CE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1C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06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1E7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BA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64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B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391A">
            <w:pPr>
              <w:jc w:val="center"/>
            </w:pPr>
            <w:r>
              <w:rPr>
                <w:rFonts w:ascii="宋体" w:hAnsi="宋体" w:eastAsia="宋体"/>
                <w:sz w:val="16"/>
              </w:rPr>
              <w:t>得分</w:t>
            </w:r>
          </w:p>
        </w:tc>
      </w:tr>
      <w:tr w14:paraId="5EB5A7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C81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C8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D5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63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058D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6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A2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8B99">
            <w:pPr>
              <w:jc w:val="center"/>
            </w:pPr>
            <w:r>
              <w:rPr>
                <w:rFonts w:ascii="宋体" w:hAnsi="宋体" w:eastAsia="宋体"/>
                <w:sz w:val="16"/>
              </w:rPr>
              <w:t>10.00分</w:t>
            </w:r>
          </w:p>
        </w:tc>
      </w:tr>
      <w:tr w14:paraId="646F3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9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BF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870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CD0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AA7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E4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54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F73A">
            <w:pPr>
              <w:jc w:val="center"/>
            </w:pPr>
            <w:r>
              <w:rPr>
                <w:rFonts w:ascii="宋体" w:hAnsi="宋体" w:eastAsia="宋体"/>
                <w:sz w:val="16"/>
              </w:rPr>
              <w:t>—</w:t>
            </w:r>
          </w:p>
        </w:tc>
      </w:tr>
      <w:tr w14:paraId="2E38B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CA6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15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8E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54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95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126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D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5F30">
            <w:pPr>
              <w:jc w:val="center"/>
            </w:pPr>
            <w:r>
              <w:rPr>
                <w:rFonts w:ascii="宋体" w:hAnsi="宋体" w:eastAsia="宋体"/>
                <w:sz w:val="16"/>
              </w:rPr>
              <w:t>—</w:t>
            </w:r>
          </w:p>
        </w:tc>
      </w:tr>
      <w:tr w14:paraId="09F3F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67E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248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EB676">
            <w:pPr>
              <w:jc w:val="center"/>
            </w:pPr>
            <w:r>
              <w:rPr>
                <w:rFonts w:ascii="宋体" w:hAnsi="宋体" w:eastAsia="宋体"/>
                <w:sz w:val="16"/>
              </w:rPr>
              <w:t>实际完成情况</w:t>
            </w:r>
          </w:p>
        </w:tc>
      </w:tr>
      <w:tr w14:paraId="0D813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AB6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0FBB1">
            <w:pPr>
              <w:jc w:val="both"/>
            </w:pPr>
            <w:r>
              <w:rPr>
                <w:rFonts w:ascii="宋体" w:hAnsi="宋体" w:eastAsia="宋体"/>
                <w:sz w:val="16"/>
              </w:rPr>
              <w:t>该项目预算安排资金5万元，其中：财政资金5万元，文化站经费共5万元，主要用于：我乡组织公益性群众文化活动2场，村级文化骨干辅导，设备运行维护，采购广告装饰牌、文艺活动服装等，预计5万元。通过该项目的实施可为本镇农牧民开展丰富多彩、健康向上的文化活动提供了场所和阵地，有利于丰富他们的精神文化生活，营造良好文化氛围，使服务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414DDC">
            <w:pPr>
              <w:jc w:val="both"/>
            </w:pPr>
            <w:r>
              <w:rPr>
                <w:rFonts w:ascii="宋体" w:hAnsi="宋体" w:eastAsia="宋体"/>
                <w:sz w:val="16"/>
              </w:rPr>
              <w:t>该项目实际支出资金5万元，其中：财政资金5万元，文化站经费共5万元，主要用于：我乡组织公益性群众文化活动2场，村级文化骨干辅导，设备运行维护，采购广告装饰牌、文艺活动服装等，总计支出5万元。通过该项目的实施，为本镇农牧民开展丰富多彩、健康向上的文化活动提供了场所和阵地，有利于丰富他们的精神文化生活，营造良好文化氛围，使受益群体满意度达到100%。</w:t>
            </w:r>
          </w:p>
        </w:tc>
      </w:tr>
      <w:tr w14:paraId="40BE82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6B8D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B1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EB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C6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B1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EB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F7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1C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66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0D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D4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83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5727">
            <w:pPr>
              <w:jc w:val="center"/>
            </w:pPr>
            <w:r>
              <w:rPr>
                <w:rFonts w:ascii="宋体" w:hAnsi="宋体" w:eastAsia="宋体"/>
                <w:sz w:val="16"/>
              </w:rPr>
              <w:t>偏差原因分析及改进措施</w:t>
            </w:r>
          </w:p>
        </w:tc>
      </w:tr>
      <w:tr w14:paraId="32BBB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56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96A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C0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9C9F">
            <w:pPr>
              <w:jc w:val="center"/>
            </w:pPr>
            <w:r>
              <w:rPr>
                <w:rFonts w:ascii="宋体" w:hAnsi="宋体" w:eastAsia="宋体"/>
                <w:sz w:val="16"/>
              </w:rPr>
              <w:t>举办各类活动次数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4475">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7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A4F2">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0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D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2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F2A7">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9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43FF9">
            <w:pPr>
              <w:jc w:val="center"/>
            </w:pPr>
          </w:p>
        </w:tc>
      </w:tr>
      <w:tr w14:paraId="469BD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2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2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F2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7ED8">
            <w:pPr>
              <w:jc w:val="center"/>
            </w:pPr>
            <w:r>
              <w:rPr>
                <w:rFonts w:ascii="宋体" w:hAnsi="宋体" w:eastAsia="宋体"/>
                <w:sz w:val="16"/>
              </w:rPr>
              <w:t>活动举办及时率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3E0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3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F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C7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A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C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BE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B619">
            <w:pPr>
              <w:jc w:val="center"/>
            </w:pPr>
          </w:p>
        </w:tc>
      </w:tr>
      <w:tr w14:paraId="23ECA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B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44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CCC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5DF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9BB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1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C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DA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0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9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9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E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ABCD">
            <w:pPr>
              <w:jc w:val="center"/>
            </w:pPr>
          </w:p>
        </w:tc>
      </w:tr>
      <w:tr w14:paraId="3C4E9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E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4F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01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A94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D42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C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2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B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33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A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D48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7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1BE0">
            <w:pPr>
              <w:jc w:val="center"/>
            </w:pPr>
          </w:p>
        </w:tc>
      </w:tr>
      <w:tr w14:paraId="196AD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DB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D0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27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89F2">
            <w:pPr>
              <w:jc w:val="center"/>
            </w:pPr>
            <w:r>
              <w:rPr>
                <w:rFonts w:ascii="宋体" w:hAnsi="宋体" w:eastAsia="宋体"/>
                <w:sz w:val="16"/>
              </w:rPr>
              <w:t>举办文化活动及相关费用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601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B3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B11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CC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35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D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ECA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8E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BCEA">
            <w:pPr>
              <w:jc w:val="center"/>
            </w:pPr>
          </w:p>
        </w:tc>
      </w:tr>
      <w:tr w14:paraId="17EA2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4A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2E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92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6A00">
            <w:pPr>
              <w:jc w:val="center"/>
            </w:pPr>
            <w:r>
              <w:rPr>
                <w:rFonts w:ascii="宋体" w:hAnsi="宋体" w:eastAsia="宋体"/>
                <w:sz w:val="16"/>
              </w:rPr>
              <w:t>营造良好文化氛围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77F7">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7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500F">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35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42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C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B34F">
            <w:pPr>
              <w:jc w:val="center"/>
            </w:pPr>
            <w:r>
              <w:rPr>
                <w:rFonts w:ascii="宋体" w:hAnsi="宋体" w:eastAsia="宋体"/>
                <w:sz w:val="16"/>
              </w:rPr>
              <w:t>营造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BD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9EF2">
            <w:pPr>
              <w:jc w:val="center"/>
            </w:pPr>
          </w:p>
        </w:tc>
      </w:tr>
      <w:tr w14:paraId="26B60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85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59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33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6B7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5D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5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E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63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6E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A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5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83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D9AA">
            <w:pPr>
              <w:jc w:val="center"/>
            </w:pPr>
            <w:r>
              <w:rPr>
                <w:rFonts w:ascii="宋体" w:hAnsi="宋体" w:eastAsia="宋体"/>
                <w:sz w:val="16"/>
              </w:rPr>
              <w:t>项目完成情况较好，实际受益群众满意度较高，所以指标出现正偏差</w:t>
            </w:r>
          </w:p>
        </w:tc>
      </w:tr>
      <w:tr w14:paraId="3DAF9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520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7B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9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7393E">
            <w:pPr>
              <w:jc w:val="center"/>
            </w:pPr>
            <w:r>
              <w:rPr>
                <w:rFonts w:ascii="宋体" w:hAnsi="宋体" w:eastAsia="宋体"/>
                <w:sz w:val="16"/>
              </w:rPr>
              <w:t>100分</w:t>
            </w:r>
          </w:p>
        </w:tc>
      </w:tr>
    </w:tbl>
    <w:p w14:paraId="18C1CE53">
      <w:r>
        <w:br w:type="page"/>
      </w:r>
    </w:p>
    <w:p w14:paraId="5AEDAD0E">
      <w:pPr>
        <w:spacing w:line="640" w:lineRule="exact"/>
        <w:ind w:firstLine="640"/>
        <w:jc w:val="both"/>
        <w:outlineLvl w:val="2"/>
      </w:pPr>
      <w:r>
        <w:rPr>
          <w:rFonts w:ascii="黑体" w:hAnsi="黑体" w:eastAsia="黑体"/>
          <w:sz w:val="32"/>
        </w:rPr>
        <w:t>十二、其他需说明的事项</w:t>
      </w:r>
    </w:p>
    <w:p w14:paraId="71F3DFD5">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44B4C49">
      <w:r>
        <w:br w:type="page"/>
      </w:r>
    </w:p>
    <w:p w14:paraId="6A207D04">
      <w:pPr>
        <w:spacing w:line="240" w:lineRule="auto"/>
        <w:jc w:val="center"/>
        <w:outlineLvl w:val="1"/>
      </w:pPr>
      <w:r>
        <w:rPr>
          <w:rFonts w:ascii="黑体" w:hAnsi="黑体" w:eastAsia="黑体"/>
          <w:sz w:val="32"/>
        </w:rPr>
        <w:t>第三部分 专业名词解释</w:t>
      </w:r>
    </w:p>
    <w:p w14:paraId="7C830F6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9D00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DD9A9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0402E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96C31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F2DEA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F528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9C403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A597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D7E9C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F23E9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A0856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4FE13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AA622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935720">
      <w:r>
        <w:br w:type="page"/>
      </w:r>
    </w:p>
    <w:p w14:paraId="56C9F891">
      <w:pPr>
        <w:spacing w:line="240" w:lineRule="auto"/>
        <w:jc w:val="center"/>
        <w:outlineLvl w:val="1"/>
      </w:pPr>
      <w:r>
        <w:rPr>
          <w:rFonts w:ascii="黑体" w:hAnsi="黑体" w:eastAsia="黑体"/>
          <w:sz w:val="32"/>
        </w:rPr>
        <w:t>第四部分 部门决算报表（见附表）</w:t>
      </w:r>
    </w:p>
    <w:p w14:paraId="05C75A81">
      <w:pPr>
        <w:spacing w:line="240" w:lineRule="auto"/>
        <w:ind w:firstLine="640"/>
        <w:jc w:val="both"/>
      </w:pPr>
      <w:r>
        <w:rPr>
          <w:rFonts w:ascii="仿宋_GB2312" w:hAnsi="仿宋_GB2312" w:eastAsia="仿宋_GB2312"/>
          <w:b w:val="0"/>
          <w:sz w:val="32"/>
        </w:rPr>
        <w:t>一、《收入支出决算总表》</w:t>
      </w:r>
    </w:p>
    <w:p w14:paraId="46561E4F">
      <w:pPr>
        <w:spacing w:line="240" w:lineRule="auto"/>
        <w:ind w:firstLine="640"/>
        <w:jc w:val="both"/>
      </w:pPr>
      <w:r>
        <w:rPr>
          <w:rFonts w:ascii="仿宋_GB2312" w:hAnsi="仿宋_GB2312" w:eastAsia="仿宋_GB2312"/>
          <w:b w:val="0"/>
          <w:sz w:val="32"/>
        </w:rPr>
        <w:t>二、《收入决算表》</w:t>
      </w:r>
    </w:p>
    <w:p w14:paraId="17D39CBA">
      <w:pPr>
        <w:spacing w:line="240" w:lineRule="auto"/>
        <w:ind w:firstLine="640"/>
        <w:jc w:val="both"/>
      </w:pPr>
      <w:r>
        <w:rPr>
          <w:rFonts w:ascii="仿宋_GB2312" w:hAnsi="仿宋_GB2312" w:eastAsia="仿宋_GB2312"/>
          <w:b w:val="0"/>
          <w:sz w:val="32"/>
        </w:rPr>
        <w:t>三、《支出决算表》</w:t>
      </w:r>
    </w:p>
    <w:p w14:paraId="557CE2A2">
      <w:pPr>
        <w:spacing w:line="240" w:lineRule="auto"/>
        <w:ind w:firstLine="640"/>
        <w:jc w:val="both"/>
      </w:pPr>
      <w:r>
        <w:rPr>
          <w:rFonts w:ascii="仿宋_GB2312" w:hAnsi="仿宋_GB2312" w:eastAsia="仿宋_GB2312"/>
          <w:b w:val="0"/>
          <w:sz w:val="32"/>
        </w:rPr>
        <w:t>四、《财政拨款收入支出决算总表》</w:t>
      </w:r>
    </w:p>
    <w:p w14:paraId="25F09456">
      <w:pPr>
        <w:spacing w:line="240" w:lineRule="auto"/>
        <w:ind w:firstLine="640"/>
        <w:jc w:val="both"/>
      </w:pPr>
      <w:r>
        <w:rPr>
          <w:rFonts w:ascii="仿宋_GB2312" w:hAnsi="仿宋_GB2312" w:eastAsia="仿宋_GB2312"/>
          <w:b w:val="0"/>
          <w:sz w:val="32"/>
        </w:rPr>
        <w:t>五、《一般公共预算财政拨款支出决算表》</w:t>
      </w:r>
    </w:p>
    <w:p w14:paraId="7C6C6CBF">
      <w:pPr>
        <w:spacing w:line="240" w:lineRule="auto"/>
        <w:ind w:firstLine="640"/>
        <w:jc w:val="both"/>
      </w:pPr>
      <w:r>
        <w:rPr>
          <w:rFonts w:ascii="仿宋_GB2312" w:hAnsi="仿宋_GB2312" w:eastAsia="仿宋_GB2312"/>
          <w:b w:val="0"/>
          <w:sz w:val="32"/>
        </w:rPr>
        <w:t>六、《一般公共预算财政拨款基本支出决算表》</w:t>
      </w:r>
    </w:p>
    <w:p w14:paraId="04F64FAF">
      <w:pPr>
        <w:spacing w:line="240" w:lineRule="auto"/>
        <w:ind w:firstLine="640"/>
        <w:jc w:val="both"/>
      </w:pPr>
      <w:r>
        <w:rPr>
          <w:rFonts w:ascii="仿宋_GB2312" w:hAnsi="仿宋_GB2312" w:eastAsia="仿宋_GB2312"/>
          <w:b w:val="0"/>
          <w:sz w:val="32"/>
        </w:rPr>
        <w:t>七、《政府性基金预算财政拨款收入支出决算表》</w:t>
      </w:r>
    </w:p>
    <w:p w14:paraId="4D6DD008">
      <w:pPr>
        <w:spacing w:line="240" w:lineRule="auto"/>
        <w:ind w:firstLine="640"/>
        <w:jc w:val="both"/>
      </w:pPr>
      <w:r>
        <w:rPr>
          <w:rFonts w:ascii="仿宋_GB2312" w:hAnsi="仿宋_GB2312" w:eastAsia="仿宋_GB2312"/>
          <w:b w:val="0"/>
          <w:sz w:val="32"/>
        </w:rPr>
        <w:t>八、《国有资本经营预算财政拨款收入支出决算表》</w:t>
      </w:r>
    </w:p>
    <w:p w14:paraId="4E3D9FCC">
      <w:pPr>
        <w:spacing w:line="240" w:lineRule="auto"/>
        <w:ind w:firstLine="640"/>
        <w:jc w:val="both"/>
      </w:pPr>
      <w:r>
        <w:rPr>
          <w:rFonts w:ascii="仿宋_GB2312" w:hAnsi="仿宋_GB2312" w:eastAsia="仿宋_GB2312"/>
          <w:b w:val="0"/>
          <w:sz w:val="32"/>
        </w:rPr>
        <w:t>九、《财政拨款“三公”经费支出决算表》</w:t>
      </w:r>
    </w:p>
    <w:p w14:paraId="6B673015">
      <w:pPr>
        <w:spacing w:line="240" w:lineRule="auto"/>
        <w:ind w:firstLine="640"/>
        <w:jc w:val="both"/>
      </w:pPr>
    </w:p>
    <w:p w14:paraId="5A9EC60D">
      <w:pPr>
        <w:spacing w:line="240" w:lineRule="auto"/>
        <w:ind w:firstLine="640"/>
        <w:jc w:val="both"/>
      </w:pPr>
    </w:p>
    <w:p w14:paraId="21B460CF">
      <w:pPr>
        <w:spacing w:line="240" w:lineRule="auto"/>
        <w:ind w:firstLine="640"/>
        <w:jc w:val="both"/>
      </w:pPr>
    </w:p>
    <w:p w14:paraId="55660B2E">
      <w:pPr>
        <w:spacing w:line="240" w:lineRule="auto"/>
        <w:ind w:firstLine="640"/>
        <w:jc w:val="both"/>
      </w:pPr>
    </w:p>
    <w:p w14:paraId="65C751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F63863"/>
    <w:rsid w:val="043E5B56"/>
    <w:rsid w:val="06792773"/>
    <w:rsid w:val="09A729D8"/>
    <w:rsid w:val="0A3C58E8"/>
    <w:rsid w:val="0A7B4867"/>
    <w:rsid w:val="0B8C3ECC"/>
    <w:rsid w:val="0C3613A3"/>
    <w:rsid w:val="0C7227A7"/>
    <w:rsid w:val="0DCA6EF7"/>
    <w:rsid w:val="0E4B1576"/>
    <w:rsid w:val="0EA04331"/>
    <w:rsid w:val="0F9811B3"/>
    <w:rsid w:val="101212F8"/>
    <w:rsid w:val="11E15093"/>
    <w:rsid w:val="120E0809"/>
    <w:rsid w:val="19071D6C"/>
    <w:rsid w:val="19B5554D"/>
    <w:rsid w:val="1B8F2D19"/>
    <w:rsid w:val="1BF404F3"/>
    <w:rsid w:val="1C317E4F"/>
    <w:rsid w:val="1C472464"/>
    <w:rsid w:val="1DAF458D"/>
    <w:rsid w:val="1E086ACE"/>
    <w:rsid w:val="1E4B5CA5"/>
    <w:rsid w:val="1EAA4A5F"/>
    <w:rsid w:val="1F587A0B"/>
    <w:rsid w:val="2064678E"/>
    <w:rsid w:val="208A521F"/>
    <w:rsid w:val="20BC0B75"/>
    <w:rsid w:val="20DD6197"/>
    <w:rsid w:val="20E05D0F"/>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023F89"/>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7990</Words>
  <Characters>9222</Characters>
  <Lines>0</Lines>
  <Paragraphs>0</Paragraphs>
  <TotalTime>6</TotalTime>
  <ScaleCrop>false</ScaleCrop>
  <LinksUpToDate>false</LinksUpToDate>
  <CharactersWithSpaces>9230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