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塔什库尔干塔吉克自治县班迪尔乡人民政府2024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F568026">
      <w:r>
        <w:br w:type="page"/>
      </w:r>
    </w:p>
    <w:p w14:paraId="716225E8">
      <w:pPr>
        <w:spacing w:line="640" w:lineRule="exact"/>
        <w:jc w:val="center"/>
        <w:outlineLvl w:val="1"/>
      </w:pPr>
      <w:r>
        <w:rPr>
          <w:rFonts w:ascii="黑体" w:hAnsi="黑体" w:eastAsia="黑体"/>
          <w:sz w:val="32"/>
        </w:rPr>
        <w:t>第一部分 单位概况</w:t>
      </w:r>
    </w:p>
    <w:p w14:paraId="4BB52CC9">
      <w:pPr>
        <w:spacing w:line="640" w:lineRule="exact"/>
        <w:ind w:firstLine="640"/>
        <w:jc w:val="both"/>
        <w:outlineLvl w:val="2"/>
      </w:pPr>
      <w:r>
        <w:rPr>
          <w:rFonts w:ascii="黑体" w:hAnsi="黑体" w:eastAsia="黑体"/>
          <w:sz w:val="32"/>
        </w:rPr>
        <w:t>一、主要职能</w:t>
      </w:r>
    </w:p>
    <w:p w14:paraId="3B2E0A37">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w:t>
      </w:r>
      <w:r>
        <w:rPr>
          <w:rFonts w:hint="eastAsia" w:ascii="仿宋_GB2312" w:hAnsi="仿宋_GB2312" w:eastAsia="仿宋_GB2312"/>
          <w:sz w:val="32"/>
          <w:lang w:eastAsia="zh-CN"/>
        </w:rPr>
        <w:t>党的路线</w:t>
      </w:r>
      <w:r>
        <w:rPr>
          <w:rFonts w:ascii="仿宋_GB2312" w:hAnsi="仿宋_GB2312" w:eastAsia="仿宋_GB2312"/>
          <w:sz w:val="32"/>
        </w:rPr>
        <w:t>、方针、政策和上级党组织的指示、决定及本级党员代表大会的决议、决定，牢固树立“围绕实现长治久安来统筹推进各方面工作”的重大指导思想，对全乡的重大问题做出决策；完成上级下达的工作任务；负责村级班子建设；推进基层民主，促进农村和谐；加强农村党的基层组织建设，不断提高党组织领导农村经济社会发展的能力和水平；重视群团组织建设，指导村民自治，引导农牧民有序参与村级事务管理，实施“一事一议”方针，增强村民的知情权、参与权、监督权，推进村务公开；不断加大乡村干部的培养力度，提高自身素质和能力建设，确保“四知四清四掌握”工作的开展，促进村民组织健康发展，增强村级组织的自治功能。</w:t>
      </w:r>
    </w:p>
    <w:p w14:paraId="18BD18E7">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制定本行政区域内党的建设工作规划、计划；组织落实党内民主生活会制度和党建目标责任制度；负责基层党组织的建设和管理，负责党员队伍思想、作风和组织建设。</w:t>
      </w:r>
    </w:p>
    <w:p w14:paraId="48049781">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负责本行政区域内党的纪律检查和党风廉政建设及反腐败工作；对党员干部行使权力和廉洁自律情况进行监督检查；受理群众信访举报，调查处理党组织和党员违纪案件；受理党员的控告和申诉、保障党员权利。</w:t>
      </w:r>
    </w:p>
    <w:p w14:paraId="258DF2DB">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负责本行政区域内民族</w:t>
      </w:r>
      <w:r>
        <w:rPr>
          <w:rFonts w:hint="eastAsia" w:ascii="仿宋_GB2312" w:hAnsi="仿宋_GB2312" w:eastAsia="仿宋_GB2312"/>
          <w:sz w:val="32"/>
          <w:lang w:eastAsia="zh-CN"/>
        </w:rPr>
        <w:t>ZJ</w:t>
      </w:r>
      <w:r>
        <w:rPr>
          <w:rFonts w:ascii="仿宋_GB2312" w:hAnsi="仿宋_GB2312" w:eastAsia="仿宋_GB2312"/>
          <w:sz w:val="32"/>
        </w:rPr>
        <w:t>、民族团结和</w:t>
      </w:r>
      <w:r>
        <w:rPr>
          <w:rFonts w:hint="eastAsia" w:ascii="仿宋_GB2312" w:hAnsi="仿宋_GB2312" w:eastAsia="仿宋_GB2312"/>
          <w:sz w:val="32"/>
          <w:lang w:eastAsia="zh-CN"/>
        </w:rPr>
        <w:t>TZ</w:t>
      </w:r>
      <w:r>
        <w:rPr>
          <w:rFonts w:ascii="仿宋_GB2312" w:hAnsi="仿宋_GB2312" w:eastAsia="仿宋_GB2312"/>
          <w:sz w:val="32"/>
        </w:rPr>
        <w:t>工作的政策宣传和组织协调工作；负责做好</w:t>
      </w:r>
      <w:r>
        <w:rPr>
          <w:rFonts w:hint="eastAsia" w:ascii="仿宋_GB2312" w:hAnsi="仿宋_GB2312" w:eastAsia="仿宋_GB2312"/>
          <w:sz w:val="32"/>
          <w:lang w:eastAsia="zh-CN"/>
        </w:rPr>
        <w:t>TZ</w:t>
      </w:r>
      <w:r>
        <w:rPr>
          <w:rFonts w:ascii="仿宋_GB2312" w:hAnsi="仿宋_GB2312" w:eastAsia="仿宋_GB2312"/>
          <w:sz w:val="32"/>
        </w:rPr>
        <w:t>对象帮扶解忧工作；负责对</w:t>
      </w:r>
      <w:r>
        <w:rPr>
          <w:rFonts w:hint="eastAsia" w:ascii="仿宋_GB2312" w:hAnsi="仿宋_GB2312" w:eastAsia="仿宋_GB2312"/>
          <w:sz w:val="32"/>
          <w:lang w:eastAsia="zh-CN"/>
        </w:rPr>
        <w:t>ZJ</w:t>
      </w:r>
      <w:r>
        <w:rPr>
          <w:rFonts w:ascii="仿宋_GB2312" w:hAnsi="仿宋_GB2312" w:eastAsia="仿宋_GB2312"/>
          <w:sz w:val="32"/>
        </w:rPr>
        <w:t>人士、</w:t>
      </w:r>
      <w:r>
        <w:rPr>
          <w:rFonts w:hint="eastAsia" w:ascii="仿宋_GB2312" w:hAnsi="仿宋_GB2312" w:eastAsia="仿宋_GB2312"/>
          <w:sz w:val="32"/>
          <w:lang w:eastAsia="zh-CN"/>
        </w:rPr>
        <w:t>ZJ</w:t>
      </w:r>
      <w:r>
        <w:rPr>
          <w:rFonts w:ascii="仿宋_GB2312" w:hAnsi="仿宋_GB2312" w:eastAsia="仿宋_GB2312"/>
          <w:sz w:val="32"/>
        </w:rPr>
        <w:t>场所和</w:t>
      </w:r>
      <w:r>
        <w:rPr>
          <w:rFonts w:hint="eastAsia" w:ascii="仿宋_GB2312" w:hAnsi="仿宋_GB2312" w:eastAsia="仿宋_GB2312"/>
          <w:sz w:val="32"/>
          <w:lang w:eastAsia="zh-CN"/>
        </w:rPr>
        <w:t>ZJ</w:t>
      </w:r>
      <w:r>
        <w:rPr>
          <w:rFonts w:ascii="仿宋_GB2312" w:hAnsi="仿宋_GB2312" w:eastAsia="仿宋_GB2312"/>
          <w:sz w:val="32"/>
        </w:rPr>
        <w:t>活动的管理。</w:t>
      </w:r>
    </w:p>
    <w:p w14:paraId="57242CC9">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加强社会管理，维护农村稳定，普及农村法制教育深化社会治安综合治理，负责本行政区域社会管理综合治理的组织协调和社会管理防控体系建设；负责网格化管理的组织与实施；加强信访和民事纠纷调解，维护乡村公共秩序和社会稳定。负责安全生产、消防安全、应急管理和中小学学校周边环境治安整治工作。加强市场监管、动植物疫病防控和农产品质量监控等社会管理，健全农牧民权益保障机制，维护农村社会公平正义。建立健全应急保障体系，加强突发事件预警和管理，做好防灾减灾及抗灾保畜工作。负责民兵预备役、征兵和战时民兵动员、民兵的选拔、培养、整组，积极做好基干民兵集训、应急分队建设工作。</w:t>
      </w:r>
    </w:p>
    <w:p w14:paraId="5F90A8B9">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负责制定并组织实施乡村建设规划、乡村道路建设和公共设施建设；负责土地、林木、水等自然资源和</w:t>
      </w:r>
      <w:r>
        <w:rPr>
          <w:rFonts w:hint="eastAsia" w:ascii="仿宋_GB2312" w:hAnsi="仿宋_GB2312" w:eastAsia="仿宋_GB2312"/>
          <w:sz w:val="32"/>
          <w:lang w:eastAsia="zh-CN"/>
        </w:rPr>
        <w:t>生态环境保护</w:t>
      </w:r>
      <w:r>
        <w:rPr>
          <w:rFonts w:ascii="仿宋_GB2312" w:hAnsi="仿宋_GB2312" w:eastAsia="仿宋_GB2312"/>
          <w:sz w:val="32"/>
        </w:rPr>
        <w:t>；负责农业生产环境监管和农产品质量安全；负责农村经营管理和指导；负责村级财务工作和土地承包流转监管工作；负责农田水利基本建设，防汛工作；负责指导农机安全管理、监督和检查工作。</w:t>
      </w:r>
    </w:p>
    <w:p w14:paraId="642B5FDD">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负责指导村民自治、完善民主议事制度，推进村务公开、财务公开，引导农民有序</w:t>
      </w:r>
      <w:r>
        <w:rPr>
          <w:rFonts w:hint="eastAsia" w:ascii="仿宋_GB2312" w:hAnsi="仿宋_GB2312" w:eastAsia="仿宋_GB2312"/>
          <w:sz w:val="32"/>
          <w:lang w:eastAsia="zh-CN"/>
        </w:rPr>
        <w:t>参与</w:t>
      </w:r>
      <w:r>
        <w:rPr>
          <w:rFonts w:ascii="仿宋_GB2312" w:hAnsi="仿宋_GB2312" w:eastAsia="仿宋_GB2312"/>
          <w:sz w:val="32"/>
        </w:rPr>
        <w:t>村级事务管理，促进社会组织健康发展，增强社会自治功能。</w:t>
      </w:r>
    </w:p>
    <w:p w14:paraId="0173E284">
      <w:pPr>
        <w:spacing w:line="640" w:lineRule="exact"/>
        <w:ind w:firstLine="640"/>
        <w:jc w:val="both"/>
        <w:outlineLvl w:val="2"/>
      </w:pPr>
      <w:r>
        <w:rPr>
          <w:rFonts w:ascii="黑体" w:hAnsi="黑体" w:eastAsia="黑体"/>
          <w:sz w:val="32"/>
        </w:rPr>
        <w:t>二、机构设置及人员情况</w:t>
      </w:r>
    </w:p>
    <w:p w14:paraId="2B3845DB">
      <w:pPr>
        <w:spacing w:line="580" w:lineRule="exact"/>
        <w:ind w:firstLine="640"/>
        <w:jc w:val="both"/>
      </w:pPr>
      <w:r>
        <w:rPr>
          <w:rFonts w:ascii="仿宋_GB2312" w:hAnsi="仿宋_GB2312" w:eastAsia="仿宋_GB2312"/>
          <w:sz w:val="32"/>
        </w:rPr>
        <w:t>塔什库尔干塔吉克自治县班迪尔乡人民政府2024年度，实有人数84人，其中：在职人员63人，减少3人；离休人员0人，增加0人；退休人员21人,增加1人。</w:t>
      </w:r>
    </w:p>
    <w:p w14:paraId="6FC41622">
      <w:pPr>
        <w:spacing w:line="580" w:lineRule="exact"/>
        <w:ind w:firstLine="640"/>
        <w:jc w:val="both"/>
      </w:pPr>
      <w:r>
        <w:rPr>
          <w:rFonts w:ascii="仿宋_GB2312" w:hAnsi="仿宋_GB2312" w:eastAsia="仿宋_GB2312"/>
          <w:sz w:val="32"/>
        </w:rPr>
        <w:t>单位无下属预算单位，下设10个科室，分别是：党政办公室、党建办公室、经济发展办公室、社会事务办公室、综合执法办公室、农业（畜牧业）发展服务中心、文体广电旅游服务中心、农村合作经济（统计）发展中心（财政所）、村规划建设发展中心（生态环境工作站）、综治中心（网格化服务中心）。</w:t>
      </w:r>
    </w:p>
    <w:p w14:paraId="3DB004FD">
      <w:r>
        <w:br w:type="page"/>
      </w:r>
    </w:p>
    <w:p w14:paraId="526D2DD8">
      <w:pPr>
        <w:spacing w:line="240" w:lineRule="auto"/>
        <w:jc w:val="center"/>
        <w:outlineLvl w:val="1"/>
      </w:pPr>
      <w:r>
        <w:rPr>
          <w:rFonts w:ascii="黑体" w:hAnsi="黑体" w:eastAsia="黑体"/>
          <w:sz w:val="32"/>
        </w:rPr>
        <w:t>第二部分 部门决算情况说明</w:t>
      </w:r>
    </w:p>
    <w:p w14:paraId="519DD873">
      <w:pPr>
        <w:spacing w:line="640" w:lineRule="exact"/>
        <w:ind w:firstLine="640"/>
        <w:jc w:val="both"/>
        <w:outlineLvl w:val="2"/>
      </w:pPr>
      <w:r>
        <w:rPr>
          <w:rFonts w:ascii="黑体" w:hAnsi="黑体" w:eastAsia="黑体"/>
          <w:sz w:val="32"/>
        </w:rPr>
        <w:t>一、收入支出决算总体情况说明</w:t>
      </w:r>
    </w:p>
    <w:p w14:paraId="6E581F62">
      <w:pPr>
        <w:spacing w:line="580" w:lineRule="exact"/>
        <w:ind w:firstLine="640"/>
        <w:jc w:val="both"/>
      </w:pPr>
      <w:r>
        <w:rPr>
          <w:rFonts w:ascii="仿宋_GB2312" w:hAnsi="仿宋_GB2312" w:eastAsia="仿宋_GB2312"/>
          <w:b/>
          <w:sz w:val="32"/>
        </w:rPr>
        <w:t>2024年度收入总计3,752.84万元，</w:t>
      </w:r>
      <w:r>
        <w:rPr>
          <w:rFonts w:ascii="仿宋_GB2312" w:hAnsi="仿宋_GB2312" w:eastAsia="仿宋_GB2312"/>
          <w:b w:val="0"/>
          <w:sz w:val="32"/>
        </w:rPr>
        <w:t>其中：本年收入合计3,752.84万元，使用非财政拨款结余（含专用结余）0.00万元，年初结转和结余0.00万元。</w:t>
      </w:r>
    </w:p>
    <w:p w14:paraId="0FA4F58A">
      <w:pPr>
        <w:spacing w:line="580" w:lineRule="exact"/>
        <w:ind w:firstLine="640"/>
        <w:jc w:val="both"/>
      </w:pPr>
      <w:r>
        <w:rPr>
          <w:rFonts w:ascii="仿宋_GB2312" w:hAnsi="仿宋_GB2312" w:eastAsia="仿宋_GB2312"/>
          <w:b/>
          <w:sz w:val="32"/>
        </w:rPr>
        <w:t>2024年度支出总计3,752.84万元，</w:t>
      </w:r>
      <w:r>
        <w:rPr>
          <w:rFonts w:ascii="仿宋_GB2312" w:hAnsi="仿宋_GB2312" w:eastAsia="仿宋_GB2312"/>
          <w:b w:val="0"/>
          <w:sz w:val="32"/>
        </w:rPr>
        <w:t>其中：本年支出合计3,752.84万元，结余分配0.00万元，年末结转和结余0.00万元。</w:t>
      </w:r>
    </w:p>
    <w:p w14:paraId="04BCCE82">
      <w:pPr>
        <w:spacing w:line="580" w:lineRule="exact"/>
        <w:ind w:firstLine="640"/>
        <w:jc w:val="both"/>
      </w:pPr>
      <w:r>
        <w:rPr>
          <w:rFonts w:ascii="仿宋_GB2312" w:hAnsi="仿宋_GB2312" w:eastAsia="仿宋_GB2312"/>
          <w:b w:val="0"/>
          <w:sz w:val="32"/>
        </w:rPr>
        <w:t>收入支出总体与上年相比，增加636.31万元，增长20.42%，主要原因是：本年增加灌溉水渠提升工程项目、公共卫生厕所建设项目、大果沙棘种植基地建设项目、热布提环境整治项目、乡村组道路建设项目、沙棘围栏项目等。</w:t>
      </w:r>
    </w:p>
    <w:p w14:paraId="195C98A1">
      <w:pPr>
        <w:spacing w:line="640" w:lineRule="exact"/>
        <w:ind w:firstLine="640"/>
        <w:jc w:val="both"/>
        <w:outlineLvl w:val="2"/>
      </w:pPr>
      <w:r>
        <w:rPr>
          <w:rFonts w:ascii="黑体" w:hAnsi="黑体" w:eastAsia="黑体"/>
          <w:sz w:val="32"/>
        </w:rPr>
        <w:t>二、收入决算情况说明</w:t>
      </w:r>
    </w:p>
    <w:p w14:paraId="7830D343">
      <w:pPr>
        <w:spacing w:line="580" w:lineRule="exact"/>
        <w:ind w:firstLine="640"/>
        <w:jc w:val="both"/>
      </w:pPr>
      <w:r>
        <w:rPr>
          <w:rFonts w:ascii="仿宋_GB2312" w:hAnsi="仿宋_GB2312" w:eastAsia="仿宋_GB2312"/>
          <w:b/>
          <w:sz w:val="32"/>
        </w:rPr>
        <w:t>本年收入3,752.84万元，</w:t>
      </w:r>
      <w:r>
        <w:rPr>
          <w:rFonts w:ascii="仿宋_GB2312" w:hAnsi="仿宋_GB2312" w:eastAsia="仿宋_GB2312"/>
          <w:b w:val="0"/>
          <w:sz w:val="32"/>
        </w:rPr>
        <w:t>其中：财政拨款收入3,752.84万元，占100.00%；上级补助收入0.00万元，占0.00%；事业收入0.00万元，占0.00%；经营收入0.00万元，占0.00%；附属单位上缴收入0.00万元，占0.00%；其他收入0.00万元，占0.00%。</w:t>
      </w:r>
    </w:p>
    <w:p w14:paraId="6A8699E8">
      <w:pPr>
        <w:spacing w:line="640" w:lineRule="exact"/>
        <w:ind w:firstLine="640"/>
        <w:jc w:val="both"/>
        <w:outlineLvl w:val="2"/>
      </w:pPr>
      <w:r>
        <w:rPr>
          <w:rFonts w:ascii="黑体" w:hAnsi="黑体" w:eastAsia="黑体"/>
          <w:sz w:val="32"/>
        </w:rPr>
        <w:t>三、支出决算情况说明</w:t>
      </w:r>
    </w:p>
    <w:p w14:paraId="0D562C14">
      <w:pPr>
        <w:spacing w:line="580" w:lineRule="exact"/>
        <w:ind w:firstLine="640"/>
        <w:jc w:val="both"/>
      </w:pPr>
      <w:r>
        <w:rPr>
          <w:rFonts w:ascii="仿宋_GB2312" w:hAnsi="仿宋_GB2312" w:eastAsia="仿宋_GB2312"/>
          <w:b/>
          <w:sz w:val="32"/>
        </w:rPr>
        <w:t>本年支出3,752.84万元，</w:t>
      </w:r>
      <w:r>
        <w:rPr>
          <w:rFonts w:ascii="仿宋_GB2312" w:hAnsi="仿宋_GB2312" w:eastAsia="仿宋_GB2312"/>
          <w:b w:val="0"/>
          <w:sz w:val="32"/>
        </w:rPr>
        <w:t>其中：基本支出1,644.12万元，占43.81%；项目支出2,108.72万元，占56.19%；上缴上级支出0.00万元，占0.00%；经营支出0.00万元，占0.00%；对附属单位补助支出0.00万元，占0.00%。</w:t>
      </w:r>
    </w:p>
    <w:p w14:paraId="7970B1A8">
      <w:pPr>
        <w:spacing w:line="640" w:lineRule="exact"/>
        <w:ind w:firstLine="640"/>
        <w:jc w:val="both"/>
        <w:outlineLvl w:val="2"/>
      </w:pPr>
      <w:r>
        <w:rPr>
          <w:rFonts w:ascii="黑体" w:hAnsi="黑体" w:eastAsia="黑体"/>
          <w:sz w:val="32"/>
        </w:rPr>
        <w:t>四、财政拨款收入支出决算总体情况说明</w:t>
      </w:r>
    </w:p>
    <w:p w14:paraId="4264D1DA">
      <w:pPr>
        <w:spacing w:line="580" w:lineRule="exact"/>
        <w:ind w:firstLine="640"/>
        <w:jc w:val="both"/>
      </w:pPr>
      <w:r>
        <w:rPr>
          <w:rFonts w:ascii="仿宋_GB2312" w:hAnsi="仿宋_GB2312" w:eastAsia="仿宋_GB2312"/>
          <w:b/>
          <w:sz w:val="32"/>
        </w:rPr>
        <w:t>2024年度财政拨款收入总计3,752.84万元，</w:t>
      </w:r>
      <w:r>
        <w:rPr>
          <w:rFonts w:ascii="仿宋_GB2312" w:hAnsi="仿宋_GB2312" w:eastAsia="仿宋_GB2312"/>
          <w:b w:val="0"/>
          <w:sz w:val="32"/>
        </w:rPr>
        <w:t>其中：年初财政拨款结转和结余0.00万元，本年财政拨款收入3,752.84万元。</w:t>
      </w:r>
      <w:r>
        <w:rPr>
          <w:rFonts w:ascii="仿宋_GB2312" w:hAnsi="仿宋_GB2312" w:eastAsia="仿宋_GB2312"/>
          <w:b/>
          <w:sz w:val="32"/>
        </w:rPr>
        <w:t>财政拨款支出总计3,752.84万元，</w:t>
      </w:r>
      <w:r>
        <w:rPr>
          <w:rFonts w:ascii="仿宋_GB2312" w:hAnsi="仿宋_GB2312" w:eastAsia="仿宋_GB2312"/>
          <w:b w:val="0"/>
          <w:sz w:val="32"/>
        </w:rPr>
        <w:t>其中：年末财政拨款结转和结余0.00万元，本年财政拨款支出3,752.84万元。</w:t>
      </w:r>
    </w:p>
    <w:p w14:paraId="7423D61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增加1,320.19万元，增长54.27%，主要原因是：本年增加灌溉水渠提升工程项目、公共卫生厕所建设项目、大果沙棘种植基地建设项目、热布提环境整治项目、乡村组道路建设项目、沙棘围栏项目等。</w:t>
      </w:r>
      <w:r>
        <w:rPr>
          <w:rFonts w:ascii="仿宋_GB2312" w:hAnsi="仿宋_GB2312" w:eastAsia="仿宋_GB2312"/>
          <w:b/>
          <w:sz w:val="32"/>
        </w:rPr>
        <w:t>与年初预算相比，</w:t>
      </w:r>
      <w:r>
        <w:rPr>
          <w:rFonts w:ascii="仿宋_GB2312" w:hAnsi="仿宋_GB2312" w:eastAsia="仿宋_GB2312"/>
          <w:b w:val="0"/>
          <w:sz w:val="32"/>
        </w:rPr>
        <w:t>年初预算数1,649.64万元，决算数3,752.84万元，预决算差异率127.49%，主要原因是：年中追加灌溉水渠提升工程项目、公共卫生厕所建设项目、大果沙棘种植基地建设项目、热布提环境整治项目、乡村组道路建设项目、沙棘围栏项目。</w:t>
      </w:r>
    </w:p>
    <w:p w14:paraId="5F4ACDB4">
      <w:pPr>
        <w:spacing w:line="640" w:lineRule="exact"/>
        <w:ind w:firstLine="640"/>
        <w:jc w:val="both"/>
        <w:outlineLvl w:val="2"/>
      </w:pPr>
      <w:r>
        <w:rPr>
          <w:rFonts w:ascii="黑体" w:hAnsi="黑体" w:eastAsia="黑体"/>
          <w:sz w:val="32"/>
        </w:rPr>
        <w:t>五、一般公共预算财政拨款支出决算情况说明</w:t>
      </w:r>
    </w:p>
    <w:p w14:paraId="69D0B12F">
      <w:pPr>
        <w:spacing w:line="640" w:lineRule="exact"/>
        <w:ind w:firstLine="640"/>
        <w:jc w:val="both"/>
        <w:outlineLvl w:val="3"/>
      </w:pPr>
      <w:r>
        <w:rPr>
          <w:rFonts w:ascii="楷体_GB2312" w:hAnsi="楷体_GB2312" w:eastAsia="楷体_GB2312"/>
          <w:b/>
          <w:sz w:val="32"/>
        </w:rPr>
        <w:t>（一）一般公共预算财政拨款支出决算总体情况</w:t>
      </w:r>
    </w:p>
    <w:p w14:paraId="48CC795D">
      <w:pPr>
        <w:spacing w:line="580" w:lineRule="exact"/>
        <w:ind w:firstLine="640"/>
        <w:jc w:val="both"/>
      </w:pPr>
      <w:r>
        <w:rPr>
          <w:rFonts w:ascii="仿宋_GB2312" w:hAnsi="仿宋_GB2312" w:eastAsia="仿宋_GB2312"/>
          <w:b/>
          <w:sz w:val="32"/>
        </w:rPr>
        <w:t>2024年度一般公共预算财政拨款支出3,734.21万元，</w:t>
      </w:r>
      <w:r>
        <w:rPr>
          <w:rFonts w:ascii="仿宋_GB2312" w:hAnsi="仿宋_GB2312" w:eastAsia="仿宋_GB2312"/>
          <w:b w:val="0"/>
          <w:sz w:val="32"/>
        </w:rPr>
        <w:t>占本年支出合计的99.50%。</w:t>
      </w:r>
      <w:r>
        <w:rPr>
          <w:rFonts w:ascii="仿宋_GB2312" w:hAnsi="仿宋_GB2312" w:eastAsia="仿宋_GB2312"/>
          <w:b/>
          <w:sz w:val="32"/>
        </w:rPr>
        <w:t>与上年相比，</w:t>
      </w:r>
      <w:r>
        <w:rPr>
          <w:rFonts w:ascii="仿宋_GB2312" w:hAnsi="仿宋_GB2312" w:eastAsia="仿宋_GB2312"/>
          <w:b w:val="0"/>
          <w:sz w:val="32"/>
        </w:rPr>
        <w:t>增加1,302.47万元，增长53.56%，主要原因是：本年增加灌溉水渠提升工程项目、公共卫生厕所建设项目、大果沙棘种植基地建设项目、热布提环境整治项目、乡村组道路建设项目。</w:t>
      </w:r>
      <w:r>
        <w:rPr>
          <w:rFonts w:ascii="仿宋_GB2312" w:hAnsi="仿宋_GB2312" w:eastAsia="仿宋_GB2312"/>
          <w:b/>
          <w:sz w:val="32"/>
        </w:rPr>
        <w:t>与年初预算相比,</w:t>
      </w:r>
      <w:r>
        <w:rPr>
          <w:rFonts w:ascii="仿宋_GB2312" w:hAnsi="仿宋_GB2312" w:eastAsia="仿宋_GB2312"/>
          <w:b w:val="0"/>
          <w:sz w:val="32"/>
        </w:rPr>
        <w:t>年初预算数1,649.64万元，决算数3,734.21万元，预决算差异率126.37%，主要原因是：年中追加灌溉水渠提升工程项目、公共卫生厕所建设项目、大果沙棘种植基地建设项目、热布提环境整治项目、乡村组道路建设项目。</w:t>
      </w:r>
    </w:p>
    <w:p w14:paraId="65C5A41B">
      <w:pPr>
        <w:spacing w:line="640" w:lineRule="exact"/>
        <w:ind w:firstLine="640"/>
        <w:jc w:val="both"/>
        <w:outlineLvl w:val="3"/>
      </w:pPr>
      <w:r>
        <w:rPr>
          <w:rFonts w:ascii="楷体_GB2312" w:hAnsi="楷体_GB2312" w:eastAsia="楷体_GB2312"/>
          <w:b/>
          <w:sz w:val="32"/>
        </w:rPr>
        <w:t>（二）一般公共预算财政拨款支出决算结构情况</w:t>
      </w:r>
    </w:p>
    <w:p w14:paraId="651D44F2">
      <w:pPr>
        <w:spacing w:line="580" w:lineRule="exact"/>
        <w:ind w:firstLine="640"/>
        <w:jc w:val="both"/>
      </w:pPr>
      <w:r>
        <w:rPr>
          <w:rFonts w:ascii="仿宋_GB2312" w:hAnsi="仿宋_GB2312" w:eastAsia="仿宋_GB2312"/>
          <w:b w:val="0"/>
          <w:sz w:val="32"/>
        </w:rPr>
        <w:t>1.一般公共服务支出(类)1,127.03万元,占30.18%。</w:t>
      </w:r>
    </w:p>
    <w:p w14:paraId="0CAB911D">
      <w:pPr>
        <w:spacing w:line="580" w:lineRule="exact"/>
        <w:ind w:firstLine="640"/>
        <w:jc w:val="both"/>
      </w:pPr>
      <w:r>
        <w:rPr>
          <w:rFonts w:ascii="仿宋_GB2312" w:hAnsi="仿宋_GB2312" w:eastAsia="仿宋_GB2312"/>
          <w:b w:val="0"/>
          <w:sz w:val="32"/>
        </w:rPr>
        <w:t>2.文化旅游体育与传媒支出(类)18.26万元,占0.49%。</w:t>
      </w:r>
    </w:p>
    <w:p w14:paraId="519C085D">
      <w:pPr>
        <w:spacing w:line="580" w:lineRule="exact"/>
        <w:ind w:firstLine="640"/>
        <w:jc w:val="both"/>
      </w:pPr>
      <w:r>
        <w:rPr>
          <w:rFonts w:ascii="仿宋_GB2312" w:hAnsi="仿宋_GB2312" w:eastAsia="仿宋_GB2312"/>
          <w:b w:val="0"/>
          <w:sz w:val="32"/>
        </w:rPr>
        <w:t>3.社会保障和就业支出(类)221.13万元,占5.92%。</w:t>
      </w:r>
    </w:p>
    <w:p w14:paraId="5DB6EE9C">
      <w:pPr>
        <w:spacing w:line="580" w:lineRule="exact"/>
        <w:ind w:firstLine="640"/>
        <w:jc w:val="both"/>
      </w:pPr>
      <w:r>
        <w:rPr>
          <w:rFonts w:ascii="仿宋_GB2312" w:hAnsi="仿宋_GB2312" w:eastAsia="仿宋_GB2312"/>
          <w:b w:val="0"/>
          <w:sz w:val="32"/>
        </w:rPr>
        <w:t>4.卫生健康支出(类)65.02万元,占1.74%。</w:t>
      </w:r>
    </w:p>
    <w:p w14:paraId="16243A35">
      <w:pPr>
        <w:spacing w:line="580" w:lineRule="exact"/>
        <w:ind w:firstLine="640"/>
        <w:jc w:val="both"/>
      </w:pPr>
      <w:r>
        <w:rPr>
          <w:rFonts w:ascii="仿宋_GB2312" w:hAnsi="仿宋_GB2312" w:eastAsia="仿宋_GB2312"/>
          <w:b w:val="0"/>
          <w:sz w:val="32"/>
        </w:rPr>
        <w:t>5.农林水支出(类)2,154.97万元,占57.71%。</w:t>
      </w:r>
    </w:p>
    <w:p w14:paraId="29E1ABDC">
      <w:pPr>
        <w:spacing w:line="580" w:lineRule="exact"/>
        <w:ind w:firstLine="640"/>
        <w:jc w:val="both"/>
      </w:pPr>
      <w:r>
        <w:rPr>
          <w:rFonts w:ascii="仿宋_GB2312" w:hAnsi="仿宋_GB2312" w:eastAsia="仿宋_GB2312"/>
          <w:b w:val="0"/>
          <w:sz w:val="32"/>
        </w:rPr>
        <w:t>6.住房保障支出(类)109.79万元,占2.94%。</w:t>
      </w:r>
    </w:p>
    <w:p w14:paraId="7FEE9F67">
      <w:pPr>
        <w:spacing w:line="580" w:lineRule="exact"/>
        <w:ind w:firstLine="640"/>
        <w:jc w:val="both"/>
      </w:pPr>
      <w:r>
        <w:rPr>
          <w:rFonts w:ascii="仿宋_GB2312" w:hAnsi="仿宋_GB2312" w:eastAsia="仿宋_GB2312"/>
          <w:b w:val="0"/>
          <w:sz w:val="32"/>
        </w:rPr>
        <w:t>7.其他支出(类)38.02万元,占1.02%。</w:t>
      </w:r>
    </w:p>
    <w:p w14:paraId="18C30FFF">
      <w:pPr>
        <w:spacing w:line="640" w:lineRule="exact"/>
        <w:ind w:firstLine="640"/>
        <w:jc w:val="both"/>
        <w:outlineLvl w:val="3"/>
      </w:pPr>
      <w:r>
        <w:rPr>
          <w:rFonts w:ascii="楷体_GB2312" w:hAnsi="楷体_GB2312" w:eastAsia="楷体_GB2312"/>
          <w:b/>
          <w:sz w:val="32"/>
        </w:rPr>
        <w:t>（三）一般公共预算财政拨款支出决算具体情况</w:t>
      </w:r>
    </w:p>
    <w:p w14:paraId="774E0CA0">
      <w:pPr>
        <w:spacing w:line="580" w:lineRule="exact"/>
        <w:ind w:firstLine="640"/>
        <w:jc w:val="both"/>
      </w:pPr>
      <w:r>
        <w:rPr>
          <w:rFonts w:ascii="仿宋_GB2312" w:hAnsi="仿宋_GB2312" w:eastAsia="仿宋_GB2312"/>
          <w:b w:val="0"/>
          <w:sz w:val="32"/>
        </w:rPr>
        <w:t>1.一般公共服务支出(类)人大事务(款)人大会议(项):支出决算数为1.56万元，比上年决算增加1.56万元，增长100.00%,主要原因是：本年增加第二次会议经费及2024年</w:t>
      </w:r>
      <w:r>
        <w:rPr>
          <w:rFonts w:hint="eastAsia" w:ascii="仿宋_GB2312" w:hAnsi="仿宋_GB2312" w:eastAsia="仿宋_GB2312"/>
          <w:b w:val="0"/>
          <w:sz w:val="32"/>
          <w:lang w:eastAsia="zh-CN"/>
        </w:rPr>
        <w:t>人大</w:t>
      </w:r>
      <w:r>
        <w:rPr>
          <w:rFonts w:ascii="仿宋_GB2312" w:hAnsi="仿宋_GB2312" w:eastAsia="仿宋_GB2312"/>
          <w:b w:val="0"/>
          <w:sz w:val="32"/>
        </w:rPr>
        <w:t>经费。</w:t>
      </w:r>
    </w:p>
    <w:p w14:paraId="51774703">
      <w:pPr>
        <w:spacing w:line="580" w:lineRule="exact"/>
        <w:ind w:firstLine="640"/>
        <w:jc w:val="both"/>
      </w:pPr>
      <w:r>
        <w:rPr>
          <w:rFonts w:ascii="仿宋_GB2312" w:hAnsi="仿宋_GB2312" w:eastAsia="仿宋_GB2312"/>
          <w:b w:val="0"/>
          <w:sz w:val="32"/>
        </w:rPr>
        <w:t>2.一般公共服务支出(类)人大事务(款)代表工作(项):支出决算数为5.35万元，比上年决算减少3.39万元，下降38.79%,主要原因是：本年减少人大联络站活动经费，导致经费较上年减少。</w:t>
      </w:r>
    </w:p>
    <w:p w14:paraId="34B55F1B">
      <w:pPr>
        <w:spacing w:line="580" w:lineRule="exact"/>
        <w:ind w:firstLine="640"/>
        <w:jc w:val="both"/>
      </w:pPr>
      <w:r>
        <w:rPr>
          <w:rFonts w:ascii="仿宋_GB2312" w:hAnsi="仿宋_GB2312" w:eastAsia="仿宋_GB2312"/>
          <w:b w:val="0"/>
          <w:sz w:val="32"/>
        </w:rPr>
        <w:t>3.一般公共服务支出(类)政协事务(款)其他政协事务支出(项):支出决算数为0.40万元，比上年决算增加0.40万元，增长100.00%,主要原因是：本年增加政协委员工作联络站经费。</w:t>
      </w:r>
    </w:p>
    <w:p w14:paraId="1626B3DD">
      <w:pPr>
        <w:spacing w:line="580" w:lineRule="exact"/>
        <w:ind w:firstLine="640"/>
        <w:jc w:val="both"/>
      </w:pPr>
      <w:r>
        <w:rPr>
          <w:rFonts w:ascii="仿宋_GB2312" w:hAnsi="仿宋_GB2312" w:eastAsia="仿宋_GB2312"/>
          <w:b w:val="0"/>
          <w:sz w:val="32"/>
        </w:rPr>
        <w:t>4.一般公共服务支出(类)政府办公厅（室）及相关机构事务(款)行政运行(项):支出决算数为1,053.10万元，比上年决算增加52.50万元，增长5.25%,主要原因是：本年在职人员工资调增，导致相关人员经费较上年有所增加。</w:t>
      </w:r>
    </w:p>
    <w:p w14:paraId="05E96F45">
      <w:pPr>
        <w:spacing w:line="580" w:lineRule="exact"/>
        <w:ind w:firstLine="640"/>
        <w:jc w:val="both"/>
      </w:pPr>
      <w:r>
        <w:rPr>
          <w:rFonts w:ascii="仿宋_GB2312" w:hAnsi="仿宋_GB2312" w:eastAsia="仿宋_GB2312"/>
          <w:b w:val="0"/>
          <w:sz w:val="32"/>
        </w:rPr>
        <w:t>5.一般公共服务支出(类)政府办公厅（室）及相关机构事务(款)其他政府办公厅（室）及相关机构事务支出(项):支出决算数为64.63万元，比上年决算增加64.63万元，增长100.00%,主要原因是：本年增加波斯特班迪尔村</w:t>
      </w:r>
      <w:r>
        <w:rPr>
          <w:rFonts w:hint="eastAsia" w:ascii="仿宋_GB2312" w:hAnsi="仿宋_GB2312" w:eastAsia="仿宋_GB2312"/>
          <w:b w:val="0"/>
          <w:sz w:val="32"/>
          <w:lang w:eastAsia="zh-CN"/>
        </w:rPr>
        <w:t>为民办实事</w:t>
      </w:r>
      <w:r>
        <w:rPr>
          <w:rFonts w:ascii="仿宋_GB2312" w:hAnsi="仿宋_GB2312" w:eastAsia="仿宋_GB2312"/>
          <w:b w:val="0"/>
          <w:sz w:val="32"/>
        </w:rPr>
        <w:t>提升改造项目，武装部房屋维修改造项目及盘龙古道第一批就业人员工资。</w:t>
      </w:r>
    </w:p>
    <w:p w14:paraId="3B41309F">
      <w:pPr>
        <w:spacing w:line="580" w:lineRule="exact"/>
        <w:ind w:firstLine="640"/>
        <w:jc w:val="both"/>
      </w:pPr>
      <w:r>
        <w:rPr>
          <w:rFonts w:ascii="仿宋_GB2312" w:hAnsi="仿宋_GB2312" w:eastAsia="仿宋_GB2312"/>
          <w:b w:val="0"/>
          <w:sz w:val="32"/>
        </w:rPr>
        <w:t>6.一般公共服务支出(类)纪检监察事务(款)其他纪检监察事务支出(项):支出决算数为2.00万元，比上年决算增加0.50万元，增长33.33%,主要原因是：本年增加纪委业务装备经费。</w:t>
      </w:r>
    </w:p>
    <w:p w14:paraId="16A03449">
      <w:pPr>
        <w:spacing w:line="580" w:lineRule="exact"/>
        <w:ind w:firstLine="640"/>
        <w:jc w:val="both"/>
      </w:pPr>
      <w:r>
        <w:rPr>
          <w:rFonts w:ascii="仿宋_GB2312" w:hAnsi="仿宋_GB2312" w:eastAsia="仿宋_GB2312"/>
          <w:b w:val="0"/>
          <w:sz w:val="32"/>
        </w:rPr>
        <w:t>7.一般公共服务支出(类)组织事务(款)其他组织事务支出(项):支出决算数为0.00万元，比上年决算减少116.75万元，下降100.00%,主要原因是：一是本年减少波斯特班迪尔村，新迭村，巴扎达什特村村级阵地综合服务设施提升项目；二是村级运转经费从其他组织事务支出科目调整至其他农林水支出科目。</w:t>
      </w:r>
    </w:p>
    <w:p w14:paraId="464DC8CD">
      <w:pPr>
        <w:spacing w:line="580" w:lineRule="exact"/>
        <w:ind w:firstLine="640"/>
        <w:jc w:val="both"/>
      </w:pPr>
      <w:r>
        <w:rPr>
          <w:rFonts w:ascii="仿宋_GB2312" w:hAnsi="仿宋_GB2312" w:eastAsia="仿宋_GB2312"/>
          <w:b w:val="0"/>
          <w:sz w:val="32"/>
        </w:rPr>
        <w:t>8.文化旅游体育与传媒支出(类)文化和旅游(款)文化创作与保护(项):支出决算数为0.70万元，比上年决算减少0.10万元，下降12.50%,主要原因是：本年减少自治区非物质文化遗产保护专项资金。</w:t>
      </w:r>
    </w:p>
    <w:p w14:paraId="67A275E8">
      <w:pPr>
        <w:spacing w:line="580" w:lineRule="exact"/>
        <w:ind w:firstLine="640"/>
        <w:jc w:val="both"/>
      </w:pPr>
      <w:r>
        <w:rPr>
          <w:rFonts w:ascii="仿宋_GB2312" w:hAnsi="仿宋_GB2312" w:eastAsia="仿宋_GB2312"/>
          <w:b w:val="0"/>
          <w:sz w:val="32"/>
        </w:rPr>
        <w:t>9.文化旅游体育与传媒支出(类)文化和旅游(款)其他文化和旅游支出(项):支出决算数为17.55万元，比上年决算增加10.66万元，增长154.72%,主要原因是：本年增加盘龙古道旅游附属设施建设项目。</w:t>
      </w:r>
    </w:p>
    <w:p w14:paraId="51B3315F">
      <w:pPr>
        <w:spacing w:line="580" w:lineRule="exact"/>
        <w:ind w:firstLine="640"/>
        <w:jc w:val="both"/>
      </w:pPr>
      <w:r>
        <w:rPr>
          <w:rFonts w:ascii="仿宋_GB2312" w:hAnsi="仿宋_GB2312" w:eastAsia="仿宋_GB2312"/>
          <w:b w:val="0"/>
          <w:sz w:val="32"/>
        </w:rPr>
        <w:t>10.文化旅游体育与传媒支出(类)其他文化旅游体育与传媒支出(款)其他文化旅游体育与传媒支出(项):支出决算数为0.00万元，比上年决算减少144.32万元，下降100.00%,主要原因是：本年减少星空之域天文科普基地建设项目及文化广场改造项目。</w:t>
      </w:r>
    </w:p>
    <w:p w14:paraId="421DBD96">
      <w:pPr>
        <w:spacing w:line="580" w:lineRule="exact"/>
        <w:ind w:firstLine="640"/>
        <w:jc w:val="both"/>
      </w:pPr>
      <w:r>
        <w:rPr>
          <w:rFonts w:ascii="仿宋_GB2312" w:hAnsi="仿宋_GB2312" w:eastAsia="仿宋_GB2312"/>
          <w:b w:val="0"/>
          <w:sz w:val="32"/>
        </w:rPr>
        <w:t>11.社会保障和就业支出(类)行政事业单位养老支出(款)行政单位离退休(项):支出决算数为26.61万元，比上年决算减少3.49万元，下降11.59%,主要原因是：上年度补发退休人员绩效，本年无补发部分，导致本年退休费较上年减少。</w:t>
      </w:r>
    </w:p>
    <w:p w14:paraId="695AF430">
      <w:pPr>
        <w:spacing w:line="580" w:lineRule="exact"/>
        <w:ind w:firstLine="640"/>
        <w:jc w:val="both"/>
      </w:pPr>
      <w:r>
        <w:rPr>
          <w:rFonts w:ascii="仿宋_GB2312" w:hAnsi="仿宋_GB2312" w:eastAsia="仿宋_GB2312"/>
          <w:b w:val="0"/>
          <w:sz w:val="32"/>
        </w:rPr>
        <w:t>12.社会保障和就业支出(类)行政事业单位养老支出(款)机关事业单位基本养老保险缴费支出(项):支出决算数为126.31万元，比上年决算减少14.24万元，下降10.13%,主要原因是：本年在职人员减少，单位基本养老保险缴费较上年减少。</w:t>
      </w:r>
    </w:p>
    <w:p w14:paraId="5886A55A">
      <w:pPr>
        <w:spacing w:line="580" w:lineRule="exact"/>
        <w:ind w:firstLine="640"/>
        <w:jc w:val="both"/>
      </w:pPr>
      <w:r>
        <w:rPr>
          <w:rFonts w:ascii="仿宋_GB2312" w:hAnsi="仿宋_GB2312" w:eastAsia="仿宋_GB2312"/>
          <w:b w:val="0"/>
          <w:sz w:val="32"/>
        </w:rPr>
        <w:t>13.社会保障和就业支出(类)行政事业单位养老支出(款)机关事业单位职业年金缴费支出(项):支出决算数为17.87万元，比上年决算增加17.87万元，增长100.00%,主要原因是：本年新增退休人员，职业年金缴费支出增加。</w:t>
      </w:r>
    </w:p>
    <w:p w14:paraId="61A30F4C">
      <w:pPr>
        <w:spacing w:line="580" w:lineRule="exact"/>
        <w:ind w:firstLine="640"/>
        <w:jc w:val="both"/>
      </w:pPr>
      <w:r>
        <w:rPr>
          <w:rFonts w:ascii="仿宋_GB2312" w:hAnsi="仿宋_GB2312" w:eastAsia="仿宋_GB2312"/>
          <w:b w:val="0"/>
          <w:sz w:val="32"/>
        </w:rPr>
        <w:t>14.社会保障和就业支出(类)抚恤(款)死亡抚恤(项):支出决算数为0.00万元，比上年决算减少28.33万元，下降100.00%,主要原因是：本年无死亡人员，死亡抚恤支出较上年减少。</w:t>
      </w:r>
    </w:p>
    <w:p w14:paraId="7494D18D">
      <w:pPr>
        <w:spacing w:line="580" w:lineRule="exact"/>
        <w:ind w:firstLine="640"/>
        <w:jc w:val="both"/>
      </w:pPr>
      <w:r>
        <w:rPr>
          <w:rFonts w:ascii="仿宋_GB2312" w:hAnsi="仿宋_GB2312" w:eastAsia="仿宋_GB2312"/>
          <w:b w:val="0"/>
          <w:sz w:val="32"/>
        </w:rPr>
        <w:t>15.社会保障和就业支出(类)社会福利(款)殡葬(项):支出决算数为0.00万元，比上年决算减少53.00万元，下降100.00%,主要原因是：本年无死亡人员，殡葬支出较上年减少。</w:t>
      </w:r>
    </w:p>
    <w:p w14:paraId="5020579D">
      <w:pPr>
        <w:spacing w:line="580" w:lineRule="exact"/>
        <w:ind w:firstLine="640"/>
        <w:jc w:val="both"/>
      </w:pPr>
      <w:r>
        <w:rPr>
          <w:rFonts w:ascii="仿宋_GB2312" w:hAnsi="仿宋_GB2312" w:eastAsia="仿宋_GB2312"/>
          <w:b w:val="0"/>
          <w:sz w:val="32"/>
        </w:rPr>
        <w:t>16.社会保障和就业支出(类)其他社会保障和就业支出(款)其他社会保障和就业支出(项):支出决算数为50.35万元，比上年决算减少48.28万元，下降48.95%,主要原因是：本年减少7-12月边民补助支出。</w:t>
      </w:r>
    </w:p>
    <w:p w14:paraId="1E13722B">
      <w:pPr>
        <w:spacing w:line="580" w:lineRule="exact"/>
        <w:ind w:firstLine="640"/>
        <w:jc w:val="both"/>
      </w:pPr>
      <w:r>
        <w:rPr>
          <w:rFonts w:ascii="仿宋_GB2312" w:hAnsi="仿宋_GB2312" w:eastAsia="仿宋_GB2312"/>
          <w:b w:val="0"/>
          <w:sz w:val="32"/>
        </w:rPr>
        <w:t>17.卫生健康支出(类)行政事业单位医疗(款)行政单位医疗(项):支出决算数为53.50万元，比上年决算减少31.22万元，下降36.85%,主要原因是：本年在职人员减少，行政单位医疗支出较上年减少。</w:t>
      </w:r>
    </w:p>
    <w:p w14:paraId="5195E287">
      <w:pPr>
        <w:spacing w:line="580" w:lineRule="exact"/>
        <w:ind w:firstLine="640"/>
        <w:jc w:val="both"/>
      </w:pPr>
      <w:r>
        <w:rPr>
          <w:rFonts w:ascii="仿宋_GB2312" w:hAnsi="仿宋_GB2312" w:eastAsia="仿宋_GB2312"/>
          <w:b w:val="0"/>
          <w:sz w:val="32"/>
        </w:rPr>
        <w:t>18.卫生健康支出(类)行政事业单位医疗(款)公务员医疗补助(项):支出决算数为11.52万元，比上年决算减少8.59万元，下降42.72%,主要原因是：本年在职人员减少，公务员医疗补助较上年减少。</w:t>
      </w:r>
    </w:p>
    <w:p w14:paraId="756DB5B3">
      <w:pPr>
        <w:spacing w:line="580" w:lineRule="exact"/>
        <w:ind w:firstLine="640"/>
        <w:jc w:val="both"/>
      </w:pPr>
      <w:r>
        <w:rPr>
          <w:rFonts w:ascii="仿宋_GB2312" w:hAnsi="仿宋_GB2312" w:eastAsia="仿宋_GB2312"/>
          <w:b w:val="0"/>
          <w:sz w:val="32"/>
        </w:rPr>
        <w:t>19.农林水支出(类)农业农村(款)事业运行(项):支出决算数为245.44万元，比上年决算增加12.85万元，增长5.52%,主要原因是：本年在职人员工资调增，导致相关人员经费较上年有所增加。</w:t>
      </w:r>
    </w:p>
    <w:p w14:paraId="387B304A">
      <w:pPr>
        <w:spacing w:line="580" w:lineRule="exact"/>
        <w:ind w:firstLine="640"/>
        <w:jc w:val="both"/>
      </w:pPr>
      <w:r>
        <w:rPr>
          <w:rFonts w:ascii="仿宋_GB2312" w:hAnsi="仿宋_GB2312" w:eastAsia="仿宋_GB2312"/>
          <w:b w:val="0"/>
          <w:sz w:val="32"/>
        </w:rPr>
        <w:t>20.农林水支出(类)巩固脱贫攻坚成果衔接乡村振兴(款)生产发展(项):支出决算数为1,884.53万元，比上年决算增加1,564.46万元，增长488.79%,主要原因是：本年增加班迪尔乡灌溉水渠提升工程项目、班迪尔乡公共卫生厕所建设项目、大果沙棘种植基地建设项目、热布提环境整治项目、乡村组道路建设项目。</w:t>
      </w:r>
    </w:p>
    <w:p w14:paraId="68DF7309">
      <w:pPr>
        <w:spacing w:line="580" w:lineRule="exact"/>
        <w:ind w:firstLine="640"/>
        <w:jc w:val="both"/>
      </w:pPr>
      <w:r>
        <w:rPr>
          <w:rFonts w:ascii="仿宋_GB2312" w:hAnsi="仿宋_GB2312" w:eastAsia="仿宋_GB2312"/>
          <w:b w:val="0"/>
          <w:sz w:val="32"/>
        </w:rPr>
        <w:t>21.农林水支出(类)农村综合改革(款)对村级公益事业建设的补助(项):支出决算数为0.00万元，比上年决算减少15.00万元，下降100.00%,主要原因是：本年减少新迭村农村人居环境提升项目。</w:t>
      </w:r>
    </w:p>
    <w:p w14:paraId="0ABD307B">
      <w:pPr>
        <w:spacing w:line="580" w:lineRule="exact"/>
        <w:ind w:firstLine="640"/>
        <w:jc w:val="both"/>
      </w:pPr>
      <w:r>
        <w:rPr>
          <w:rFonts w:ascii="仿宋_GB2312" w:hAnsi="仿宋_GB2312" w:eastAsia="仿宋_GB2312"/>
          <w:b w:val="0"/>
          <w:sz w:val="32"/>
        </w:rPr>
        <w:t>22.农林水支出(类)农村综合改革(款)对村民委员会和村党支部的补助(项):支出决算数为0.00万元，比上年决算减少11.76万元，下降100.00%,主要原因是：本年减少为民办实事经费。</w:t>
      </w:r>
    </w:p>
    <w:p w14:paraId="393F8B0A">
      <w:pPr>
        <w:spacing w:line="580" w:lineRule="exact"/>
        <w:ind w:firstLine="640"/>
        <w:jc w:val="both"/>
      </w:pPr>
      <w:r>
        <w:rPr>
          <w:rFonts w:ascii="仿宋_GB2312" w:hAnsi="仿宋_GB2312" w:eastAsia="仿宋_GB2312"/>
          <w:b w:val="0"/>
          <w:sz w:val="32"/>
        </w:rPr>
        <w:t>23.农林水支出(类)其他农林水支出(款)其他农林水支出(项):支出决算数为25.00万元，比上年决算增加25.00万元，增长100.00%,主要原因是：村级运转经费从其他组织事务支出科目调整至其他农林水支出科目。</w:t>
      </w:r>
    </w:p>
    <w:p w14:paraId="46BF8245">
      <w:pPr>
        <w:spacing w:line="580" w:lineRule="exact"/>
        <w:ind w:firstLine="640"/>
        <w:jc w:val="both"/>
      </w:pPr>
      <w:r>
        <w:rPr>
          <w:rFonts w:ascii="仿宋_GB2312" w:hAnsi="仿宋_GB2312" w:eastAsia="仿宋_GB2312"/>
          <w:b w:val="0"/>
          <w:sz w:val="32"/>
        </w:rPr>
        <w:t>24.住房保障支出(类)住房改革支出(款)住房公积金(项):支出决算数为109.79万元，比上年决算减少5.81万元，下降5.03%,主要原因是：本年在职人员减少，住房公积金缴费较上年减少。</w:t>
      </w:r>
    </w:p>
    <w:p w14:paraId="1E93D201">
      <w:pPr>
        <w:spacing w:line="580" w:lineRule="exact"/>
        <w:ind w:firstLine="640"/>
        <w:jc w:val="both"/>
      </w:pPr>
      <w:r>
        <w:rPr>
          <w:rFonts w:ascii="仿宋_GB2312" w:hAnsi="仿宋_GB2312" w:eastAsia="仿宋_GB2312"/>
          <w:b w:val="0"/>
          <w:sz w:val="32"/>
        </w:rPr>
        <w:t>25.其他支出(类)其他支出(款)其他支出(项):支出决算数为38.02万元，比上年决算增加36.35万元，增长2,176.65%,主要原因是：本年增加村级运转经费及乡镇综合治理及</w:t>
      </w:r>
      <w:r>
        <w:rPr>
          <w:rFonts w:hint="eastAsia" w:ascii="仿宋_GB2312" w:hAnsi="仿宋_GB2312" w:eastAsia="仿宋_GB2312"/>
          <w:b w:val="0"/>
          <w:sz w:val="32"/>
          <w:lang w:eastAsia="zh-CN"/>
        </w:rPr>
        <w:t>ZJ</w:t>
      </w:r>
      <w:r>
        <w:rPr>
          <w:rFonts w:ascii="仿宋_GB2312" w:hAnsi="仿宋_GB2312" w:eastAsia="仿宋_GB2312"/>
          <w:b w:val="0"/>
          <w:sz w:val="32"/>
        </w:rPr>
        <w:t>工作经费。</w:t>
      </w:r>
    </w:p>
    <w:p w14:paraId="0EE2E975">
      <w:pPr>
        <w:spacing w:line="640" w:lineRule="exact"/>
        <w:ind w:firstLine="640"/>
        <w:jc w:val="both"/>
        <w:outlineLvl w:val="2"/>
      </w:pPr>
      <w:r>
        <w:rPr>
          <w:rFonts w:ascii="黑体" w:hAnsi="黑体" w:eastAsia="黑体"/>
          <w:sz w:val="32"/>
        </w:rPr>
        <w:t>六、一般公共预算财政拨款基本支出决算情况说明</w:t>
      </w:r>
    </w:p>
    <w:p w14:paraId="29AEC3F6">
      <w:pPr>
        <w:spacing w:line="580" w:lineRule="exact"/>
        <w:ind w:firstLine="640"/>
        <w:jc w:val="both"/>
      </w:pPr>
      <w:r>
        <w:rPr>
          <w:rFonts w:ascii="仿宋_GB2312" w:hAnsi="仿宋_GB2312" w:eastAsia="仿宋_GB2312"/>
          <w:b w:val="0"/>
          <w:sz w:val="32"/>
        </w:rPr>
        <w:t>2024年度一般公共预算财政拨款基本支出1,644.12万元，其中：</w:t>
      </w:r>
      <w:r>
        <w:rPr>
          <w:rFonts w:ascii="仿宋_GB2312" w:hAnsi="仿宋_GB2312" w:eastAsia="仿宋_GB2312"/>
          <w:b/>
          <w:sz w:val="32"/>
        </w:rPr>
        <w:t>人员经费1,598.60万元，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40C0BB79">
      <w:pPr>
        <w:spacing w:line="580" w:lineRule="exact"/>
        <w:ind w:firstLine="640"/>
        <w:jc w:val="both"/>
      </w:pPr>
      <w:r>
        <w:rPr>
          <w:rFonts w:ascii="仿宋_GB2312" w:hAnsi="仿宋_GB2312" w:eastAsia="仿宋_GB2312"/>
          <w:b/>
          <w:sz w:val="32"/>
        </w:rPr>
        <w:t>公用经费45.53万元，</w:t>
      </w:r>
      <w:r>
        <w:rPr>
          <w:rFonts w:ascii="仿宋_GB2312" w:hAnsi="仿宋_GB2312" w:eastAsia="仿宋_GB2312"/>
          <w:b w:val="0"/>
          <w:sz w:val="32"/>
        </w:rPr>
        <w:t>包括：办公费、电费、邮电费、取暖费、差旅费、公务用车运行维护费。</w:t>
      </w:r>
    </w:p>
    <w:p w14:paraId="1943C19A">
      <w:pPr>
        <w:spacing w:line="640" w:lineRule="exact"/>
        <w:ind w:firstLine="640"/>
        <w:jc w:val="both"/>
        <w:outlineLvl w:val="2"/>
      </w:pPr>
      <w:r>
        <w:rPr>
          <w:rFonts w:ascii="黑体" w:hAnsi="黑体" w:eastAsia="黑体"/>
          <w:sz w:val="32"/>
        </w:rPr>
        <w:t>七、政府性基金预算财政拨款收入支出决算情况说明</w:t>
      </w:r>
    </w:p>
    <w:p w14:paraId="2FB97010">
      <w:pPr>
        <w:spacing w:line="580" w:lineRule="exact"/>
        <w:ind w:firstLine="640"/>
        <w:jc w:val="both"/>
      </w:pPr>
      <w:r>
        <w:rPr>
          <w:rFonts w:ascii="仿宋_GB2312" w:hAnsi="仿宋_GB2312" w:eastAsia="仿宋_GB2312"/>
          <w:b/>
          <w:sz w:val="32"/>
        </w:rPr>
        <w:t>2024年度政府性基金预算财政拨款收入总计18.63万元，</w:t>
      </w:r>
      <w:r>
        <w:rPr>
          <w:rFonts w:ascii="仿宋_GB2312" w:hAnsi="仿宋_GB2312" w:eastAsia="仿宋_GB2312"/>
          <w:b w:val="0"/>
          <w:sz w:val="32"/>
        </w:rPr>
        <w:t>其中：年初结转和结余0.00万元，本年收入18.63万元。</w:t>
      </w:r>
      <w:r>
        <w:rPr>
          <w:rFonts w:ascii="仿宋_GB2312" w:hAnsi="仿宋_GB2312" w:eastAsia="仿宋_GB2312"/>
          <w:b/>
          <w:sz w:val="32"/>
        </w:rPr>
        <w:t>政府性基金预算财政拨款支出总计18.63万元，</w:t>
      </w:r>
      <w:r>
        <w:rPr>
          <w:rFonts w:ascii="仿宋_GB2312" w:hAnsi="仿宋_GB2312" w:eastAsia="仿宋_GB2312"/>
          <w:b w:val="0"/>
          <w:sz w:val="32"/>
        </w:rPr>
        <w:t>其中：年末结转和结余0.00万元，本年支出18.63万元。</w:t>
      </w:r>
    </w:p>
    <w:p w14:paraId="2A610A1F">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增加17.72万元，增长1,947.25%，主要原因是：本年增加沙棘围栏项目，导致经费较上年增加。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年初预算数0.00万元，决算数18.63万元，预决算差异率100.00%，主要原因是：年中追加沙棘围栏项目经费，导致预决算存在差异。</w:t>
      </w:r>
    </w:p>
    <w:p w14:paraId="3288B4E8">
      <w:pPr>
        <w:spacing w:line="580" w:lineRule="exact"/>
        <w:ind w:firstLine="640"/>
        <w:jc w:val="both"/>
      </w:pPr>
      <w:r>
        <w:rPr>
          <w:rFonts w:ascii="仿宋_GB2312" w:hAnsi="仿宋_GB2312" w:eastAsia="仿宋_GB2312"/>
          <w:b w:val="0"/>
          <w:sz w:val="32"/>
        </w:rPr>
        <w:t>政府性基金预算财政拨款支出18.63万元。</w:t>
      </w:r>
    </w:p>
    <w:p w14:paraId="25CD308C">
      <w:pPr>
        <w:spacing w:line="580" w:lineRule="exact"/>
        <w:ind w:firstLine="640"/>
        <w:jc w:val="both"/>
      </w:pPr>
      <w:r>
        <w:rPr>
          <w:rFonts w:ascii="仿宋_GB2312" w:hAnsi="仿宋_GB2312" w:eastAsia="仿宋_GB2312"/>
          <w:b w:val="0"/>
          <w:sz w:val="32"/>
        </w:rPr>
        <w:t>1.社会保障和就业支出(类)大中型水库移民后期扶持基金支出(款)移民补助(项):支出决算数为0.00万元，比上年决算减少0.91万元，下降100.00%,主要原因是：本年减少新迭村厕所改造项目资金。</w:t>
      </w:r>
    </w:p>
    <w:p w14:paraId="7F1C041D">
      <w:pPr>
        <w:spacing w:line="580" w:lineRule="exact"/>
        <w:ind w:firstLine="640"/>
        <w:jc w:val="both"/>
      </w:pPr>
      <w:r>
        <w:rPr>
          <w:rFonts w:ascii="仿宋_GB2312" w:hAnsi="仿宋_GB2312" w:eastAsia="仿宋_GB2312"/>
          <w:b w:val="0"/>
          <w:sz w:val="32"/>
        </w:rPr>
        <w:t>2.农林水支出(类)大中型水库移民后期扶持基金支出(款)基础设施建设和经济发展(项):支出决算数为18.63万元，比上年决算增加18.63万元，增长100.00%,主要原因是：本年增加沙棘围栏项目。</w:t>
      </w:r>
    </w:p>
    <w:p w14:paraId="4B653F5D">
      <w:pPr>
        <w:spacing w:line="640" w:lineRule="exact"/>
        <w:ind w:firstLine="640"/>
        <w:jc w:val="both"/>
        <w:outlineLvl w:val="2"/>
      </w:pPr>
      <w:r>
        <w:rPr>
          <w:rFonts w:ascii="黑体" w:hAnsi="黑体" w:eastAsia="黑体"/>
          <w:sz w:val="32"/>
        </w:rPr>
        <w:t>八、国有资本经营预算财政拨款收入支出决算情况说明</w:t>
      </w:r>
    </w:p>
    <w:p w14:paraId="3C0589C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154F8B2">
      <w:pPr>
        <w:spacing w:line="640" w:lineRule="exact"/>
        <w:ind w:firstLine="640"/>
        <w:jc w:val="both"/>
        <w:outlineLvl w:val="2"/>
      </w:pPr>
      <w:r>
        <w:rPr>
          <w:rFonts w:ascii="黑体" w:hAnsi="黑体" w:eastAsia="黑体"/>
          <w:sz w:val="32"/>
        </w:rPr>
        <w:t>九、财政拨款“三公”经费支出决算情况说明</w:t>
      </w:r>
    </w:p>
    <w:p w14:paraId="3087879B">
      <w:pPr>
        <w:spacing w:line="580" w:lineRule="exact"/>
        <w:ind w:firstLine="640"/>
        <w:jc w:val="both"/>
      </w:pPr>
      <w:r>
        <w:rPr>
          <w:rFonts w:ascii="仿宋_GB2312" w:hAnsi="仿宋_GB2312" w:eastAsia="仿宋_GB2312"/>
          <w:b/>
          <w:sz w:val="32"/>
        </w:rPr>
        <w:t>2024年度财政拨款“三公”经费支出23.73万元，</w:t>
      </w:r>
      <w:r>
        <w:rPr>
          <w:rFonts w:ascii="仿宋_GB2312" w:hAnsi="仿宋_GB2312" w:eastAsia="仿宋_GB2312"/>
          <w:b w:val="0"/>
          <w:sz w:val="32"/>
        </w:rPr>
        <w:t>比上年增加16.53万元，增长229.58%，主要原因是：本年新购入公务用车，导致公务用车购置费较上年增加。其中：因公出国（境）费支出0.00万元，占0.00%，比上年增加0.00万元，增长0.00%，主要原因是：2023年与2024年均未安排因公出国（境）费支出。公务用车购置及运行维护费支出23.73万元，占100.00%，比上年增加16.53万元，增长229.58%，主要原因是：本年新购入公务用车，导致公务用车购置费较上年增加。公务接待费支出0.00万元，占0.00%，比上年增加0.00万元，增长0.00%，主要原因是：2023年与2024年均未安排公务接待费支出。</w:t>
      </w:r>
    </w:p>
    <w:p w14:paraId="1EBE1348">
      <w:pPr>
        <w:spacing w:line="580" w:lineRule="exact"/>
        <w:ind w:firstLine="640"/>
        <w:jc w:val="both"/>
      </w:pPr>
      <w:r>
        <w:rPr>
          <w:rFonts w:ascii="仿宋_GB2312" w:hAnsi="仿宋_GB2312" w:eastAsia="仿宋_GB2312"/>
          <w:b/>
          <w:sz w:val="32"/>
        </w:rPr>
        <w:t>具体情况如下：</w:t>
      </w:r>
    </w:p>
    <w:p w14:paraId="49E0957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2B529CB">
      <w:pPr>
        <w:spacing w:line="580" w:lineRule="exact"/>
        <w:ind w:firstLine="640"/>
        <w:jc w:val="both"/>
      </w:pPr>
      <w:r>
        <w:rPr>
          <w:rFonts w:ascii="仿宋_GB2312" w:hAnsi="仿宋_GB2312" w:eastAsia="仿宋_GB2312"/>
          <w:b w:val="0"/>
          <w:sz w:val="32"/>
        </w:rPr>
        <w:t>公务用车购置及运行维护费23.73万元，其中：公务用车购置费16.53万元，公务用车运行维护费7.20万元。公务用车运行维护费开支内容包括车辆加油费、保险费、维修费。公务用车购置数1辆，公务用车保有量4辆。国有资产占用情况中固定资产车辆5辆，与公务用车保有量差异原因是：差异车辆为一般业务用车，预算未安排公务用车运行维护费。</w:t>
      </w:r>
    </w:p>
    <w:p w14:paraId="3E5278E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0C73D8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23.73万元，决算数23.73万元，预决算差异率0.00%，主要原因是：严格按照预算执行，预决算无差异。其中：因公出国（境）费全年预算数0.00万元，决算数0.00万元，预决算差异率0.00%，主要原因是：本单位无因公出国（境）费。公务用车购置费全年预算数16.53万元，决算数16.53万元，预决算差异率0.00%，主要原因是：严格按照预算执行，预决算无差异。</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7.20万元，决算数7.20万元，预决算差异率0.00%，主要原因是：严格按照预算执行，预决算无差异。公务接待费全年预算数0.00万元，决算数0.00万元，预决算差异率0.00%，主要原因是：本单位无公务接待费。</w:t>
      </w:r>
    </w:p>
    <w:p w14:paraId="4FA7F47B">
      <w:pPr>
        <w:spacing w:line="640" w:lineRule="exact"/>
        <w:ind w:firstLine="640"/>
        <w:jc w:val="both"/>
        <w:outlineLvl w:val="2"/>
      </w:pPr>
      <w:r>
        <w:rPr>
          <w:rFonts w:ascii="黑体" w:hAnsi="黑体" w:eastAsia="黑体"/>
          <w:sz w:val="32"/>
        </w:rPr>
        <w:t>十、其他重要事项的情况说明</w:t>
      </w:r>
    </w:p>
    <w:p w14:paraId="0414AB4F">
      <w:pPr>
        <w:spacing w:line="640" w:lineRule="exact"/>
        <w:ind w:firstLine="640"/>
        <w:jc w:val="both"/>
        <w:outlineLvl w:val="3"/>
      </w:pPr>
      <w:r>
        <w:rPr>
          <w:rFonts w:ascii="楷体_GB2312" w:hAnsi="楷体_GB2312" w:eastAsia="楷体_GB2312"/>
          <w:b/>
          <w:sz w:val="32"/>
        </w:rPr>
        <w:t>（一）机关运行经费及公用经费支出情况</w:t>
      </w:r>
    </w:p>
    <w:p w14:paraId="16AB6DE6">
      <w:pPr>
        <w:spacing w:line="580" w:lineRule="exact"/>
        <w:ind w:firstLine="640"/>
        <w:jc w:val="both"/>
      </w:pPr>
      <w:r>
        <w:rPr>
          <w:rFonts w:ascii="仿宋_GB2312" w:hAnsi="仿宋_GB2312" w:eastAsia="仿宋_GB2312"/>
          <w:b w:val="0"/>
          <w:sz w:val="32"/>
        </w:rPr>
        <w:t>2024年度塔什库尔干塔吉克自治县班迪尔乡人民政府（行政单位和参照公务员法管理事业单位）机关运行经费支出45.53万元，比上年增加0.70万元，增长1.56%，主要原因是：本年业务量增加，公用经费增加。</w:t>
      </w:r>
    </w:p>
    <w:p w14:paraId="1FFF81F9">
      <w:pPr>
        <w:spacing w:line="640" w:lineRule="exact"/>
        <w:ind w:firstLine="640"/>
        <w:jc w:val="both"/>
        <w:outlineLvl w:val="3"/>
      </w:pPr>
      <w:r>
        <w:rPr>
          <w:rFonts w:ascii="楷体_GB2312" w:hAnsi="楷体_GB2312" w:eastAsia="楷体_GB2312"/>
          <w:b/>
          <w:sz w:val="32"/>
        </w:rPr>
        <w:t>（二）政府采购情况</w:t>
      </w:r>
    </w:p>
    <w:p w14:paraId="7589E396">
      <w:pPr>
        <w:spacing w:line="580" w:lineRule="exact"/>
        <w:ind w:firstLine="640"/>
        <w:jc w:val="both"/>
      </w:pPr>
      <w:r>
        <w:rPr>
          <w:rFonts w:ascii="仿宋_GB2312" w:hAnsi="仿宋_GB2312" w:eastAsia="仿宋_GB2312"/>
          <w:b w:val="0"/>
          <w:sz w:val="32"/>
        </w:rPr>
        <w:t>2024年度政府采购支出总额84.00万元，其中：政府采购货物支出59.02万元、政府采购工程支出23.86万元、政府采购服务支出1.12万元。</w:t>
      </w:r>
    </w:p>
    <w:p w14:paraId="359FA81E">
      <w:pPr>
        <w:spacing w:line="580" w:lineRule="exact"/>
        <w:ind w:firstLine="640"/>
        <w:jc w:val="both"/>
      </w:pPr>
      <w:r>
        <w:rPr>
          <w:rFonts w:ascii="仿宋_GB2312" w:hAnsi="仿宋_GB2312" w:eastAsia="仿宋_GB2312"/>
          <w:b w:val="0"/>
          <w:sz w:val="32"/>
        </w:rPr>
        <w:t>授予中小企业合同金额83.88万元，占政府采购支出总额的99.86%，其中：授予小微企业合同金额83.41万元，占政府采购支出总额的99.30%。</w:t>
      </w:r>
    </w:p>
    <w:p w14:paraId="6B021EC6">
      <w:pPr>
        <w:spacing w:line="640" w:lineRule="exact"/>
        <w:ind w:firstLine="640"/>
        <w:jc w:val="both"/>
        <w:outlineLvl w:val="3"/>
      </w:pPr>
      <w:r>
        <w:rPr>
          <w:rFonts w:ascii="楷体_GB2312" w:hAnsi="楷体_GB2312" w:eastAsia="楷体_GB2312"/>
          <w:b/>
          <w:sz w:val="32"/>
        </w:rPr>
        <w:t>（三）国有资产占用情况说明</w:t>
      </w:r>
    </w:p>
    <w:p w14:paraId="23298AC1">
      <w:pPr>
        <w:spacing w:line="580" w:lineRule="exact"/>
        <w:ind w:firstLine="640"/>
        <w:jc w:val="both"/>
      </w:pPr>
      <w:r>
        <w:rPr>
          <w:rFonts w:ascii="仿宋_GB2312" w:hAnsi="仿宋_GB2312" w:eastAsia="仿宋_GB2312"/>
          <w:b w:val="0"/>
          <w:sz w:val="32"/>
        </w:rPr>
        <w:t>截至2024年12月31日，房屋3,230.80平方米，价值761.79万元。车辆5辆，价值110.51万元，其中：副部（省）级及以上领导用车0辆、主要负责人用车0辆、机要通信用车0辆、应急保障用车0辆、执法执勤用车1辆、特种专业技术用车0辆、离退休干部服务用车0辆、其他用车4辆，其他用车主要是：单位业务用车。单价100万元（含）以上设备（不含车辆）0台（套）。</w:t>
      </w:r>
    </w:p>
    <w:p w14:paraId="7A7BF980">
      <w:pPr>
        <w:spacing w:line="640" w:lineRule="exact"/>
        <w:ind w:firstLine="640"/>
        <w:jc w:val="both"/>
        <w:outlineLvl w:val="2"/>
      </w:pPr>
      <w:r>
        <w:rPr>
          <w:rFonts w:ascii="黑体" w:hAnsi="黑体" w:eastAsia="黑体"/>
          <w:sz w:val="32"/>
        </w:rPr>
        <w:t>十一、预算绩效的情况说明</w:t>
      </w:r>
    </w:p>
    <w:p w14:paraId="508616C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3,771.23万元，实际执行总额3,752.84万元；预算绩效评价项目5个，全年预算数32.17万元，全年执行数32.17万元。预算绩效管理取得的成效：一是为加强预算管理，规范财务行为，已制定各项管理制度，有效保障了高效履行工作职能，加强了制度建设，打牢绩效管理工作基础。二是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三是绩效管理专业人员匮乏，规范管理有盲点。预算绩效管理工作的覆盖面广、专业性强，不论预算单位在开展日常管理，还是财政部门组织实施绩效评价，都需要具备一定专业素养和实战经验的人力资源。下一步改进措施：一是进一步加强绩效评价管理制度和流程的建设，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三是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736C5B3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263"/>
        <w:gridCol w:w="703"/>
        <w:gridCol w:w="983"/>
        <w:gridCol w:w="983"/>
        <w:gridCol w:w="983"/>
      </w:tblGrid>
      <w:tr w14:paraId="7DED51C0">
        <w:tblPrEx>
          <w:tblCellMar>
            <w:top w:w="0" w:type="dxa"/>
            <w:left w:w="108" w:type="dxa"/>
            <w:bottom w:w="0" w:type="dxa"/>
            <w:right w:w="108" w:type="dxa"/>
          </w:tblCellMar>
        </w:tblPrEx>
        <w:tc>
          <w:tcPr>
            <w:tcW w:w="8847" w:type="dxa"/>
            <w:gridSpan w:val="9"/>
            <w:vAlign w:val="center"/>
          </w:tcPr>
          <w:p w14:paraId="5E4F532E">
            <w:pPr>
              <w:jc w:val="center"/>
            </w:pPr>
            <w:r>
              <w:rPr>
                <w:rFonts w:ascii="宋体" w:hAnsi="宋体" w:eastAsia="宋体"/>
                <w:sz w:val="24"/>
              </w:rPr>
              <w:t>单位整体支出绩效自评表</w:t>
            </w:r>
          </w:p>
        </w:tc>
      </w:tr>
      <w:tr w14:paraId="02AF5866">
        <w:tblPrEx>
          <w:tblCellMar>
            <w:top w:w="0" w:type="dxa"/>
            <w:left w:w="108" w:type="dxa"/>
            <w:bottom w:w="0" w:type="dxa"/>
            <w:right w:w="108" w:type="dxa"/>
          </w:tblCellMar>
        </w:tblPrEx>
        <w:tc>
          <w:tcPr>
            <w:tcW w:w="8847" w:type="dxa"/>
            <w:gridSpan w:val="9"/>
            <w:vAlign w:val="center"/>
          </w:tcPr>
          <w:p w14:paraId="128B2CCB">
            <w:pPr>
              <w:jc w:val="center"/>
            </w:pPr>
            <w:r>
              <w:rPr>
                <w:rFonts w:ascii="宋体" w:hAnsi="宋体" w:eastAsia="宋体"/>
                <w:sz w:val="24"/>
              </w:rPr>
              <w:t>（2024年度）</w:t>
            </w:r>
          </w:p>
        </w:tc>
      </w:tr>
      <w:tr w14:paraId="06291E1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150C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8E0F66">
            <w:pPr>
              <w:jc w:val="center"/>
            </w:pPr>
            <w:r>
              <w:rPr>
                <w:rFonts w:ascii="宋体" w:hAnsi="宋体" w:eastAsia="宋体"/>
                <w:sz w:val="16"/>
              </w:rPr>
              <w:t>塔什库尔干塔吉克自治县班迪尔乡人民政府</w:t>
            </w:r>
          </w:p>
        </w:tc>
      </w:tr>
      <w:tr w14:paraId="353FE4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B617F">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D253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72D2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A727D">
            <w:pPr>
              <w:jc w:val="center"/>
            </w:pPr>
            <w:r>
              <w:rPr>
                <w:rFonts w:ascii="宋体" w:hAnsi="宋体" w:eastAsia="宋体"/>
                <w:sz w:val="16"/>
              </w:rPr>
              <w:t>预算数（调整后）</w:t>
            </w:r>
          </w:p>
        </w:tc>
        <w:tc>
          <w:tcPr>
            <w:tcW w:w="1263" w:type="dxa"/>
            <w:tcBorders>
              <w:top w:val="single" w:color="auto" w:sz="10" w:space="0"/>
              <w:left w:val="single" w:color="auto" w:sz="10" w:space="0"/>
              <w:bottom w:val="single" w:color="auto" w:sz="10" w:space="0"/>
              <w:right w:val="single" w:color="auto" w:sz="10" w:space="0"/>
              <w:insideV w:val="single" w:sz="10" w:space="0"/>
            </w:tcBorders>
            <w:vAlign w:val="center"/>
          </w:tcPr>
          <w:p w14:paraId="0BE7F6B5">
            <w:pPr>
              <w:jc w:val="center"/>
            </w:pPr>
            <w:r>
              <w:rPr>
                <w:rFonts w:ascii="宋体" w:hAnsi="宋体" w:eastAsia="宋体"/>
                <w:sz w:val="16"/>
              </w:rPr>
              <w:t>执行数</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5ECDE39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EDBCF">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65A44">
            <w:pPr>
              <w:jc w:val="center"/>
            </w:pPr>
            <w:r>
              <w:rPr>
                <w:rFonts w:ascii="宋体" w:hAnsi="宋体" w:eastAsia="宋体"/>
                <w:sz w:val="16"/>
              </w:rPr>
              <w:t>得分</w:t>
            </w:r>
          </w:p>
        </w:tc>
      </w:tr>
      <w:tr w14:paraId="6F3B51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96D9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9648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BFDC5">
            <w:pPr>
              <w:jc w:val="center"/>
            </w:pPr>
            <w:r>
              <w:rPr>
                <w:rFonts w:ascii="宋体" w:hAnsi="宋体" w:eastAsia="宋体"/>
                <w:sz w:val="16"/>
              </w:rPr>
              <w:t>1,649.77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CA584">
            <w:pPr>
              <w:jc w:val="center"/>
            </w:pPr>
            <w:r>
              <w:rPr>
                <w:rFonts w:ascii="宋体" w:hAnsi="宋体" w:eastAsia="宋体"/>
                <w:sz w:val="16"/>
              </w:rPr>
              <w:t>3,771.23</w:t>
            </w:r>
          </w:p>
        </w:tc>
        <w:tc>
          <w:tcPr>
            <w:tcW w:w="1263" w:type="dxa"/>
            <w:tcBorders>
              <w:top w:val="single" w:color="auto" w:sz="10" w:space="0"/>
              <w:left w:val="single" w:color="auto" w:sz="10" w:space="0"/>
              <w:bottom w:val="single" w:color="auto" w:sz="10" w:space="0"/>
              <w:right w:val="single" w:color="auto" w:sz="10" w:space="0"/>
              <w:insideV w:val="single" w:sz="10" w:space="0"/>
            </w:tcBorders>
            <w:vAlign w:val="center"/>
          </w:tcPr>
          <w:p w14:paraId="78191C43">
            <w:pPr>
              <w:jc w:val="center"/>
            </w:pPr>
            <w:r>
              <w:rPr>
                <w:rFonts w:ascii="宋体" w:hAnsi="宋体" w:eastAsia="宋体"/>
                <w:sz w:val="16"/>
              </w:rPr>
              <w:t>3,752.84</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31B184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C571B">
            <w:pPr>
              <w:jc w:val="center"/>
            </w:pPr>
            <w:r>
              <w:rPr>
                <w:rFonts w:ascii="宋体" w:hAnsi="宋体" w:eastAsia="宋体"/>
                <w:sz w:val="16"/>
              </w:rPr>
              <w:t>99.51%</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D2F21">
            <w:pPr>
              <w:jc w:val="center"/>
            </w:pPr>
            <w:r>
              <w:rPr>
                <w:rFonts w:ascii="宋体" w:hAnsi="宋体" w:eastAsia="宋体"/>
                <w:sz w:val="16"/>
              </w:rPr>
              <w:t>9.95</w:t>
            </w:r>
          </w:p>
        </w:tc>
      </w:tr>
      <w:tr w14:paraId="608EAA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C786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3CA5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081AA">
            <w:pPr>
              <w:jc w:val="center"/>
            </w:pPr>
            <w:r>
              <w:rPr>
                <w:rFonts w:ascii="宋体" w:hAnsi="宋体" w:eastAsia="宋体"/>
                <w:sz w:val="16"/>
              </w:rPr>
              <w:t>16.53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F132C">
            <w:pPr>
              <w:jc w:val="center"/>
            </w:pPr>
            <w:r>
              <w:rPr>
                <w:rFonts w:ascii="宋体" w:hAnsi="宋体" w:eastAsia="宋体"/>
                <w:sz w:val="16"/>
              </w:rPr>
              <w:t>2,478.22</w:t>
            </w:r>
          </w:p>
        </w:tc>
        <w:tc>
          <w:tcPr>
            <w:tcW w:w="1263" w:type="dxa"/>
            <w:tcBorders>
              <w:top w:val="single" w:color="auto" w:sz="10" w:space="0"/>
              <w:left w:val="single" w:color="auto" w:sz="10" w:space="0"/>
              <w:bottom w:val="single" w:color="auto" w:sz="10" w:space="0"/>
              <w:right w:val="single" w:color="auto" w:sz="10" w:space="0"/>
              <w:insideV w:val="single" w:sz="10" w:space="0"/>
            </w:tcBorders>
            <w:vAlign w:val="center"/>
          </w:tcPr>
          <w:p w14:paraId="7908D906">
            <w:pPr>
              <w:jc w:val="center"/>
            </w:pPr>
            <w:r>
              <w:rPr>
                <w:rFonts w:ascii="宋体" w:hAnsi="宋体" w:eastAsia="宋体"/>
                <w:sz w:val="16"/>
              </w:rPr>
              <w:t>2,459.83</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2B0712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00CE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16474">
            <w:pPr>
              <w:jc w:val="center"/>
            </w:pPr>
            <w:r>
              <w:rPr>
                <w:rFonts w:ascii="宋体" w:hAnsi="宋体" w:eastAsia="宋体"/>
                <w:sz w:val="16"/>
              </w:rPr>
              <w:t>—</w:t>
            </w:r>
          </w:p>
        </w:tc>
      </w:tr>
      <w:tr w14:paraId="390730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2C89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6CF4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EE356">
            <w:pPr>
              <w:jc w:val="center"/>
            </w:pPr>
            <w:r>
              <w:rPr>
                <w:rFonts w:ascii="宋体" w:hAnsi="宋体" w:eastAsia="宋体"/>
                <w:sz w:val="16"/>
              </w:rPr>
              <w:t>1,633.24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085BD">
            <w:pPr>
              <w:jc w:val="center"/>
            </w:pPr>
            <w:r>
              <w:rPr>
                <w:rFonts w:ascii="宋体" w:hAnsi="宋体" w:eastAsia="宋体"/>
                <w:sz w:val="16"/>
              </w:rPr>
              <w:t>1,293.01</w:t>
            </w:r>
          </w:p>
        </w:tc>
        <w:tc>
          <w:tcPr>
            <w:tcW w:w="1263" w:type="dxa"/>
            <w:tcBorders>
              <w:top w:val="single" w:color="auto" w:sz="10" w:space="0"/>
              <w:left w:val="single" w:color="auto" w:sz="10" w:space="0"/>
              <w:bottom w:val="single" w:color="auto" w:sz="10" w:space="0"/>
              <w:right w:val="single" w:color="auto" w:sz="10" w:space="0"/>
              <w:insideV w:val="single" w:sz="10" w:space="0"/>
            </w:tcBorders>
            <w:vAlign w:val="center"/>
          </w:tcPr>
          <w:p w14:paraId="0465C85C">
            <w:pPr>
              <w:jc w:val="center"/>
            </w:pPr>
            <w:r>
              <w:rPr>
                <w:rFonts w:ascii="宋体" w:hAnsi="宋体" w:eastAsia="宋体"/>
                <w:sz w:val="16"/>
              </w:rPr>
              <w:t>1,293.01</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48514D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7747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3A860">
            <w:pPr>
              <w:jc w:val="center"/>
            </w:pPr>
            <w:r>
              <w:rPr>
                <w:rFonts w:ascii="宋体" w:hAnsi="宋体" w:eastAsia="宋体"/>
                <w:sz w:val="16"/>
              </w:rPr>
              <w:t>—</w:t>
            </w:r>
          </w:p>
        </w:tc>
      </w:tr>
      <w:tr w14:paraId="0BF896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FB30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F3F6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C59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A1A30">
            <w:pPr>
              <w:jc w:val="center"/>
            </w:pPr>
            <w:r>
              <w:rPr>
                <w:rFonts w:ascii="宋体" w:hAnsi="宋体" w:eastAsia="宋体"/>
                <w:sz w:val="16"/>
              </w:rPr>
              <w:t>0.00</w:t>
            </w:r>
          </w:p>
        </w:tc>
        <w:tc>
          <w:tcPr>
            <w:tcW w:w="1263" w:type="dxa"/>
            <w:tcBorders>
              <w:top w:val="single" w:color="auto" w:sz="10" w:space="0"/>
              <w:left w:val="single" w:color="auto" w:sz="10" w:space="0"/>
              <w:bottom w:val="single" w:color="auto" w:sz="10" w:space="0"/>
              <w:right w:val="single" w:color="auto" w:sz="10" w:space="0"/>
              <w:insideV w:val="single" w:sz="10" w:space="0"/>
            </w:tcBorders>
            <w:vAlign w:val="center"/>
          </w:tcPr>
          <w:p w14:paraId="7F85E3DC">
            <w:pPr>
              <w:jc w:val="center"/>
            </w:pPr>
            <w:r>
              <w:rPr>
                <w:rFonts w:ascii="宋体" w:hAnsi="宋体" w:eastAsia="宋体"/>
                <w:sz w:val="16"/>
              </w:rPr>
              <w:t>0.00</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57FADB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C457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FD309">
            <w:pPr>
              <w:jc w:val="center"/>
            </w:pPr>
            <w:r>
              <w:rPr>
                <w:rFonts w:ascii="宋体" w:hAnsi="宋体" w:eastAsia="宋体"/>
                <w:sz w:val="16"/>
              </w:rPr>
              <w:t>—</w:t>
            </w:r>
          </w:p>
        </w:tc>
      </w:tr>
      <w:tr w14:paraId="53CA07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0B68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8F5F6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F17D6F">
            <w:pPr>
              <w:jc w:val="center"/>
            </w:pPr>
            <w:r>
              <w:rPr>
                <w:rFonts w:ascii="宋体" w:hAnsi="宋体" w:eastAsia="宋体"/>
                <w:sz w:val="16"/>
              </w:rPr>
              <w:t>实际完成目标</w:t>
            </w:r>
          </w:p>
        </w:tc>
      </w:tr>
      <w:tr w14:paraId="6ED5CC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65DD0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8E2AD5">
            <w:pPr>
              <w:jc w:val="both"/>
            </w:pPr>
            <w:r>
              <w:rPr>
                <w:rFonts w:ascii="宋体" w:hAnsi="宋体" w:eastAsia="宋体"/>
                <w:sz w:val="16"/>
              </w:rPr>
              <w:t>2024年是中华人民共和国成立75周年，是实施“十四五”规划的关键一年，也是塔县成立70周年，面对新形势、新任务、新挑战，我们要鼓足干劲、乘势而上，真抓实干、攻坚克难，以更高标准、更高质量、更高水平，在落实落细上更加深入。班迪尔乡</w:t>
            </w:r>
            <w:r>
              <w:rPr>
                <w:rFonts w:hint="eastAsia" w:ascii="宋体" w:hAnsi="宋体"/>
                <w:sz w:val="16"/>
                <w:lang w:eastAsia="zh-CN"/>
              </w:rPr>
              <w:t>党委、政府</w:t>
            </w:r>
            <w:r>
              <w:rPr>
                <w:rFonts w:ascii="宋体" w:hAnsi="宋体" w:eastAsia="宋体"/>
                <w:sz w:val="16"/>
              </w:rPr>
              <w:t>将立足实际，围绕“生态立乡、产业立乡、旅游活乡、党建强乡”，全面做好补短板、促改革、调结构、稳增长、防风险、惠民生工，全力加快建设宜居、宜业、宜游，农牧民持续增收、民俗风情浓厚、生态环境优美、人与自然特色的乡村。</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EA4192">
            <w:pPr>
              <w:jc w:val="both"/>
            </w:pPr>
            <w:r>
              <w:rPr>
                <w:rFonts w:ascii="宋体" w:hAnsi="宋体" w:eastAsia="宋体"/>
                <w:sz w:val="16"/>
              </w:rPr>
              <w:t>2024年全乡重点聚焦抓发展、抓经济，实现生产总值在上年基础上增长8%，农牧民人均纯收入在上年基础上增长12%，人均可支配收入增长8%</w:t>
            </w:r>
            <w:r>
              <w:rPr>
                <w:rFonts w:hint="eastAsia" w:ascii="宋体" w:hAnsi="宋体"/>
                <w:sz w:val="16"/>
                <w:lang w:eastAsia="zh-CN"/>
              </w:rPr>
              <w:t>～</w:t>
            </w:r>
            <w:r>
              <w:rPr>
                <w:rFonts w:ascii="宋体" w:hAnsi="宋体" w:eastAsia="宋体"/>
                <w:sz w:val="16"/>
              </w:rPr>
              <w:t>9%。农村集体经济总收入力争年均增长8%左右，农村集体经济经营性收入年均增长10%左右。实现基础设施进一步完善，乡村经济发展潜力充分释放，产业体系加快构建。社会稳定持续巩固，社会文明得到提高，民族团结巩固加强。生态环境更加优化，绿化面积大幅增加。社会治理效能提升明显，法治建设不断深入，农牧民幸福指数和幸福感进一步提高。2024年开展宣传教育及文娱活动12场次；实现农作物种植6752.03亩；牲畜总</w:t>
            </w:r>
            <w:r>
              <w:rPr>
                <w:rFonts w:hint="eastAsia" w:ascii="宋体" w:hAnsi="宋体"/>
                <w:sz w:val="16"/>
                <w:lang w:eastAsia="zh-CN"/>
              </w:rPr>
              <w:t>存量</w:t>
            </w:r>
            <w:r>
              <w:rPr>
                <w:rFonts w:ascii="宋体" w:hAnsi="宋体" w:eastAsia="宋体"/>
                <w:sz w:val="16"/>
              </w:rPr>
              <w:t>11428头只；增补种沙棘1012.07亩；推动脱贫劳动力新增稳固就业101人。</w:t>
            </w:r>
          </w:p>
        </w:tc>
      </w:tr>
      <w:tr w14:paraId="6CDF85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8BE8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039E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7307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E5BD8">
            <w:pPr>
              <w:jc w:val="center"/>
            </w:pPr>
            <w:r>
              <w:rPr>
                <w:rFonts w:ascii="宋体" w:hAnsi="宋体" w:eastAsia="宋体"/>
                <w:sz w:val="16"/>
              </w:rPr>
              <w:t>指标值</w:t>
            </w:r>
          </w:p>
        </w:tc>
        <w:tc>
          <w:tcPr>
            <w:tcW w:w="1263" w:type="dxa"/>
            <w:tcBorders>
              <w:top w:val="single" w:color="auto" w:sz="10" w:space="0"/>
              <w:left w:val="single" w:color="auto" w:sz="10" w:space="0"/>
              <w:bottom w:val="single" w:color="auto" w:sz="10" w:space="0"/>
              <w:right w:val="single" w:color="auto" w:sz="10" w:space="0"/>
              <w:insideV w:val="single" w:sz="10" w:space="0"/>
            </w:tcBorders>
            <w:vAlign w:val="center"/>
          </w:tcPr>
          <w:p w14:paraId="691861AC">
            <w:pPr>
              <w:jc w:val="center"/>
            </w:pPr>
            <w:r>
              <w:rPr>
                <w:rFonts w:ascii="宋体" w:hAnsi="宋体" w:eastAsia="宋体"/>
                <w:sz w:val="16"/>
              </w:rPr>
              <w:t>指标值设定依据</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6765263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AAA3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5C925">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0EAD0">
            <w:pPr>
              <w:jc w:val="center"/>
            </w:pPr>
            <w:r>
              <w:rPr>
                <w:rFonts w:ascii="宋体" w:hAnsi="宋体" w:eastAsia="宋体"/>
                <w:sz w:val="16"/>
              </w:rPr>
              <w:t>得分</w:t>
            </w:r>
          </w:p>
        </w:tc>
      </w:tr>
      <w:tr w14:paraId="681F47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E0A8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3000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1D44B">
            <w:pPr>
              <w:jc w:val="center"/>
            </w:pPr>
            <w:r>
              <w:rPr>
                <w:rFonts w:ascii="宋体" w:hAnsi="宋体" w:eastAsia="宋体"/>
                <w:sz w:val="16"/>
              </w:rPr>
              <w:t>开展宣传教育及文娱活动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2B8BF">
            <w:pPr>
              <w:jc w:val="center"/>
            </w:pPr>
            <w:r>
              <w:rPr>
                <w:rFonts w:ascii="宋体" w:hAnsi="宋体" w:eastAsia="宋体"/>
                <w:sz w:val="16"/>
              </w:rPr>
              <w:t>&gt;=12场次</w:t>
            </w:r>
          </w:p>
        </w:tc>
        <w:tc>
          <w:tcPr>
            <w:tcW w:w="1263" w:type="dxa"/>
            <w:tcBorders>
              <w:top w:val="single" w:color="auto" w:sz="10" w:space="0"/>
              <w:left w:val="single" w:color="auto" w:sz="10" w:space="0"/>
              <w:bottom w:val="single" w:color="auto" w:sz="10" w:space="0"/>
              <w:right w:val="single" w:color="auto" w:sz="10" w:space="0"/>
              <w:insideV w:val="single" w:sz="10" w:space="0"/>
            </w:tcBorders>
            <w:vAlign w:val="center"/>
          </w:tcPr>
          <w:p w14:paraId="361BECAE">
            <w:pPr>
              <w:jc w:val="center"/>
            </w:pPr>
            <w:r>
              <w:rPr>
                <w:rFonts w:ascii="宋体" w:hAnsi="宋体" w:eastAsia="宋体"/>
                <w:sz w:val="16"/>
              </w:rPr>
              <w:t>20</w:t>
            </w:r>
            <w:r>
              <w:rPr>
                <w:rFonts w:hint="eastAsia" w:ascii="宋体" w:hAnsi="宋体"/>
                <w:sz w:val="16"/>
                <w:lang w:val="en-US" w:eastAsia="zh-CN"/>
              </w:rPr>
              <w:t>24</w:t>
            </w:r>
            <w:r>
              <w:rPr>
                <w:rFonts w:ascii="宋体" w:hAnsi="宋体" w:eastAsia="宋体"/>
                <w:sz w:val="16"/>
              </w:rPr>
              <w:t>年政府工作报告</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4384272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0A22D">
            <w:pPr>
              <w:jc w:val="center"/>
            </w:pPr>
            <w:r>
              <w:rPr>
                <w:rFonts w:ascii="宋体" w:hAnsi="宋体" w:eastAsia="宋体"/>
                <w:sz w:val="16"/>
              </w:rPr>
              <w:t>12场次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0ED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FC778">
            <w:pPr>
              <w:jc w:val="center"/>
            </w:pPr>
            <w:r>
              <w:rPr>
                <w:rFonts w:ascii="宋体" w:hAnsi="宋体" w:eastAsia="宋体"/>
                <w:sz w:val="16"/>
              </w:rPr>
              <w:t>20</w:t>
            </w:r>
          </w:p>
        </w:tc>
      </w:tr>
      <w:tr w14:paraId="07AC0B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27DC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21B1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39482">
            <w:pPr>
              <w:jc w:val="center"/>
            </w:pPr>
            <w:r>
              <w:rPr>
                <w:rFonts w:ascii="宋体" w:hAnsi="宋体" w:eastAsia="宋体"/>
                <w:sz w:val="16"/>
              </w:rPr>
              <w:t>农作物种植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D94F5">
            <w:pPr>
              <w:jc w:val="center"/>
            </w:pPr>
            <w:r>
              <w:rPr>
                <w:rFonts w:ascii="宋体" w:hAnsi="宋体" w:eastAsia="宋体"/>
                <w:sz w:val="16"/>
              </w:rPr>
              <w:t>&gt;=6040.42亩</w:t>
            </w:r>
          </w:p>
        </w:tc>
        <w:tc>
          <w:tcPr>
            <w:tcW w:w="1263" w:type="dxa"/>
            <w:tcBorders>
              <w:top w:val="single" w:color="auto" w:sz="10" w:space="0"/>
              <w:left w:val="single" w:color="auto" w:sz="10" w:space="0"/>
              <w:bottom w:val="single" w:color="auto" w:sz="10" w:space="0"/>
              <w:right w:val="single" w:color="auto" w:sz="10" w:space="0"/>
              <w:insideV w:val="single" w:sz="10" w:space="0"/>
            </w:tcBorders>
            <w:vAlign w:val="center"/>
          </w:tcPr>
          <w:p w14:paraId="463856BB">
            <w:pPr>
              <w:jc w:val="center"/>
            </w:pPr>
            <w:r>
              <w:rPr>
                <w:rFonts w:ascii="宋体" w:hAnsi="宋体" w:eastAsia="宋体"/>
                <w:sz w:val="16"/>
              </w:rPr>
              <w:t>20</w:t>
            </w:r>
            <w:r>
              <w:rPr>
                <w:rFonts w:hint="eastAsia" w:ascii="宋体" w:hAnsi="宋体"/>
                <w:sz w:val="16"/>
                <w:lang w:val="en-US" w:eastAsia="zh-CN"/>
              </w:rPr>
              <w:t>24</w:t>
            </w:r>
            <w:r>
              <w:rPr>
                <w:rFonts w:ascii="宋体" w:hAnsi="宋体" w:eastAsia="宋体"/>
                <w:sz w:val="16"/>
              </w:rPr>
              <w:t>年政府工作报告</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25682B2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D0D7C">
            <w:pPr>
              <w:jc w:val="center"/>
            </w:pPr>
            <w:r>
              <w:rPr>
                <w:rFonts w:ascii="宋体" w:hAnsi="宋体" w:eastAsia="宋体"/>
                <w:sz w:val="16"/>
              </w:rPr>
              <w:t>6752.03亩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9B714">
            <w:pPr>
              <w:jc w:val="center"/>
            </w:pPr>
            <w:r>
              <w:rPr>
                <w:rFonts w:ascii="宋体" w:hAnsi="宋体" w:eastAsia="宋体"/>
                <w:sz w:val="16"/>
              </w:rPr>
              <w:t>111.78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7E6EC">
            <w:pPr>
              <w:jc w:val="center"/>
            </w:pPr>
            <w:r>
              <w:rPr>
                <w:rFonts w:ascii="宋体" w:hAnsi="宋体" w:eastAsia="宋体"/>
                <w:sz w:val="16"/>
              </w:rPr>
              <w:t>20</w:t>
            </w:r>
          </w:p>
        </w:tc>
      </w:tr>
      <w:tr w14:paraId="15F6FF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0467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2A64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21AD3">
            <w:pPr>
              <w:jc w:val="center"/>
            </w:pPr>
            <w:r>
              <w:rPr>
                <w:rFonts w:ascii="宋体" w:hAnsi="宋体" w:eastAsia="宋体"/>
                <w:sz w:val="16"/>
              </w:rPr>
              <w:t>牲畜总存栏量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A7FA2">
            <w:pPr>
              <w:jc w:val="center"/>
            </w:pPr>
            <w:r>
              <w:rPr>
                <w:rFonts w:ascii="宋体" w:hAnsi="宋体" w:eastAsia="宋体"/>
                <w:sz w:val="16"/>
              </w:rPr>
              <w:t>&gt;=15371头</w:t>
            </w:r>
          </w:p>
        </w:tc>
        <w:tc>
          <w:tcPr>
            <w:tcW w:w="1263" w:type="dxa"/>
            <w:tcBorders>
              <w:top w:val="single" w:color="auto" w:sz="10" w:space="0"/>
              <w:left w:val="single" w:color="auto" w:sz="10" w:space="0"/>
              <w:bottom w:val="single" w:color="auto" w:sz="10" w:space="0"/>
              <w:right w:val="single" w:color="auto" w:sz="10" w:space="0"/>
              <w:insideV w:val="single" w:sz="10" w:space="0"/>
            </w:tcBorders>
            <w:vAlign w:val="center"/>
          </w:tcPr>
          <w:p w14:paraId="7F20A4B2">
            <w:pPr>
              <w:jc w:val="center"/>
            </w:pPr>
            <w:r>
              <w:rPr>
                <w:rFonts w:ascii="宋体" w:hAnsi="宋体" w:eastAsia="宋体"/>
                <w:sz w:val="16"/>
              </w:rPr>
              <w:t>20</w:t>
            </w:r>
            <w:r>
              <w:rPr>
                <w:rFonts w:hint="eastAsia" w:ascii="宋体" w:hAnsi="宋体"/>
                <w:sz w:val="16"/>
                <w:lang w:val="en-US" w:eastAsia="zh-CN"/>
              </w:rPr>
              <w:t>24</w:t>
            </w:r>
            <w:r>
              <w:rPr>
                <w:rFonts w:ascii="宋体" w:hAnsi="宋体" w:eastAsia="宋体"/>
                <w:sz w:val="16"/>
              </w:rPr>
              <w:t>年政府工作报告</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639C450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334A1">
            <w:pPr>
              <w:jc w:val="center"/>
            </w:pPr>
            <w:r>
              <w:rPr>
                <w:rFonts w:ascii="宋体" w:hAnsi="宋体" w:eastAsia="宋体"/>
                <w:sz w:val="16"/>
              </w:rPr>
              <w:t>11428头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4E5A7">
            <w:pPr>
              <w:jc w:val="center"/>
            </w:pPr>
            <w:r>
              <w:rPr>
                <w:rFonts w:ascii="宋体" w:hAnsi="宋体" w:eastAsia="宋体"/>
                <w:sz w:val="16"/>
              </w:rPr>
              <w:t>74.35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54942">
            <w:pPr>
              <w:jc w:val="center"/>
            </w:pPr>
            <w:r>
              <w:rPr>
                <w:rFonts w:ascii="宋体" w:hAnsi="宋体" w:eastAsia="宋体"/>
                <w:sz w:val="16"/>
              </w:rPr>
              <w:t>14.87</w:t>
            </w:r>
          </w:p>
        </w:tc>
      </w:tr>
      <w:tr w14:paraId="0AEE15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D528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287F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1725D">
            <w:pPr>
              <w:jc w:val="center"/>
            </w:pPr>
            <w:r>
              <w:rPr>
                <w:rFonts w:ascii="宋体" w:hAnsi="宋体" w:eastAsia="宋体"/>
                <w:sz w:val="16"/>
              </w:rPr>
              <w:t>增补种沙棘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DDCC3">
            <w:pPr>
              <w:jc w:val="center"/>
            </w:pPr>
            <w:r>
              <w:rPr>
                <w:rFonts w:ascii="宋体" w:hAnsi="宋体" w:eastAsia="宋体"/>
                <w:sz w:val="16"/>
              </w:rPr>
              <w:t>&gt;=1000亩</w:t>
            </w:r>
          </w:p>
        </w:tc>
        <w:tc>
          <w:tcPr>
            <w:tcW w:w="1263" w:type="dxa"/>
            <w:tcBorders>
              <w:top w:val="single" w:color="auto" w:sz="10" w:space="0"/>
              <w:left w:val="single" w:color="auto" w:sz="10" w:space="0"/>
              <w:bottom w:val="single" w:color="auto" w:sz="10" w:space="0"/>
              <w:right w:val="single" w:color="auto" w:sz="10" w:space="0"/>
              <w:insideV w:val="single" w:sz="10" w:space="0"/>
            </w:tcBorders>
            <w:vAlign w:val="center"/>
          </w:tcPr>
          <w:p w14:paraId="45A42D9A">
            <w:pPr>
              <w:jc w:val="center"/>
            </w:pPr>
            <w:r>
              <w:rPr>
                <w:rFonts w:ascii="宋体" w:hAnsi="宋体" w:eastAsia="宋体"/>
                <w:sz w:val="16"/>
              </w:rPr>
              <w:t>20</w:t>
            </w:r>
            <w:r>
              <w:rPr>
                <w:rFonts w:hint="eastAsia" w:ascii="宋体" w:hAnsi="宋体"/>
                <w:sz w:val="16"/>
                <w:lang w:val="en-US" w:eastAsia="zh-CN"/>
              </w:rPr>
              <w:t>24</w:t>
            </w:r>
            <w:r>
              <w:rPr>
                <w:rFonts w:ascii="宋体" w:hAnsi="宋体" w:eastAsia="宋体"/>
                <w:sz w:val="16"/>
              </w:rPr>
              <w:t>年政府工作报告</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4DBF51F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B15B6">
            <w:pPr>
              <w:jc w:val="center"/>
            </w:pPr>
            <w:r>
              <w:rPr>
                <w:rFonts w:ascii="宋体" w:hAnsi="宋体" w:eastAsia="宋体"/>
                <w:sz w:val="16"/>
              </w:rPr>
              <w:t>1012.07亩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2CFD9">
            <w:pPr>
              <w:jc w:val="center"/>
            </w:pPr>
            <w:r>
              <w:rPr>
                <w:rFonts w:ascii="宋体" w:hAnsi="宋体" w:eastAsia="宋体"/>
                <w:sz w:val="16"/>
              </w:rPr>
              <w:t>101.2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C7EBB">
            <w:pPr>
              <w:jc w:val="center"/>
            </w:pPr>
            <w:r>
              <w:rPr>
                <w:rFonts w:ascii="宋体" w:hAnsi="宋体" w:eastAsia="宋体"/>
                <w:sz w:val="16"/>
              </w:rPr>
              <w:t>20</w:t>
            </w:r>
          </w:p>
        </w:tc>
      </w:tr>
      <w:tr w14:paraId="38EBE0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58FB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22B2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27C72">
            <w:pPr>
              <w:jc w:val="center"/>
            </w:pPr>
            <w:r>
              <w:rPr>
                <w:rFonts w:ascii="宋体" w:hAnsi="宋体" w:eastAsia="宋体"/>
                <w:sz w:val="16"/>
              </w:rPr>
              <w:t>推动脱贫劳动力新增稳固就业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40AC5">
            <w:pPr>
              <w:jc w:val="center"/>
            </w:pPr>
            <w:r>
              <w:rPr>
                <w:rFonts w:ascii="宋体" w:hAnsi="宋体" w:eastAsia="宋体"/>
                <w:sz w:val="16"/>
              </w:rPr>
              <w:t>&gt;=101人</w:t>
            </w:r>
          </w:p>
        </w:tc>
        <w:tc>
          <w:tcPr>
            <w:tcW w:w="1263" w:type="dxa"/>
            <w:tcBorders>
              <w:top w:val="single" w:color="auto" w:sz="10" w:space="0"/>
              <w:left w:val="single" w:color="auto" w:sz="10" w:space="0"/>
              <w:bottom w:val="single" w:color="auto" w:sz="10" w:space="0"/>
              <w:right w:val="single" w:color="auto" w:sz="10" w:space="0"/>
              <w:insideV w:val="single" w:sz="10" w:space="0"/>
            </w:tcBorders>
            <w:vAlign w:val="center"/>
          </w:tcPr>
          <w:p w14:paraId="4B0CBC5F">
            <w:pPr>
              <w:jc w:val="center"/>
            </w:pPr>
            <w:r>
              <w:rPr>
                <w:rFonts w:ascii="宋体" w:hAnsi="宋体" w:eastAsia="宋体"/>
                <w:sz w:val="16"/>
              </w:rPr>
              <w:t>20</w:t>
            </w:r>
            <w:r>
              <w:rPr>
                <w:rFonts w:hint="eastAsia" w:ascii="宋体" w:hAnsi="宋体"/>
                <w:sz w:val="16"/>
                <w:lang w:val="en-US" w:eastAsia="zh-CN"/>
              </w:rPr>
              <w:t>24</w:t>
            </w:r>
            <w:r>
              <w:rPr>
                <w:rFonts w:ascii="宋体" w:hAnsi="宋体" w:eastAsia="宋体"/>
                <w:sz w:val="16"/>
              </w:rPr>
              <w:t>年政府工作报告</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536B5B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9F779">
            <w:pPr>
              <w:jc w:val="center"/>
            </w:pPr>
            <w:r>
              <w:rPr>
                <w:rFonts w:ascii="宋体" w:hAnsi="宋体" w:eastAsia="宋体"/>
                <w:sz w:val="16"/>
              </w:rPr>
              <w:t>101人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408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0B4C3">
            <w:pPr>
              <w:jc w:val="center"/>
            </w:pPr>
            <w:r>
              <w:rPr>
                <w:rFonts w:ascii="宋体" w:hAnsi="宋体" w:eastAsia="宋体"/>
                <w:sz w:val="16"/>
              </w:rPr>
              <w:t>10</w:t>
            </w:r>
          </w:p>
        </w:tc>
      </w:tr>
    </w:tbl>
    <w:p w14:paraId="77AAB4B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D1D9847">
        <w:tblPrEx>
          <w:tblCellMar>
            <w:top w:w="0" w:type="dxa"/>
            <w:left w:w="108" w:type="dxa"/>
            <w:bottom w:w="0" w:type="dxa"/>
            <w:right w:w="108" w:type="dxa"/>
          </w:tblCellMar>
        </w:tblPrEx>
        <w:tc>
          <w:tcPr>
            <w:tcW w:w="8848" w:type="dxa"/>
            <w:gridSpan w:val="14"/>
            <w:vAlign w:val="center"/>
          </w:tcPr>
          <w:p w14:paraId="23FB0B8C">
            <w:pPr>
              <w:jc w:val="center"/>
            </w:pPr>
            <w:r>
              <w:rPr>
                <w:rFonts w:ascii="宋体" w:hAnsi="宋体" w:eastAsia="宋体"/>
                <w:sz w:val="24"/>
              </w:rPr>
              <w:t>项目支出绩效自评表</w:t>
            </w:r>
          </w:p>
        </w:tc>
      </w:tr>
      <w:tr w14:paraId="48BEC8A1">
        <w:tblPrEx>
          <w:tblCellMar>
            <w:top w:w="0" w:type="dxa"/>
            <w:left w:w="108" w:type="dxa"/>
            <w:bottom w:w="0" w:type="dxa"/>
            <w:right w:w="108" w:type="dxa"/>
          </w:tblCellMar>
        </w:tblPrEx>
        <w:tc>
          <w:tcPr>
            <w:tcW w:w="8848" w:type="dxa"/>
            <w:gridSpan w:val="14"/>
            <w:vAlign w:val="center"/>
          </w:tcPr>
          <w:p w14:paraId="073D2F2A">
            <w:pPr>
              <w:jc w:val="center"/>
            </w:pPr>
            <w:r>
              <w:rPr>
                <w:rFonts w:ascii="宋体" w:hAnsi="宋体" w:eastAsia="宋体"/>
                <w:sz w:val="24"/>
              </w:rPr>
              <w:t>(2024年度)</w:t>
            </w:r>
          </w:p>
        </w:tc>
      </w:tr>
      <w:tr w14:paraId="411A6C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5D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7907AC">
            <w:pPr>
              <w:jc w:val="center"/>
            </w:pPr>
            <w:r>
              <w:rPr>
                <w:rFonts w:ascii="宋体" w:hAnsi="宋体" w:eastAsia="宋体"/>
                <w:sz w:val="16"/>
              </w:rPr>
              <w:t>班迪尔乡两级人大代</w:t>
            </w:r>
            <w:r>
              <w:rPr>
                <w:rFonts w:hint="eastAsia" w:ascii="宋体" w:hAnsi="宋体"/>
                <w:sz w:val="16"/>
                <w:lang w:eastAsia="zh-CN"/>
              </w:rPr>
              <w:t>表大</w:t>
            </w:r>
            <w:r>
              <w:rPr>
                <w:rFonts w:ascii="宋体" w:hAnsi="宋体" w:eastAsia="宋体"/>
                <w:sz w:val="16"/>
              </w:rPr>
              <w:t>会经费</w:t>
            </w:r>
          </w:p>
        </w:tc>
      </w:tr>
      <w:tr w14:paraId="791728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99B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34F57">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FDE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3A576D">
            <w:pPr>
              <w:jc w:val="center"/>
            </w:pPr>
            <w:r>
              <w:rPr>
                <w:rFonts w:ascii="宋体" w:hAnsi="宋体" w:eastAsia="宋体"/>
                <w:sz w:val="16"/>
              </w:rPr>
              <w:t>塔什库尔干塔吉克自治县班迪尔乡人民政府</w:t>
            </w:r>
          </w:p>
        </w:tc>
      </w:tr>
      <w:tr w14:paraId="7A0347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0ED3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FB19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06E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067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B5E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213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815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B0862">
            <w:pPr>
              <w:jc w:val="center"/>
            </w:pPr>
            <w:r>
              <w:rPr>
                <w:rFonts w:ascii="宋体" w:hAnsi="宋体" w:eastAsia="宋体"/>
                <w:sz w:val="16"/>
              </w:rPr>
              <w:t>得分</w:t>
            </w:r>
          </w:p>
        </w:tc>
      </w:tr>
      <w:tr w14:paraId="4B143A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2D0A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663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54FB3">
            <w:pPr>
              <w:jc w:val="center"/>
            </w:pPr>
            <w:r>
              <w:rPr>
                <w:rFonts w:ascii="宋体" w:hAnsi="宋体" w:eastAsia="宋体"/>
                <w:sz w:val="16"/>
              </w:rPr>
              <w:t>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030B6">
            <w:pPr>
              <w:jc w:val="center"/>
            </w:pPr>
            <w:r>
              <w:rPr>
                <w:rFonts w:ascii="宋体" w:hAnsi="宋体" w:eastAsia="宋体"/>
                <w:sz w:val="16"/>
              </w:rPr>
              <w:t>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9AF12">
            <w:pPr>
              <w:jc w:val="center"/>
            </w:pPr>
            <w:r>
              <w:rPr>
                <w:rFonts w:ascii="宋体" w:hAnsi="宋体" w:eastAsia="宋体"/>
                <w:sz w:val="16"/>
              </w:rPr>
              <w:t>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E26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2F5A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91D87">
            <w:pPr>
              <w:jc w:val="center"/>
            </w:pPr>
            <w:r>
              <w:rPr>
                <w:rFonts w:ascii="宋体" w:hAnsi="宋体" w:eastAsia="宋体"/>
                <w:sz w:val="16"/>
              </w:rPr>
              <w:t>10.00分</w:t>
            </w:r>
          </w:p>
        </w:tc>
      </w:tr>
      <w:tr w14:paraId="52A51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D5C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004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1A463">
            <w:pPr>
              <w:jc w:val="center"/>
            </w:pPr>
            <w:r>
              <w:rPr>
                <w:rFonts w:ascii="宋体" w:hAnsi="宋体" w:eastAsia="宋体"/>
                <w:sz w:val="16"/>
              </w:rPr>
              <w:t>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B32B1">
            <w:pPr>
              <w:jc w:val="center"/>
            </w:pPr>
            <w:r>
              <w:rPr>
                <w:rFonts w:ascii="宋体" w:hAnsi="宋体" w:eastAsia="宋体"/>
                <w:sz w:val="16"/>
              </w:rPr>
              <w:t>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255EA">
            <w:pPr>
              <w:jc w:val="center"/>
            </w:pPr>
            <w:r>
              <w:rPr>
                <w:rFonts w:ascii="宋体" w:hAnsi="宋体" w:eastAsia="宋体"/>
                <w:sz w:val="16"/>
              </w:rPr>
              <w:t>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67C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640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F851">
            <w:pPr>
              <w:jc w:val="center"/>
            </w:pPr>
            <w:r>
              <w:rPr>
                <w:rFonts w:ascii="宋体" w:hAnsi="宋体" w:eastAsia="宋体"/>
                <w:sz w:val="16"/>
              </w:rPr>
              <w:t>—</w:t>
            </w:r>
          </w:p>
        </w:tc>
      </w:tr>
      <w:tr w14:paraId="06592C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557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C231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E59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107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E56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78D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6BE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EBE6">
            <w:pPr>
              <w:jc w:val="center"/>
            </w:pPr>
            <w:r>
              <w:rPr>
                <w:rFonts w:ascii="宋体" w:hAnsi="宋体" w:eastAsia="宋体"/>
                <w:sz w:val="16"/>
              </w:rPr>
              <w:t>—</w:t>
            </w:r>
          </w:p>
        </w:tc>
      </w:tr>
      <w:tr w14:paraId="44AE8D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0920C">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78D0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AC3A1B">
            <w:pPr>
              <w:jc w:val="center"/>
            </w:pPr>
            <w:r>
              <w:rPr>
                <w:rFonts w:ascii="宋体" w:hAnsi="宋体" w:eastAsia="宋体"/>
                <w:sz w:val="16"/>
              </w:rPr>
              <w:t>实际完成情况</w:t>
            </w:r>
          </w:p>
        </w:tc>
      </w:tr>
      <w:tr w14:paraId="63F964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BF8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A869B8">
            <w:pPr>
              <w:jc w:val="both"/>
            </w:pPr>
            <w:r>
              <w:rPr>
                <w:rFonts w:ascii="宋体" w:hAnsi="宋体" w:eastAsia="宋体"/>
                <w:sz w:val="16"/>
              </w:rPr>
              <w:t>为加强和规范自治区财政拨付塔什库尔干塔吉克自治县乡两级人大代表会议经费管理，支持和保障代表依法执行代表职务，充分发挥代表作用，根据《中华人民共和国全国人民代表大会和地方各级人民代表大会代表法</w:t>
            </w:r>
            <w:r>
              <w:rPr>
                <w:rFonts w:hint="eastAsia" w:ascii="宋体" w:hAnsi="宋体"/>
                <w:sz w:val="16"/>
                <w:lang w:eastAsia="zh-CN"/>
              </w:rPr>
              <w:t>》《</w:t>
            </w:r>
            <w:r>
              <w:rPr>
                <w:rFonts w:ascii="宋体" w:hAnsi="宋体" w:eastAsia="宋体"/>
                <w:sz w:val="16"/>
              </w:rPr>
              <w:t>党政机关厉行节约反对浪费条例</w:t>
            </w:r>
            <w:r>
              <w:rPr>
                <w:rFonts w:hint="eastAsia" w:ascii="宋体" w:hAnsi="宋体"/>
                <w:sz w:val="16"/>
                <w:lang w:eastAsia="zh-CN"/>
              </w:rPr>
              <w:t>》《</w:t>
            </w:r>
            <w:r>
              <w:rPr>
                <w:rFonts w:ascii="宋体" w:hAnsi="宋体" w:eastAsia="宋体"/>
                <w:sz w:val="16"/>
              </w:rPr>
              <w:t>自治区人大代表会议经费管理使用办法》等相关规定，结合我乡实际，特制订“班迪尔乡人大代表会议经费实施方案”，具体如下：班迪尔乡人大代表会议经费共7870元，本次支出总计7870元，主要用于：我乡级人大代表在参加班迪尔乡第十五届人大代表第四次会议的补助，31人代表（其中农牧民15人）参加两天的会议，具体是农民代表误工补助，每人一天补助60*2=120元共1800元；伙食费，代表31人每人一天伙食费60*2=120，共3720元；材料费，每人50元，共1550元用于人大代表会议经费；交通补助费，共800元。使服务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5DC59B">
            <w:pPr>
              <w:jc w:val="both"/>
            </w:pPr>
            <w:r>
              <w:rPr>
                <w:rFonts w:ascii="宋体" w:hAnsi="宋体" w:eastAsia="宋体"/>
                <w:sz w:val="16"/>
              </w:rPr>
              <w:t>该项目已完成支出0.78万元用于我乡级人大代表在参加班迪尔乡第十八届人大代表第四次会议的补助，具体是农民代表误工补助，15名农民，干部及村干部31名代表参加两天的会议，每人一天误工补贴60元，共1800元，伙食费每人一天伙食费60元，共3720元，交通补贴800元，材料费1550元。该项目的开展支持和保障了代表依法执行代表职务，充分发挥了代表作用，使</w:t>
            </w:r>
            <w:r>
              <w:rPr>
                <w:rFonts w:hint="eastAsia" w:ascii="宋体" w:hAnsi="宋体"/>
                <w:sz w:val="16"/>
                <w:lang w:eastAsia="zh-CN"/>
              </w:rPr>
              <w:t>受益</w:t>
            </w:r>
            <w:r>
              <w:rPr>
                <w:rFonts w:ascii="宋体" w:hAnsi="宋体" w:eastAsia="宋体"/>
                <w:sz w:val="16"/>
              </w:rPr>
              <w:t>群众满意度达到95%。</w:t>
            </w:r>
          </w:p>
        </w:tc>
      </w:tr>
      <w:tr w14:paraId="056CC8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B3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F4F6">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C7E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24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8BA2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9BD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09A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E8C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9B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C199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A06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4CCE5">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AF64">
            <w:pPr>
              <w:jc w:val="center"/>
            </w:pPr>
            <w:r>
              <w:rPr>
                <w:rFonts w:ascii="宋体" w:hAnsi="宋体" w:eastAsia="宋体"/>
                <w:sz w:val="16"/>
              </w:rPr>
              <w:t>完成率</w:t>
            </w:r>
          </w:p>
        </w:tc>
      </w:tr>
      <w:tr w14:paraId="3E7EF0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0895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35DE">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790D1">
            <w:pPr>
              <w:jc w:val="center"/>
            </w:pPr>
            <w:r>
              <w:rPr>
                <w:rFonts w:ascii="宋体" w:hAnsi="宋体" w:eastAsia="宋体"/>
                <w:sz w:val="16"/>
              </w:rPr>
              <w:t>保障乡人大代表开展工作人数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FCB4">
            <w:pPr>
              <w:jc w:val="center"/>
            </w:pPr>
            <w:r>
              <w:rPr>
                <w:rFonts w:ascii="宋体" w:hAnsi="宋体" w:eastAsia="宋体"/>
                <w:sz w:val="16"/>
              </w:rPr>
              <w:t>&gt;=31人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F5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D5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E5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B5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9B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620F">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08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CF3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2349">
            <w:pPr>
              <w:jc w:val="center"/>
              <w:rPr>
                <w:rFonts w:hint="default" w:eastAsia="宋体"/>
                <w:lang w:val="en-US" w:eastAsia="zh-CN"/>
              </w:rPr>
            </w:pPr>
            <w:r>
              <w:rPr>
                <w:rFonts w:hint="eastAsia" w:ascii="宋体" w:hAnsi="宋体"/>
                <w:sz w:val="16"/>
                <w:lang w:val="en-US" w:eastAsia="zh-CN"/>
              </w:rPr>
              <w:t>100%</w:t>
            </w:r>
          </w:p>
        </w:tc>
      </w:tr>
      <w:tr w14:paraId="0707B9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DD1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3D2C">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FA116">
            <w:pPr>
              <w:jc w:val="center"/>
            </w:pPr>
            <w:r>
              <w:rPr>
                <w:rFonts w:ascii="宋体" w:hAnsi="宋体" w:eastAsia="宋体"/>
                <w:sz w:val="16"/>
              </w:rPr>
              <w:t>经费发放合规率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D52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3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EB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8DA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88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55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D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FE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8098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EAEF">
            <w:pPr>
              <w:jc w:val="center"/>
            </w:pPr>
            <w:r>
              <w:rPr>
                <w:rFonts w:hint="eastAsia" w:ascii="宋体" w:hAnsi="宋体"/>
                <w:sz w:val="16"/>
                <w:lang w:val="en-US" w:eastAsia="zh-CN"/>
              </w:rPr>
              <w:t>100%</w:t>
            </w:r>
          </w:p>
        </w:tc>
      </w:tr>
      <w:tr w14:paraId="3CD635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829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557C">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C42A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737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21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1D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F8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55A5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46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73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0E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434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A1813">
            <w:pPr>
              <w:jc w:val="center"/>
            </w:pPr>
            <w:r>
              <w:rPr>
                <w:rFonts w:hint="eastAsia" w:ascii="宋体" w:hAnsi="宋体"/>
                <w:sz w:val="16"/>
                <w:lang w:val="en-US" w:eastAsia="zh-CN"/>
              </w:rPr>
              <w:t>100%</w:t>
            </w:r>
          </w:p>
        </w:tc>
      </w:tr>
      <w:tr w14:paraId="790BA2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DE6A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00DF0">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B36A0">
            <w:pPr>
              <w:jc w:val="center"/>
            </w:pPr>
            <w:r>
              <w:rPr>
                <w:rFonts w:ascii="宋体" w:hAnsi="宋体" w:eastAsia="宋体"/>
                <w:sz w:val="16"/>
              </w:rPr>
              <w:t>乡人大代表经费材料费伙食费发放金额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994CA">
            <w:pPr>
              <w:jc w:val="center"/>
            </w:pPr>
            <w:r>
              <w:rPr>
                <w:rFonts w:ascii="宋体" w:hAnsi="宋体" w:eastAsia="宋体"/>
                <w:sz w:val="16"/>
              </w:rPr>
              <w:t>&lt;=5270元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FD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69F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54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E5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C0C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A6EC">
            <w:pPr>
              <w:jc w:val="center"/>
            </w:pPr>
            <w:r>
              <w:rPr>
                <w:rFonts w:ascii="宋体" w:hAnsi="宋体" w:eastAsia="宋体"/>
                <w:sz w:val="16"/>
              </w:rPr>
              <w:t>=5270元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E3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ED8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63C8D">
            <w:pPr>
              <w:jc w:val="center"/>
            </w:pPr>
            <w:r>
              <w:rPr>
                <w:rFonts w:hint="eastAsia" w:ascii="宋体" w:hAnsi="宋体"/>
                <w:sz w:val="16"/>
                <w:lang w:val="en-US" w:eastAsia="zh-CN"/>
              </w:rPr>
              <w:t>100%</w:t>
            </w:r>
          </w:p>
        </w:tc>
      </w:tr>
      <w:tr w14:paraId="0D3B33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516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FD4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88BCD">
            <w:pPr>
              <w:jc w:val="center"/>
            </w:pPr>
            <w:r>
              <w:rPr>
                <w:rFonts w:ascii="宋体" w:hAnsi="宋体" w:eastAsia="宋体"/>
                <w:sz w:val="16"/>
              </w:rPr>
              <w:t>乡人大代表经费误工补贴交通补助发放金额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7E09">
            <w:pPr>
              <w:jc w:val="center"/>
            </w:pPr>
            <w:r>
              <w:rPr>
                <w:rFonts w:ascii="宋体" w:hAnsi="宋体" w:eastAsia="宋体"/>
                <w:sz w:val="16"/>
              </w:rPr>
              <w:t>&lt;=2600元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A7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B7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451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AA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33C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E1EBD">
            <w:pPr>
              <w:jc w:val="center"/>
            </w:pPr>
            <w:r>
              <w:rPr>
                <w:rFonts w:ascii="宋体" w:hAnsi="宋体" w:eastAsia="宋体"/>
                <w:sz w:val="16"/>
              </w:rPr>
              <w:t>=2600元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90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AA6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AFC29">
            <w:pPr>
              <w:jc w:val="center"/>
            </w:pPr>
            <w:r>
              <w:rPr>
                <w:rFonts w:hint="eastAsia" w:ascii="宋体" w:hAnsi="宋体"/>
                <w:sz w:val="16"/>
                <w:lang w:val="en-US" w:eastAsia="zh-CN"/>
              </w:rPr>
              <w:t>100%</w:t>
            </w:r>
          </w:p>
        </w:tc>
      </w:tr>
      <w:tr w14:paraId="7627E4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EB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37DA">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6E090">
            <w:pPr>
              <w:jc w:val="center"/>
            </w:pPr>
            <w:r>
              <w:rPr>
                <w:rFonts w:ascii="宋体" w:hAnsi="宋体" w:eastAsia="宋体"/>
                <w:sz w:val="16"/>
              </w:rPr>
              <w:t>保障人大代表活动工作顺利开展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06B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C68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8B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A14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AD8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8EB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F2A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D5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9D2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38E7">
            <w:pPr>
              <w:jc w:val="center"/>
            </w:pPr>
            <w:r>
              <w:rPr>
                <w:rFonts w:hint="eastAsia" w:ascii="宋体" w:hAnsi="宋体"/>
                <w:sz w:val="16"/>
                <w:lang w:val="en-US" w:eastAsia="zh-CN"/>
              </w:rPr>
              <w:t>100%</w:t>
            </w:r>
          </w:p>
        </w:tc>
      </w:tr>
      <w:tr w14:paraId="36C578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19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25B6">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1D87E">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EDE9">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BC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69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8A1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9F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B8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458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50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2162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DB8E">
            <w:pPr>
              <w:jc w:val="center"/>
            </w:pPr>
            <w:r>
              <w:rPr>
                <w:rFonts w:hint="eastAsia" w:ascii="宋体" w:hAnsi="宋体"/>
                <w:sz w:val="16"/>
                <w:lang w:val="en-US" w:eastAsia="zh-CN"/>
              </w:rPr>
              <w:t>100%</w:t>
            </w:r>
          </w:p>
        </w:tc>
      </w:tr>
      <w:tr w14:paraId="26BC8E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E92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11F7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E997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8B9E27">
            <w:pPr>
              <w:jc w:val="center"/>
            </w:pPr>
            <w:r>
              <w:rPr>
                <w:rFonts w:ascii="宋体" w:hAnsi="宋体" w:eastAsia="宋体"/>
                <w:sz w:val="16"/>
              </w:rPr>
              <w:t>100分</w:t>
            </w:r>
          </w:p>
        </w:tc>
      </w:tr>
    </w:tbl>
    <w:p w14:paraId="30F948C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F7051E3">
        <w:tblPrEx>
          <w:tblCellMar>
            <w:top w:w="0" w:type="dxa"/>
            <w:left w:w="108" w:type="dxa"/>
            <w:bottom w:w="0" w:type="dxa"/>
            <w:right w:w="108" w:type="dxa"/>
          </w:tblCellMar>
        </w:tblPrEx>
        <w:tc>
          <w:tcPr>
            <w:tcW w:w="8848" w:type="dxa"/>
            <w:gridSpan w:val="14"/>
            <w:vAlign w:val="center"/>
          </w:tcPr>
          <w:p w14:paraId="72FDAE4D">
            <w:pPr>
              <w:jc w:val="center"/>
            </w:pPr>
            <w:r>
              <w:rPr>
                <w:rFonts w:ascii="宋体" w:hAnsi="宋体" w:eastAsia="宋体"/>
                <w:sz w:val="24"/>
              </w:rPr>
              <w:t>项目支出绩效自评表</w:t>
            </w:r>
          </w:p>
        </w:tc>
      </w:tr>
      <w:tr w14:paraId="6DC7ECCC">
        <w:tblPrEx>
          <w:tblCellMar>
            <w:top w:w="0" w:type="dxa"/>
            <w:left w:w="108" w:type="dxa"/>
            <w:bottom w:w="0" w:type="dxa"/>
            <w:right w:w="108" w:type="dxa"/>
          </w:tblCellMar>
        </w:tblPrEx>
        <w:tc>
          <w:tcPr>
            <w:tcW w:w="8848" w:type="dxa"/>
            <w:gridSpan w:val="14"/>
            <w:vAlign w:val="center"/>
          </w:tcPr>
          <w:p w14:paraId="1DA95660">
            <w:pPr>
              <w:jc w:val="center"/>
            </w:pPr>
            <w:r>
              <w:rPr>
                <w:rFonts w:ascii="宋体" w:hAnsi="宋体" w:eastAsia="宋体"/>
                <w:sz w:val="24"/>
              </w:rPr>
              <w:t>(2024年度)</w:t>
            </w:r>
          </w:p>
        </w:tc>
      </w:tr>
      <w:tr w14:paraId="18A7BD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33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AB91F9">
            <w:pPr>
              <w:jc w:val="center"/>
            </w:pPr>
            <w:r>
              <w:rPr>
                <w:rFonts w:ascii="宋体" w:hAnsi="宋体" w:eastAsia="宋体"/>
                <w:sz w:val="16"/>
              </w:rPr>
              <w:t>班迪尔乡人大代表活动经费</w:t>
            </w:r>
          </w:p>
        </w:tc>
      </w:tr>
      <w:tr w14:paraId="36AFA8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D9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A2C7F0">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D3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384D7D">
            <w:pPr>
              <w:jc w:val="center"/>
            </w:pPr>
            <w:r>
              <w:rPr>
                <w:rFonts w:ascii="宋体" w:hAnsi="宋体" w:eastAsia="宋体"/>
                <w:sz w:val="16"/>
              </w:rPr>
              <w:t>塔什库尔干塔吉克自治县班迪尔乡人民政府</w:t>
            </w:r>
          </w:p>
        </w:tc>
      </w:tr>
      <w:tr w14:paraId="7A32D1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AA5F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C333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4DC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B58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39C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D0D9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A0C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A2A1">
            <w:pPr>
              <w:jc w:val="center"/>
            </w:pPr>
            <w:r>
              <w:rPr>
                <w:rFonts w:ascii="宋体" w:hAnsi="宋体" w:eastAsia="宋体"/>
                <w:sz w:val="16"/>
              </w:rPr>
              <w:t>得分</w:t>
            </w:r>
          </w:p>
        </w:tc>
      </w:tr>
      <w:tr w14:paraId="222355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46D3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ADA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35FFA">
            <w:pPr>
              <w:jc w:val="center"/>
            </w:pPr>
            <w:r>
              <w:rPr>
                <w:rFonts w:ascii="宋体" w:hAnsi="宋体" w:eastAsia="宋体"/>
                <w:sz w:val="16"/>
              </w:rPr>
              <w:t>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3BED8">
            <w:pPr>
              <w:jc w:val="center"/>
            </w:pPr>
            <w:r>
              <w:rPr>
                <w:rFonts w:ascii="宋体" w:hAnsi="宋体" w:eastAsia="宋体"/>
                <w:sz w:val="16"/>
              </w:rPr>
              <w:t>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A3827">
            <w:pPr>
              <w:jc w:val="center"/>
            </w:pPr>
            <w:r>
              <w:rPr>
                <w:rFonts w:ascii="宋体" w:hAnsi="宋体" w:eastAsia="宋体"/>
                <w:sz w:val="16"/>
              </w:rPr>
              <w:t>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F91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CC67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6FC7">
            <w:pPr>
              <w:jc w:val="center"/>
            </w:pPr>
            <w:r>
              <w:rPr>
                <w:rFonts w:ascii="宋体" w:hAnsi="宋体" w:eastAsia="宋体"/>
                <w:sz w:val="16"/>
              </w:rPr>
              <w:t>10.00分</w:t>
            </w:r>
          </w:p>
        </w:tc>
      </w:tr>
      <w:tr w14:paraId="1046A6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ED5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94DD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FAB3E">
            <w:pPr>
              <w:jc w:val="center"/>
            </w:pPr>
            <w:r>
              <w:rPr>
                <w:rFonts w:ascii="宋体" w:hAnsi="宋体" w:eastAsia="宋体"/>
                <w:sz w:val="16"/>
              </w:rPr>
              <w:t>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1B7D6">
            <w:pPr>
              <w:jc w:val="center"/>
            </w:pPr>
            <w:r>
              <w:rPr>
                <w:rFonts w:ascii="宋体" w:hAnsi="宋体" w:eastAsia="宋体"/>
                <w:sz w:val="16"/>
              </w:rPr>
              <w:t>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9C48B">
            <w:pPr>
              <w:jc w:val="center"/>
            </w:pPr>
            <w:r>
              <w:rPr>
                <w:rFonts w:ascii="宋体" w:hAnsi="宋体" w:eastAsia="宋体"/>
                <w:sz w:val="16"/>
              </w:rPr>
              <w:t>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55A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1C1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941E">
            <w:pPr>
              <w:jc w:val="center"/>
            </w:pPr>
            <w:r>
              <w:rPr>
                <w:rFonts w:ascii="宋体" w:hAnsi="宋体" w:eastAsia="宋体"/>
                <w:sz w:val="16"/>
              </w:rPr>
              <w:t>—</w:t>
            </w:r>
          </w:p>
        </w:tc>
      </w:tr>
      <w:tr w14:paraId="551D2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A75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8216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43D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A07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DAE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920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941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B601">
            <w:pPr>
              <w:jc w:val="center"/>
            </w:pPr>
            <w:r>
              <w:rPr>
                <w:rFonts w:ascii="宋体" w:hAnsi="宋体" w:eastAsia="宋体"/>
                <w:sz w:val="16"/>
              </w:rPr>
              <w:t>—</w:t>
            </w:r>
          </w:p>
        </w:tc>
      </w:tr>
      <w:tr w14:paraId="77503E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EEF1D">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F1FF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0C65C5">
            <w:pPr>
              <w:jc w:val="center"/>
            </w:pPr>
            <w:r>
              <w:rPr>
                <w:rFonts w:ascii="宋体" w:hAnsi="宋体" w:eastAsia="宋体"/>
                <w:sz w:val="16"/>
              </w:rPr>
              <w:t>实际完成情况</w:t>
            </w:r>
          </w:p>
        </w:tc>
      </w:tr>
      <w:tr w14:paraId="11663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6FC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049541">
            <w:pPr>
              <w:jc w:val="both"/>
            </w:pPr>
            <w:r>
              <w:rPr>
                <w:rFonts w:ascii="宋体" w:hAnsi="宋体" w:eastAsia="宋体"/>
                <w:sz w:val="16"/>
              </w:rPr>
              <w:t>班迪尔乡人大代表活动经费共13536元，预计用于我乡各级人大代表在本乡镇、村（社区）人大代表联络站联系人民群众、开展各项活动直接产生的各项费用。为县乡两级人大代表订阅必要的学习用品、办公用品及活动颁发奖品等产生的费用。现计划采购蔬菜5000元，用于人大代表举办活动；采购办公用品7267元。通过项目的实施可持续提升人大代表服务水平，把人民群众的所需、所想、所盼反映上来，把人民群众的聪明才智汇聚</w:t>
            </w:r>
            <w:r>
              <w:rPr>
                <w:rFonts w:hint="eastAsia" w:ascii="宋体" w:hAnsi="宋体"/>
                <w:sz w:val="16"/>
                <w:lang w:eastAsia="zh-CN"/>
              </w:rPr>
              <w:t>，更</w:t>
            </w:r>
            <w:r>
              <w:rPr>
                <w:rFonts w:ascii="宋体" w:hAnsi="宋体" w:eastAsia="宋体"/>
                <w:sz w:val="16"/>
              </w:rPr>
              <w:t>好真诚倾听群众呼声，真实反映群众意愿，使人大代表满意度达到95%以上。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32C2C6">
            <w:pPr>
              <w:jc w:val="both"/>
            </w:pPr>
            <w:r>
              <w:rPr>
                <w:rFonts w:ascii="宋体" w:hAnsi="宋体" w:eastAsia="宋体"/>
                <w:sz w:val="16"/>
              </w:rPr>
              <w:t>该项目已完成指出1.35万元用于我乡各级人大代表在本乡镇、村（社区）人大代表联络站联系人民群众、开展各项活动直接产生的各项费用。为县乡两级人大代表订阅必要的学习用品、办公用品及活动颁发奖品等产生的费用。已完成县乡两级人大代表活动1次用于人大代表活动购置成本5000元；用于人大代表办公用品购置金额8536元。通过项目的实施提升了人大代表服务水平，把人民群众的所需、所想、所盼反映上来，把人民群众的聪明才智汇聚</w:t>
            </w:r>
            <w:r>
              <w:rPr>
                <w:rFonts w:hint="eastAsia" w:ascii="宋体" w:hAnsi="宋体"/>
                <w:sz w:val="16"/>
                <w:lang w:eastAsia="zh-CN"/>
              </w:rPr>
              <w:t>，更</w:t>
            </w:r>
            <w:r>
              <w:rPr>
                <w:rFonts w:ascii="宋体" w:hAnsi="宋体" w:eastAsia="宋体"/>
                <w:sz w:val="16"/>
              </w:rPr>
              <w:t>好真诚倾听群众呼声，真实反映群众意愿，使受益人大代表满意度达到100%。</w:t>
            </w:r>
          </w:p>
        </w:tc>
      </w:tr>
      <w:tr w14:paraId="537233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43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0B7D">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071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8B2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67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8F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E6E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FAE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DB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8C4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E11B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227A">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7A55">
            <w:pPr>
              <w:jc w:val="center"/>
            </w:pPr>
            <w:r>
              <w:rPr>
                <w:rFonts w:ascii="宋体" w:hAnsi="宋体" w:eastAsia="宋体"/>
                <w:sz w:val="16"/>
              </w:rPr>
              <w:t>完成率</w:t>
            </w:r>
          </w:p>
        </w:tc>
      </w:tr>
      <w:tr w14:paraId="4D76E0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66C4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29B3">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551A8">
            <w:pPr>
              <w:jc w:val="center"/>
            </w:pPr>
            <w:r>
              <w:rPr>
                <w:rFonts w:ascii="宋体" w:hAnsi="宋体" w:eastAsia="宋体"/>
                <w:sz w:val="16"/>
              </w:rPr>
              <w:t>人大代表开展工作人数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2963">
            <w:pPr>
              <w:jc w:val="center"/>
            </w:pPr>
            <w:r>
              <w:rPr>
                <w:rFonts w:ascii="宋体" w:hAnsi="宋体" w:eastAsia="宋体"/>
                <w:sz w:val="16"/>
              </w:rPr>
              <w:t>&gt;=29人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8C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997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9C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7B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58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29BD">
            <w:pPr>
              <w:jc w:val="center"/>
            </w:pPr>
            <w:r>
              <w:rPr>
                <w:rFonts w:ascii="宋体" w:hAnsi="宋体" w:eastAsia="宋体"/>
                <w:sz w:val="16"/>
              </w:rPr>
              <w: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6C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3E7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028C">
            <w:pPr>
              <w:jc w:val="center"/>
            </w:pPr>
            <w:r>
              <w:rPr>
                <w:rFonts w:hint="eastAsia" w:ascii="宋体" w:hAnsi="宋体"/>
                <w:sz w:val="16"/>
                <w:lang w:val="en-US" w:eastAsia="zh-CN"/>
              </w:rPr>
              <w:t>100%</w:t>
            </w:r>
          </w:p>
        </w:tc>
      </w:tr>
      <w:tr w14:paraId="3EABF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B97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D2C7">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3B739">
            <w:pPr>
              <w:jc w:val="center"/>
            </w:pPr>
            <w:r>
              <w:rPr>
                <w:rFonts w:ascii="宋体" w:hAnsi="宋体" w:eastAsia="宋体"/>
                <w:sz w:val="16"/>
              </w:rPr>
              <w:t>资金使用合规性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02D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48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6D4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C92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16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F0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6D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50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D47D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0156">
            <w:pPr>
              <w:jc w:val="center"/>
            </w:pPr>
            <w:r>
              <w:rPr>
                <w:rFonts w:hint="eastAsia" w:ascii="宋体" w:hAnsi="宋体"/>
                <w:sz w:val="16"/>
                <w:lang w:val="en-US" w:eastAsia="zh-CN"/>
              </w:rPr>
              <w:t>100%</w:t>
            </w:r>
          </w:p>
        </w:tc>
      </w:tr>
      <w:tr w14:paraId="20F5D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C9B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45337">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4E5B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9B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FC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D3D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3D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38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D7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4B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72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5965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7610">
            <w:pPr>
              <w:jc w:val="center"/>
            </w:pPr>
            <w:r>
              <w:rPr>
                <w:rFonts w:hint="eastAsia" w:ascii="宋体" w:hAnsi="宋体"/>
                <w:sz w:val="16"/>
                <w:lang w:val="en-US" w:eastAsia="zh-CN"/>
              </w:rPr>
              <w:t>100%</w:t>
            </w:r>
          </w:p>
        </w:tc>
      </w:tr>
      <w:tr w14:paraId="7C095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D4F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3E8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2910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CA0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DF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1A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68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CC3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9E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5442">
            <w:pPr>
              <w:jc w:val="center"/>
            </w:pPr>
            <w:r>
              <w:rPr>
                <w:rFonts w:ascii="宋体" w:hAnsi="宋体" w:eastAsia="宋体"/>
                <w:sz w:val="16"/>
              </w:rPr>
              <w:t>=2024年11月14日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3F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06A7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D633">
            <w:pPr>
              <w:jc w:val="center"/>
            </w:pPr>
            <w:r>
              <w:rPr>
                <w:rFonts w:hint="eastAsia" w:ascii="宋体" w:hAnsi="宋体"/>
                <w:sz w:val="16"/>
                <w:lang w:val="en-US" w:eastAsia="zh-CN"/>
              </w:rPr>
              <w:t>100%</w:t>
            </w:r>
          </w:p>
        </w:tc>
      </w:tr>
      <w:tr w14:paraId="02FEF9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7756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A48E7">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1B84D">
            <w:pPr>
              <w:jc w:val="center"/>
            </w:pPr>
            <w:r>
              <w:rPr>
                <w:rFonts w:ascii="宋体" w:hAnsi="宋体" w:eastAsia="宋体"/>
                <w:sz w:val="16"/>
              </w:rPr>
              <w:t>人大代表活动购置成本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656B">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5A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A3B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4C3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62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6EA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E6ED">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78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5B6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4B436">
            <w:pPr>
              <w:jc w:val="center"/>
            </w:pPr>
            <w:r>
              <w:rPr>
                <w:rFonts w:hint="eastAsia" w:ascii="宋体" w:hAnsi="宋体"/>
                <w:sz w:val="16"/>
                <w:lang w:val="en-US" w:eastAsia="zh-CN"/>
              </w:rPr>
              <w:t>100%</w:t>
            </w:r>
          </w:p>
        </w:tc>
      </w:tr>
      <w:tr w14:paraId="29C16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253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29D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CB8D5">
            <w:pPr>
              <w:jc w:val="center"/>
            </w:pPr>
            <w:r>
              <w:rPr>
                <w:rFonts w:ascii="宋体" w:hAnsi="宋体" w:eastAsia="宋体"/>
                <w:sz w:val="16"/>
              </w:rPr>
              <w:t>人大代表办公用品购置成本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C9DC">
            <w:pPr>
              <w:jc w:val="center"/>
            </w:pPr>
            <w:r>
              <w:rPr>
                <w:rFonts w:ascii="宋体" w:hAnsi="宋体" w:eastAsia="宋体"/>
                <w:sz w:val="16"/>
              </w:rPr>
              <w:t>&lt;=8536元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80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FD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7E9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46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CC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738EA">
            <w:pPr>
              <w:jc w:val="center"/>
            </w:pPr>
            <w:r>
              <w:rPr>
                <w:rFonts w:ascii="宋体" w:hAnsi="宋体" w:eastAsia="宋体"/>
                <w:sz w:val="16"/>
              </w:rPr>
              <w:t>=8536元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BD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237C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455DE">
            <w:pPr>
              <w:jc w:val="center"/>
            </w:pPr>
            <w:r>
              <w:rPr>
                <w:rFonts w:hint="eastAsia" w:ascii="宋体" w:hAnsi="宋体"/>
                <w:sz w:val="16"/>
                <w:lang w:val="en-US" w:eastAsia="zh-CN"/>
              </w:rPr>
              <w:t>100%</w:t>
            </w:r>
          </w:p>
        </w:tc>
      </w:tr>
      <w:tr w14:paraId="54D238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497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3727">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96551">
            <w:pPr>
              <w:jc w:val="center"/>
            </w:pPr>
            <w:r>
              <w:rPr>
                <w:rFonts w:ascii="宋体" w:hAnsi="宋体" w:eastAsia="宋体"/>
                <w:sz w:val="16"/>
              </w:rPr>
              <w:t>持续提升人大代表服务水平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BCB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E5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A0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6C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78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2FF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2A2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1E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A45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229E">
            <w:pPr>
              <w:jc w:val="center"/>
            </w:pPr>
            <w:r>
              <w:rPr>
                <w:rFonts w:hint="eastAsia" w:ascii="宋体" w:hAnsi="宋体"/>
                <w:sz w:val="16"/>
                <w:lang w:val="en-US" w:eastAsia="zh-CN"/>
              </w:rPr>
              <w:t>100%</w:t>
            </w:r>
          </w:p>
        </w:tc>
      </w:tr>
      <w:tr w14:paraId="4FE1D1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0E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D4AC4">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DA97B">
            <w:pPr>
              <w:jc w:val="center"/>
            </w:pPr>
            <w:r>
              <w:rPr>
                <w:rFonts w:ascii="宋体" w:hAnsi="宋体" w:eastAsia="宋体"/>
                <w:sz w:val="16"/>
              </w:rPr>
              <w:t>受益人大代表满意度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24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E3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005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3E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65FC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D36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2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08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C9F1C">
            <w:pPr>
              <w:jc w:val="center"/>
            </w:pPr>
            <w:r>
              <w:rPr>
                <w:rFonts w:ascii="宋体" w:hAnsi="宋体" w:eastAsia="宋体"/>
                <w:sz w:val="16"/>
              </w:rPr>
              <w:t>因项目完成情况较好，受益人大代表满意度较高，所以出现正偏差。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8282">
            <w:pPr>
              <w:jc w:val="center"/>
            </w:pPr>
            <w:r>
              <w:rPr>
                <w:rFonts w:hint="eastAsia" w:ascii="宋体" w:hAnsi="宋体"/>
                <w:sz w:val="16"/>
                <w:lang w:val="en-US" w:eastAsia="zh-CN"/>
              </w:rPr>
              <w:t>100%</w:t>
            </w:r>
          </w:p>
        </w:tc>
      </w:tr>
      <w:tr w14:paraId="76FE7B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A3E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6259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8CF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291BD7">
            <w:pPr>
              <w:jc w:val="center"/>
            </w:pPr>
            <w:r>
              <w:rPr>
                <w:rFonts w:ascii="宋体" w:hAnsi="宋体" w:eastAsia="宋体"/>
                <w:sz w:val="16"/>
              </w:rPr>
              <w:t>100分</w:t>
            </w:r>
          </w:p>
        </w:tc>
      </w:tr>
    </w:tbl>
    <w:p w14:paraId="63B82F89">
      <w:r>
        <w:br w:type="page"/>
      </w:r>
    </w:p>
    <w:tbl>
      <w:tblPr>
        <w:tblStyle w:val="9"/>
        <w:tblW w:w="0" w:type="auto"/>
        <w:tblInd w:w="0" w:type="dxa"/>
        <w:tblLayout w:type="autofit"/>
        <w:tblCellMar>
          <w:top w:w="0" w:type="dxa"/>
          <w:left w:w="108" w:type="dxa"/>
          <w:bottom w:w="0" w:type="dxa"/>
          <w:right w:w="108" w:type="dxa"/>
        </w:tblCellMar>
      </w:tblPr>
      <w:tblGrid>
        <w:gridCol w:w="626"/>
        <w:gridCol w:w="623"/>
        <w:gridCol w:w="610"/>
        <w:gridCol w:w="603"/>
        <w:gridCol w:w="856"/>
        <w:gridCol w:w="618"/>
        <w:gridCol w:w="618"/>
        <w:gridCol w:w="618"/>
        <w:gridCol w:w="618"/>
        <w:gridCol w:w="618"/>
        <w:gridCol w:w="776"/>
        <w:gridCol w:w="618"/>
        <w:gridCol w:w="627"/>
        <w:gridCol w:w="631"/>
      </w:tblGrid>
      <w:tr w14:paraId="444E44B8">
        <w:tblPrEx>
          <w:tblCellMar>
            <w:top w:w="0" w:type="dxa"/>
            <w:left w:w="108" w:type="dxa"/>
            <w:bottom w:w="0" w:type="dxa"/>
            <w:right w:w="108" w:type="dxa"/>
          </w:tblCellMar>
        </w:tblPrEx>
        <w:tc>
          <w:tcPr>
            <w:tcW w:w="8848" w:type="dxa"/>
            <w:gridSpan w:val="14"/>
            <w:vAlign w:val="center"/>
          </w:tcPr>
          <w:p w14:paraId="67C96D0F">
            <w:pPr>
              <w:jc w:val="center"/>
            </w:pPr>
            <w:r>
              <w:rPr>
                <w:rFonts w:ascii="宋体" w:hAnsi="宋体" w:eastAsia="宋体"/>
                <w:sz w:val="24"/>
              </w:rPr>
              <w:t>项目支出绩效自评表</w:t>
            </w:r>
          </w:p>
        </w:tc>
      </w:tr>
      <w:tr w14:paraId="546AC10D">
        <w:tblPrEx>
          <w:tblCellMar>
            <w:top w:w="0" w:type="dxa"/>
            <w:left w:w="108" w:type="dxa"/>
            <w:bottom w:w="0" w:type="dxa"/>
            <w:right w:w="108" w:type="dxa"/>
          </w:tblCellMar>
        </w:tblPrEx>
        <w:tc>
          <w:tcPr>
            <w:tcW w:w="8848" w:type="dxa"/>
            <w:gridSpan w:val="14"/>
            <w:vAlign w:val="center"/>
          </w:tcPr>
          <w:p w14:paraId="2D75ACE7">
            <w:pPr>
              <w:jc w:val="center"/>
            </w:pPr>
            <w:r>
              <w:rPr>
                <w:rFonts w:ascii="宋体" w:hAnsi="宋体" w:eastAsia="宋体"/>
                <w:sz w:val="24"/>
              </w:rPr>
              <w:t>(2024年度)</w:t>
            </w:r>
          </w:p>
        </w:tc>
      </w:tr>
      <w:tr w14:paraId="15894A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117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8B5614">
            <w:pPr>
              <w:jc w:val="center"/>
            </w:pPr>
            <w:r>
              <w:rPr>
                <w:rFonts w:ascii="宋体" w:hAnsi="宋体" w:eastAsia="宋体"/>
                <w:sz w:val="16"/>
              </w:rPr>
              <w:t>班迪尔乡热布提环境整治项目林地补偿七项资金费用</w:t>
            </w:r>
          </w:p>
        </w:tc>
      </w:tr>
      <w:tr w14:paraId="089CF4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7A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B5DD0E">
            <w:pPr>
              <w:jc w:val="center"/>
            </w:pPr>
            <w:r>
              <w:rPr>
                <w:rFonts w:ascii="宋体" w:hAnsi="宋体" w:eastAsia="宋体"/>
                <w:sz w:val="16"/>
              </w:rPr>
              <w:t>塔什库尔干塔吉克自治县班迪尔乡人民政府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BC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F81784">
            <w:pPr>
              <w:jc w:val="center"/>
            </w:pPr>
            <w:r>
              <w:rPr>
                <w:rFonts w:ascii="宋体" w:hAnsi="宋体" w:eastAsia="宋体"/>
                <w:sz w:val="16"/>
              </w:rPr>
              <w:t>塔什库尔干塔吉克自治县班迪尔乡人民政府</w:t>
            </w:r>
          </w:p>
        </w:tc>
      </w:tr>
      <w:tr w14:paraId="2BEA64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25A4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229D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C23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5C3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07BB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0BF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EFD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6945">
            <w:pPr>
              <w:jc w:val="center"/>
            </w:pPr>
            <w:r>
              <w:rPr>
                <w:rFonts w:ascii="宋体" w:hAnsi="宋体" w:eastAsia="宋体"/>
                <w:sz w:val="16"/>
              </w:rPr>
              <w:t>得分</w:t>
            </w:r>
          </w:p>
        </w:tc>
      </w:tr>
      <w:tr w14:paraId="7AD6AD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EBC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0EA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12928">
            <w:pPr>
              <w:jc w:val="center"/>
            </w:pPr>
            <w:r>
              <w:rPr>
                <w:rFonts w:ascii="宋体" w:hAnsi="宋体" w:eastAsia="宋体"/>
                <w:sz w:val="16"/>
              </w:rPr>
              <w:t>10.06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DDA85">
            <w:pPr>
              <w:jc w:val="center"/>
            </w:pPr>
            <w:r>
              <w:rPr>
                <w:rFonts w:ascii="宋体" w:hAnsi="宋体" w:eastAsia="宋体"/>
                <w:sz w:val="16"/>
              </w:rPr>
              <w:t>8.51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883F3">
            <w:pPr>
              <w:jc w:val="center"/>
            </w:pPr>
            <w:r>
              <w:rPr>
                <w:rFonts w:ascii="宋体" w:hAnsi="宋体" w:eastAsia="宋体"/>
                <w:sz w:val="16"/>
              </w:rPr>
              <w:t>8.51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AE9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92C1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B676">
            <w:pPr>
              <w:jc w:val="center"/>
            </w:pPr>
            <w:r>
              <w:rPr>
                <w:rFonts w:ascii="宋体" w:hAnsi="宋体" w:eastAsia="宋体"/>
                <w:sz w:val="16"/>
              </w:rPr>
              <w:t>10.00分</w:t>
            </w:r>
          </w:p>
        </w:tc>
      </w:tr>
      <w:tr w14:paraId="75B35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60F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27D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7A754">
            <w:pPr>
              <w:jc w:val="center"/>
            </w:pPr>
            <w:r>
              <w:rPr>
                <w:rFonts w:ascii="宋体" w:hAnsi="宋体" w:eastAsia="宋体"/>
                <w:sz w:val="16"/>
              </w:rPr>
              <w:t>10.06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EE4AE">
            <w:pPr>
              <w:jc w:val="center"/>
            </w:pPr>
            <w:r>
              <w:rPr>
                <w:rFonts w:ascii="宋体" w:hAnsi="宋体" w:eastAsia="宋体"/>
                <w:sz w:val="16"/>
              </w:rPr>
              <w:t>8.51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64664">
            <w:pPr>
              <w:jc w:val="center"/>
            </w:pPr>
            <w:r>
              <w:rPr>
                <w:rFonts w:ascii="宋体" w:hAnsi="宋体" w:eastAsia="宋体"/>
                <w:sz w:val="16"/>
              </w:rPr>
              <w:t>8.51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E82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937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0E4FA">
            <w:pPr>
              <w:jc w:val="center"/>
            </w:pPr>
            <w:r>
              <w:rPr>
                <w:rFonts w:ascii="宋体" w:hAnsi="宋体" w:eastAsia="宋体"/>
                <w:sz w:val="16"/>
              </w:rPr>
              <w:t>—</w:t>
            </w:r>
          </w:p>
        </w:tc>
      </w:tr>
      <w:tr w14:paraId="1185E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1FB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A6D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10A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CBE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0D0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8A2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455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FF289">
            <w:pPr>
              <w:jc w:val="center"/>
            </w:pPr>
            <w:r>
              <w:rPr>
                <w:rFonts w:ascii="宋体" w:hAnsi="宋体" w:eastAsia="宋体"/>
                <w:sz w:val="16"/>
              </w:rPr>
              <w:t>—</w:t>
            </w:r>
          </w:p>
        </w:tc>
      </w:tr>
      <w:tr w14:paraId="65EFE9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97F0A">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3608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BB44CB">
            <w:pPr>
              <w:jc w:val="center"/>
            </w:pPr>
            <w:r>
              <w:rPr>
                <w:rFonts w:ascii="宋体" w:hAnsi="宋体" w:eastAsia="宋体"/>
                <w:sz w:val="16"/>
              </w:rPr>
              <w:t>实际完成情况</w:t>
            </w:r>
          </w:p>
        </w:tc>
      </w:tr>
      <w:tr w14:paraId="772E60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AB25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A1A3DF">
            <w:pPr>
              <w:jc w:val="both"/>
            </w:pPr>
            <w:r>
              <w:rPr>
                <w:rFonts w:hint="eastAsia" w:ascii="宋体" w:hAnsi="宋体"/>
                <w:sz w:val="16"/>
                <w:lang w:eastAsia="zh-CN"/>
              </w:rPr>
              <w:t>塔什库尔干塔吉克自治县</w:t>
            </w:r>
            <w:r>
              <w:rPr>
                <w:rFonts w:ascii="宋体" w:hAnsi="宋体" w:eastAsia="宋体"/>
                <w:sz w:val="16"/>
              </w:rPr>
              <w:t>班迪尔乡热布提环境整治项目永久性占用草地0.2246公顷，赔偿草地安置补助费0.6434万元，上缴喀什地区林草局草原植被恢复费0.5054万元；永久性占用其他林地0.4201公顷，赔偿县财政林地补偿费4.8401万元.森林植被恢复费2.5206万元。加快补偿，争取早日完成前期手续，推进项目落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8E7F1D">
            <w:pPr>
              <w:jc w:val="both"/>
            </w:pPr>
            <w:r>
              <w:rPr>
                <w:rFonts w:hint="eastAsia" w:ascii="宋体" w:hAnsi="宋体"/>
                <w:sz w:val="16"/>
                <w:lang w:eastAsia="zh-CN"/>
              </w:rPr>
              <w:t>截至</w:t>
            </w:r>
            <w:r>
              <w:rPr>
                <w:rFonts w:ascii="宋体" w:hAnsi="宋体" w:eastAsia="宋体"/>
                <w:sz w:val="16"/>
              </w:rPr>
              <w:t>自评日，项目已支出金额为8.51万元。已完成</w:t>
            </w:r>
            <w:r>
              <w:rPr>
                <w:rFonts w:hint="eastAsia" w:ascii="宋体" w:hAnsi="宋体"/>
                <w:sz w:val="16"/>
                <w:lang w:eastAsia="zh-CN"/>
              </w:rPr>
              <w:t>塔什库尔干塔吉克自治县</w:t>
            </w:r>
            <w:r>
              <w:rPr>
                <w:rFonts w:ascii="宋体" w:hAnsi="宋体" w:eastAsia="宋体"/>
                <w:sz w:val="16"/>
              </w:rPr>
              <w:t>班迪尔乡热布提环境整治项目永久性占用草地0.2246公顷，赔偿草地安置补助费0.6434万元，上缴喀什地区林草局草原植被恢复费0.5054万元；永久性占用其他林地0.4201公顷，赔偿县财政林地补偿费4.8401万元.森林植被恢复费2.5206万元。项目的实施有效保障项目顺利开展。</w:t>
            </w:r>
          </w:p>
        </w:tc>
      </w:tr>
      <w:tr w14:paraId="2B1D16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F8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1DF2">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BF2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8389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6C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DBE5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77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5A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E5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69CC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0F5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72843">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70BC">
            <w:pPr>
              <w:jc w:val="center"/>
            </w:pPr>
            <w:r>
              <w:rPr>
                <w:rFonts w:ascii="宋体" w:hAnsi="宋体" w:eastAsia="宋体"/>
                <w:sz w:val="16"/>
              </w:rPr>
              <w:t>完成率</w:t>
            </w:r>
          </w:p>
        </w:tc>
      </w:tr>
      <w:tr w14:paraId="23E49F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C282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ED487">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EE37C">
            <w:pPr>
              <w:jc w:val="center"/>
            </w:pPr>
            <w:r>
              <w:rPr>
                <w:rFonts w:ascii="宋体" w:hAnsi="宋体" w:eastAsia="宋体"/>
                <w:sz w:val="16"/>
              </w:rPr>
              <w:t>永久性占用草地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37358">
            <w:pPr>
              <w:jc w:val="center"/>
            </w:pPr>
            <w:r>
              <w:rPr>
                <w:rFonts w:ascii="宋体" w:hAnsi="宋体" w:eastAsia="宋体"/>
                <w:sz w:val="16"/>
              </w:rPr>
              <w:t>&lt;=0.22公顷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670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96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AF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A4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0C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2E94">
            <w:pPr>
              <w:jc w:val="center"/>
            </w:pPr>
            <w:r>
              <w:rPr>
                <w:rFonts w:ascii="宋体" w:hAnsi="宋体" w:eastAsia="宋体"/>
                <w:sz w:val="16"/>
              </w:rPr>
              <w:t>=0.22公顷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A67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93F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9F71">
            <w:pPr>
              <w:jc w:val="center"/>
            </w:pPr>
            <w:r>
              <w:rPr>
                <w:rFonts w:hint="eastAsia" w:ascii="宋体" w:hAnsi="宋体"/>
                <w:sz w:val="16"/>
                <w:lang w:val="en-US" w:eastAsia="zh-CN"/>
              </w:rPr>
              <w:t>100%</w:t>
            </w:r>
          </w:p>
        </w:tc>
      </w:tr>
      <w:tr w14:paraId="2910C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CE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930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89226">
            <w:pPr>
              <w:jc w:val="center"/>
            </w:pPr>
            <w:r>
              <w:rPr>
                <w:rFonts w:ascii="宋体" w:hAnsi="宋体" w:eastAsia="宋体"/>
                <w:sz w:val="16"/>
              </w:rPr>
              <w:t>永久性占用其他林地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395C">
            <w:pPr>
              <w:jc w:val="center"/>
            </w:pPr>
            <w:r>
              <w:rPr>
                <w:rFonts w:ascii="宋体" w:hAnsi="宋体" w:eastAsia="宋体"/>
                <w:sz w:val="16"/>
              </w:rPr>
              <w:t>&lt;=0.42公顷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C3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D5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E71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E3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0D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293A">
            <w:pPr>
              <w:jc w:val="center"/>
            </w:pPr>
            <w:r>
              <w:rPr>
                <w:rFonts w:ascii="宋体" w:hAnsi="宋体" w:eastAsia="宋体"/>
                <w:sz w:val="16"/>
              </w:rPr>
              <w:t>=0.42公顷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99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0B6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196F6">
            <w:pPr>
              <w:jc w:val="center"/>
            </w:pPr>
            <w:r>
              <w:rPr>
                <w:rFonts w:hint="eastAsia" w:ascii="宋体" w:hAnsi="宋体"/>
                <w:sz w:val="16"/>
                <w:lang w:val="en-US" w:eastAsia="zh-CN"/>
              </w:rPr>
              <w:t>100%</w:t>
            </w:r>
          </w:p>
        </w:tc>
      </w:tr>
      <w:tr w14:paraId="1D8806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2DE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824D">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0E2D9">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D85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E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49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4D0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82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EA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523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00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779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7CEC">
            <w:pPr>
              <w:jc w:val="center"/>
            </w:pPr>
            <w:r>
              <w:rPr>
                <w:rFonts w:hint="eastAsia" w:ascii="宋体" w:hAnsi="宋体"/>
                <w:sz w:val="16"/>
                <w:lang w:val="en-US" w:eastAsia="zh-CN"/>
              </w:rPr>
              <w:t>100%</w:t>
            </w:r>
          </w:p>
        </w:tc>
      </w:tr>
      <w:tr w14:paraId="1EB488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74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D344">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75B2E">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9F886">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9A6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D4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4E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BC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948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EC92">
            <w:pPr>
              <w:jc w:val="center"/>
            </w:pPr>
            <w:r>
              <w:rPr>
                <w:rFonts w:ascii="宋体" w:hAnsi="宋体" w:eastAsia="宋体"/>
                <w:sz w:val="16"/>
              </w:rPr>
              <w:t>=2024年8月1日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09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7271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6896">
            <w:pPr>
              <w:jc w:val="center"/>
            </w:pPr>
            <w:r>
              <w:rPr>
                <w:rFonts w:hint="eastAsia" w:ascii="宋体" w:hAnsi="宋体"/>
                <w:sz w:val="16"/>
                <w:lang w:val="en-US" w:eastAsia="zh-CN"/>
              </w:rPr>
              <w:t>100%</w:t>
            </w:r>
          </w:p>
        </w:tc>
      </w:tr>
      <w:tr w14:paraId="76E260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23A1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B92A1">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7C1AE">
            <w:pPr>
              <w:jc w:val="center"/>
            </w:pPr>
            <w:r>
              <w:rPr>
                <w:rFonts w:ascii="宋体" w:hAnsi="宋体" w:eastAsia="宋体"/>
                <w:sz w:val="16"/>
              </w:rPr>
              <w:t>安置补助费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0F3D9">
            <w:pPr>
              <w:jc w:val="center"/>
            </w:pPr>
            <w:r>
              <w:rPr>
                <w:rFonts w:ascii="宋体" w:hAnsi="宋体" w:eastAsia="宋体"/>
                <w:sz w:val="16"/>
              </w:rPr>
              <w:t>&lt;=0.6434万元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0F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D8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F3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DA1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82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0710">
            <w:pPr>
              <w:jc w:val="center"/>
            </w:pPr>
            <w:r>
              <w:rPr>
                <w:rFonts w:ascii="宋体" w:hAnsi="宋体" w:eastAsia="宋体"/>
                <w:sz w:val="16"/>
              </w:rPr>
              <w:t>=0.6434万元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99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394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D8E5">
            <w:pPr>
              <w:jc w:val="center"/>
            </w:pPr>
            <w:r>
              <w:rPr>
                <w:rFonts w:hint="eastAsia" w:ascii="宋体" w:hAnsi="宋体"/>
                <w:sz w:val="16"/>
                <w:lang w:val="en-US" w:eastAsia="zh-CN"/>
              </w:rPr>
              <w:t>100%</w:t>
            </w:r>
          </w:p>
        </w:tc>
      </w:tr>
      <w:tr w14:paraId="3B29F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D12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212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685B5">
            <w:pPr>
              <w:jc w:val="center"/>
            </w:pPr>
            <w:r>
              <w:rPr>
                <w:rFonts w:ascii="宋体" w:hAnsi="宋体" w:eastAsia="宋体"/>
                <w:sz w:val="16"/>
              </w:rPr>
              <w:t>草原植被恢复费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66DE">
            <w:pPr>
              <w:jc w:val="center"/>
            </w:pPr>
            <w:r>
              <w:rPr>
                <w:rFonts w:ascii="宋体" w:hAnsi="宋体" w:eastAsia="宋体"/>
                <w:sz w:val="16"/>
              </w:rPr>
              <w:t>&lt;=0.5054万元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10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CF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F1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06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8A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DA73">
            <w:pPr>
              <w:jc w:val="center"/>
            </w:pPr>
            <w:r>
              <w:rPr>
                <w:rFonts w:ascii="宋体" w:hAnsi="宋体" w:eastAsia="宋体"/>
                <w:sz w:val="16"/>
              </w:rPr>
              <w:t>=0.5054万元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6DD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BC1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79AB">
            <w:pPr>
              <w:jc w:val="center"/>
            </w:pPr>
            <w:r>
              <w:rPr>
                <w:rFonts w:hint="eastAsia" w:ascii="宋体" w:hAnsi="宋体"/>
                <w:sz w:val="16"/>
                <w:lang w:val="en-US" w:eastAsia="zh-CN"/>
              </w:rPr>
              <w:t>100%</w:t>
            </w:r>
          </w:p>
        </w:tc>
      </w:tr>
      <w:tr w14:paraId="4AB9F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F22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329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B7854">
            <w:pPr>
              <w:jc w:val="center"/>
            </w:pPr>
            <w:r>
              <w:rPr>
                <w:rFonts w:ascii="宋体" w:hAnsi="宋体" w:eastAsia="宋体"/>
                <w:sz w:val="16"/>
              </w:rPr>
              <w:t>林地补偿费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5AA15">
            <w:pPr>
              <w:jc w:val="center"/>
            </w:pPr>
            <w:r>
              <w:rPr>
                <w:rFonts w:ascii="宋体" w:hAnsi="宋体" w:eastAsia="宋体"/>
                <w:sz w:val="16"/>
              </w:rPr>
              <w:t>&lt;=4.8401万元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A7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52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EA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F4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79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88D72">
            <w:pPr>
              <w:jc w:val="center"/>
            </w:pPr>
            <w:r>
              <w:rPr>
                <w:rFonts w:ascii="宋体" w:hAnsi="宋体" w:eastAsia="宋体"/>
                <w:sz w:val="16"/>
              </w:rPr>
              <w:t>=4.8401万元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2C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41F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F1CB">
            <w:pPr>
              <w:jc w:val="center"/>
            </w:pPr>
            <w:r>
              <w:rPr>
                <w:rFonts w:hint="eastAsia" w:ascii="宋体" w:hAnsi="宋体"/>
                <w:sz w:val="16"/>
                <w:lang w:val="en-US" w:eastAsia="zh-CN"/>
              </w:rPr>
              <w:t>100%</w:t>
            </w:r>
          </w:p>
        </w:tc>
      </w:tr>
      <w:tr w14:paraId="67B10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464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867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EE9EF">
            <w:pPr>
              <w:jc w:val="center"/>
            </w:pPr>
            <w:r>
              <w:rPr>
                <w:rFonts w:ascii="宋体" w:hAnsi="宋体" w:eastAsia="宋体"/>
                <w:sz w:val="16"/>
              </w:rPr>
              <w:t>森林植被恢复费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02E5">
            <w:pPr>
              <w:jc w:val="center"/>
            </w:pPr>
            <w:r>
              <w:rPr>
                <w:rFonts w:ascii="宋体" w:hAnsi="宋体" w:eastAsia="宋体"/>
                <w:sz w:val="16"/>
              </w:rPr>
              <w:t>&lt;=2.52万元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66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89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AE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FC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355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A126D">
            <w:pPr>
              <w:jc w:val="center"/>
            </w:pPr>
            <w:r>
              <w:rPr>
                <w:rFonts w:ascii="宋体" w:hAnsi="宋体" w:eastAsia="宋体"/>
                <w:sz w:val="16"/>
              </w:rPr>
              <w:t>=2.52万元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15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7416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A45B">
            <w:pPr>
              <w:jc w:val="center"/>
            </w:pPr>
            <w:r>
              <w:rPr>
                <w:rFonts w:hint="eastAsia" w:ascii="宋体" w:hAnsi="宋体"/>
                <w:sz w:val="16"/>
                <w:lang w:val="en-US" w:eastAsia="zh-CN"/>
              </w:rPr>
              <w:t>100%</w:t>
            </w:r>
          </w:p>
        </w:tc>
      </w:tr>
      <w:tr w14:paraId="27C46F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61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099C">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58D27">
            <w:pPr>
              <w:jc w:val="center"/>
            </w:pPr>
            <w:r>
              <w:rPr>
                <w:rFonts w:ascii="宋体" w:hAnsi="宋体" w:eastAsia="宋体"/>
                <w:sz w:val="16"/>
              </w:rPr>
              <w:t>保障项目顺利开展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B44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B44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35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D6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5C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E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860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EF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703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8303">
            <w:pPr>
              <w:jc w:val="center"/>
            </w:pPr>
            <w:r>
              <w:rPr>
                <w:rFonts w:hint="eastAsia" w:ascii="宋体" w:hAnsi="宋体"/>
                <w:sz w:val="16"/>
                <w:lang w:val="en-US" w:eastAsia="zh-CN"/>
              </w:rPr>
              <w:t>100%</w:t>
            </w:r>
          </w:p>
        </w:tc>
      </w:tr>
      <w:tr w14:paraId="2605CA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41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561C">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2FF68">
            <w:pPr>
              <w:jc w:val="center"/>
            </w:pPr>
            <w:r>
              <w:rPr>
                <w:rFonts w:ascii="宋体" w:hAnsi="宋体" w:eastAsia="宋体"/>
                <w:sz w:val="16"/>
              </w:rPr>
              <w:t>林草地补偿群众满意度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CF74">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85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F2D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3F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F11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3C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38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13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DA89">
            <w:pPr>
              <w:jc w:val="center"/>
            </w:pPr>
            <w:r>
              <w:rPr>
                <w:rFonts w:ascii="宋体" w:hAnsi="宋体" w:eastAsia="宋体"/>
                <w:sz w:val="16"/>
              </w:rPr>
              <w:t>因项目完成情况较好，林草地补偿群众满意度较高，所以出现正偏差。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5444">
            <w:pPr>
              <w:jc w:val="center"/>
            </w:pPr>
            <w:r>
              <w:rPr>
                <w:rFonts w:hint="eastAsia" w:ascii="宋体" w:hAnsi="宋体"/>
                <w:sz w:val="16"/>
                <w:lang w:val="en-US" w:eastAsia="zh-CN"/>
              </w:rPr>
              <w:t>100%</w:t>
            </w:r>
          </w:p>
        </w:tc>
      </w:tr>
      <w:tr w14:paraId="5BE740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FD4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57E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92E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962FB3">
            <w:pPr>
              <w:jc w:val="center"/>
            </w:pPr>
            <w:r>
              <w:rPr>
                <w:rFonts w:ascii="宋体" w:hAnsi="宋体" w:eastAsia="宋体"/>
                <w:sz w:val="16"/>
              </w:rPr>
              <w:t>100分</w:t>
            </w:r>
          </w:p>
        </w:tc>
      </w:tr>
    </w:tbl>
    <w:p w14:paraId="018DECD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436"/>
        <w:gridCol w:w="828"/>
        <w:gridCol w:w="632"/>
      </w:tblGrid>
      <w:tr w14:paraId="07B81BE3">
        <w:tblPrEx>
          <w:tblCellMar>
            <w:top w:w="0" w:type="dxa"/>
            <w:left w:w="108" w:type="dxa"/>
            <w:bottom w:w="0" w:type="dxa"/>
            <w:right w:w="108" w:type="dxa"/>
          </w:tblCellMar>
        </w:tblPrEx>
        <w:tc>
          <w:tcPr>
            <w:tcW w:w="9056" w:type="dxa"/>
            <w:gridSpan w:val="14"/>
            <w:vAlign w:val="center"/>
          </w:tcPr>
          <w:p w14:paraId="125F25E6">
            <w:pPr>
              <w:jc w:val="center"/>
            </w:pPr>
            <w:r>
              <w:rPr>
                <w:rFonts w:ascii="宋体" w:hAnsi="宋体" w:eastAsia="宋体"/>
                <w:sz w:val="24"/>
              </w:rPr>
              <w:t>项目支出绩效自评表</w:t>
            </w:r>
          </w:p>
        </w:tc>
      </w:tr>
      <w:tr w14:paraId="26B62C94">
        <w:tblPrEx>
          <w:tblCellMar>
            <w:top w:w="0" w:type="dxa"/>
            <w:left w:w="108" w:type="dxa"/>
            <w:bottom w:w="0" w:type="dxa"/>
            <w:right w:w="108" w:type="dxa"/>
          </w:tblCellMar>
        </w:tblPrEx>
        <w:tc>
          <w:tcPr>
            <w:tcW w:w="9056" w:type="dxa"/>
            <w:gridSpan w:val="14"/>
            <w:vAlign w:val="center"/>
          </w:tcPr>
          <w:p w14:paraId="6DF7F8F3">
            <w:pPr>
              <w:jc w:val="center"/>
            </w:pPr>
            <w:r>
              <w:rPr>
                <w:rFonts w:ascii="宋体" w:hAnsi="宋体" w:eastAsia="宋体"/>
                <w:sz w:val="24"/>
              </w:rPr>
              <w:t>(2024年度)</w:t>
            </w:r>
          </w:p>
        </w:tc>
      </w:tr>
      <w:tr w14:paraId="5D3C6E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BF361">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79BBEA">
            <w:pPr>
              <w:jc w:val="center"/>
            </w:pPr>
            <w:r>
              <w:rPr>
                <w:rFonts w:ascii="宋体" w:hAnsi="宋体" w:eastAsia="宋体"/>
                <w:sz w:val="16"/>
              </w:rPr>
              <w:t>班迪尔乡车辆采购项目</w:t>
            </w:r>
          </w:p>
        </w:tc>
      </w:tr>
      <w:tr w14:paraId="49F073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3120">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B8AEFF">
            <w:pPr>
              <w:jc w:val="center"/>
            </w:pPr>
            <w:r>
              <w:rPr>
                <w:rFonts w:ascii="宋体" w:hAnsi="宋体" w:eastAsia="宋体"/>
                <w:sz w:val="16"/>
              </w:rPr>
              <w:t>塔什库尔干塔吉克自治县班迪尔乡人民政府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7745">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C85CD2">
            <w:pPr>
              <w:jc w:val="center"/>
            </w:pPr>
            <w:r>
              <w:rPr>
                <w:rFonts w:ascii="宋体" w:hAnsi="宋体" w:eastAsia="宋体"/>
                <w:sz w:val="16"/>
              </w:rPr>
              <w:t>塔什库尔干塔吉克自治县班迪尔乡人民政府</w:t>
            </w:r>
          </w:p>
        </w:tc>
      </w:tr>
      <w:tr w14:paraId="5C80B4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8B2B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A41E4">
            <w:pPr>
              <w:jc w:val="center"/>
            </w:pPr>
            <w:r>
              <w:rPr>
                <w:rFonts w:ascii="宋体" w:hAnsi="宋体" w:eastAsia="宋体"/>
                <w:sz w:val="16"/>
              </w:rPr>
              <w:t>资金来源</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0B1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4EF5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14794">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FB9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5A7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C0FD">
            <w:pPr>
              <w:jc w:val="center"/>
            </w:pPr>
            <w:r>
              <w:rPr>
                <w:rFonts w:ascii="宋体" w:hAnsi="宋体" w:eastAsia="宋体"/>
                <w:sz w:val="16"/>
              </w:rPr>
              <w:t>得分</w:t>
            </w:r>
          </w:p>
        </w:tc>
      </w:tr>
      <w:tr w14:paraId="178FBD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955B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ADB75">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9F302">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26495">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EB3AA">
            <w:pPr>
              <w:jc w:val="center"/>
            </w:pPr>
            <w:r>
              <w:rPr>
                <w:rFonts w:ascii="宋体" w:hAnsi="宋体" w:eastAsia="宋体"/>
                <w:sz w:val="16"/>
              </w:rPr>
              <w:t>16.53</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937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5C28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240A">
            <w:pPr>
              <w:jc w:val="center"/>
            </w:pPr>
            <w:r>
              <w:rPr>
                <w:rFonts w:ascii="宋体" w:hAnsi="宋体" w:eastAsia="宋体"/>
                <w:sz w:val="16"/>
              </w:rPr>
              <w:t>10.00分</w:t>
            </w:r>
          </w:p>
        </w:tc>
      </w:tr>
      <w:tr w14:paraId="0AFDA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CDA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5D244">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5107E">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E7EFB">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46346">
            <w:pPr>
              <w:jc w:val="center"/>
            </w:pPr>
            <w:r>
              <w:rPr>
                <w:rFonts w:ascii="宋体" w:hAnsi="宋体" w:eastAsia="宋体"/>
                <w:sz w:val="16"/>
              </w:rPr>
              <w:t>16.53</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74C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D12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972C">
            <w:pPr>
              <w:jc w:val="center"/>
            </w:pPr>
            <w:r>
              <w:rPr>
                <w:rFonts w:ascii="宋体" w:hAnsi="宋体" w:eastAsia="宋体"/>
                <w:sz w:val="16"/>
              </w:rPr>
              <w:t>—</w:t>
            </w:r>
          </w:p>
        </w:tc>
      </w:tr>
      <w:tr w14:paraId="60BAF9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308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DCF23">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C2A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208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50469">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3F5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B96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245D">
            <w:pPr>
              <w:jc w:val="center"/>
            </w:pPr>
            <w:r>
              <w:rPr>
                <w:rFonts w:ascii="宋体" w:hAnsi="宋体" w:eastAsia="宋体"/>
                <w:sz w:val="16"/>
              </w:rPr>
              <w:t>—</w:t>
            </w:r>
          </w:p>
        </w:tc>
      </w:tr>
      <w:tr w14:paraId="4134B8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2ED8C">
            <w:pPr>
              <w:jc w:val="center"/>
            </w:pPr>
            <w:r>
              <w:rPr>
                <w:rFonts w:ascii="宋体" w:hAnsi="宋体" w:eastAsia="宋体"/>
                <w:sz w:val="16"/>
              </w:rPr>
              <w:t>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3F50DE">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7EEE60">
            <w:pPr>
              <w:jc w:val="center"/>
            </w:pPr>
            <w:r>
              <w:rPr>
                <w:rFonts w:ascii="宋体" w:hAnsi="宋体" w:eastAsia="宋体"/>
                <w:sz w:val="16"/>
              </w:rPr>
              <w:t>实际完成情况</w:t>
            </w:r>
          </w:p>
        </w:tc>
      </w:tr>
      <w:tr w14:paraId="27E4D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FBB6F"/>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B280AC">
            <w:pPr>
              <w:jc w:val="both"/>
            </w:pPr>
            <w:r>
              <w:rPr>
                <w:rFonts w:ascii="宋体" w:hAnsi="宋体" w:eastAsia="宋体"/>
                <w:sz w:val="16"/>
              </w:rPr>
              <w:t>该项目用于为班迪尔乡人民政府公务车辆编制内采购车辆1辆，需解决资金16.58万元。通过该项目的实施保障日常出勤、工作使用，质量合格，确保乘车人及其他人交通安全，确保行政机关交通便利，使服务对象满意度达到95%以上。</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372343">
            <w:pPr>
              <w:jc w:val="both"/>
            </w:pPr>
            <w:r>
              <w:rPr>
                <w:rFonts w:ascii="宋体" w:hAnsi="宋体" w:eastAsia="宋体"/>
                <w:sz w:val="16"/>
              </w:rPr>
              <w:t>该项目实际支出16.53万元，用于为班迪尔乡人民政府公务车辆编制内采购车辆1辆，目前已完成，车辆采购验收合格率达100%，资金支付及时率达100%，通过购买车辆，保障了工作人员日常出勤、工作使用，保障了乘车人及其他人的交通安全，确保行政机关交通便利，使服务对象满意度达到了100%。</w:t>
            </w:r>
          </w:p>
        </w:tc>
      </w:tr>
      <w:tr w14:paraId="6149C6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D3B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B073">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BEFCC">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3136A2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57B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D4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1513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80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23F6B">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381982">
            <w:pPr>
              <w:jc w:val="center"/>
            </w:pPr>
            <w:r>
              <w:rPr>
                <w:rFonts w:ascii="宋体" w:hAnsi="宋体" w:eastAsia="宋体"/>
                <w:sz w:val="16"/>
              </w:rPr>
              <w:t>实际完成值</w:t>
            </w:r>
          </w:p>
        </w:tc>
        <w:tc>
          <w:tcPr>
            <w:tcW w:w="436" w:type="dxa"/>
            <w:tcBorders>
              <w:top w:val="single" w:color="auto" w:sz="10" w:space="0"/>
              <w:left w:val="single" w:color="auto" w:sz="10" w:space="0"/>
              <w:bottom w:val="single" w:color="auto" w:sz="10" w:space="0"/>
              <w:right w:val="single" w:color="auto" w:sz="10" w:space="0"/>
              <w:insideV w:val="single" w:sz="10" w:space="0"/>
            </w:tcBorders>
            <w:vAlign w:val="center"/>
          </w:tcPr>
          <w:p w14:paraId="3CB1C9D2">
            <w:pPr>
              <w:jc w:val="center"/>
            </w:pPr>
            <w:r>
              <w:rPr>
                <w:rFonts w:ascii="宋体" w:hAnsi="宋体" w:eastAsia="宋体"/>
                <w:sz w:val="16"/>
              </w:rPr>
              <w:t>得分</w:t>
            </w:r>
          </w:p>
        </w:tc>
        <w:tc>
          <w:tcPr>
            <w:tcW w:w="828" w:type="dxa"/>
            <w:tcBorders>
              <w:top w:val="single" w:color="auto" w:sz="10" w:space="0"/>
              <w:left w:val="single" w:color="auto" w:sz="10" w:space="0"/>
              <w:bottom w:val="single" w:color="auto" w:sz="10" w:space="0"/>
              <w:right w:val="single" w:color="auto" w:sz="10" w:space="0"/>
              <w:insideV w:val="single" w:sz="10" w:space="0"/>
            </w:tcBorders>
            <w:vAlign w:val="center"/>
          </w:tcPr>
          <w:p w14:paraId="2EEC4535">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C44F1">
            <w:pPr>
              <w:jc w:val="center"/>
            </w:pPr>
            <w:r>
              <w:rPr>
                <w:rFonts w:ascii="宋体" w:hAnsi="宋体" w:eastAsia="宋体"/>
                <w:sz w:val="16"/>
              </w:rPr>
              <w:t>完成率</w:t>
            </w:r>
          </w:p>
        </w:tc>
      </w:tr>
      <w:tr w14:paraId="71C6BF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1E37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FB725">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ECCFB">
            <w:pPr>
              <w:jc w:val="center"/>
            </w:pPr>
            <w:r>
              <w:rPr>
                <w:rFonts w:ascii="宋体" w:hAnsi="宋体" w:eastAsia="宋体"/>
                <w:sz w:val="16"/>
              </w:rPr>
              <w:t>采购车辆数量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7783C0">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D0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DA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E5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FF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914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7C31A4">
            <w:pPr>
              <w:jc w:val="center"/>
            </w:pPr>
            <w:r>
              <w:rPr>
                <w:rFonts w:ascii="宋体" w:hAnsi="宋体" w:eastAsia="宋体"/>
                <w:sz w:val="16"/>
              </w:rPr>
              <w:t>=1辆</w:t>
            </w:r>
          </w:p>
        </w:tc>
        <w:tc>
          <w:tcPr>
            <w:tcW w:w="436" w:type="dxa"/>
            <w:tcBorders>
              <w:top w:val="single" w:color="auto" w:sz="10" w:space="0"/>
              <w:left w:val="single" w:color="auto" w:sz="10" w:space="0"/>
              <w:bottom w:val="single" w:color="auto" w:sz="10" w:space="0"/>
              <w:right w:val="single" w:color="auto" w:sz="10" w:space="0"/>
              <w:insideV w:val="single" w:sz="10" w:space="0"/>
            </w:tcBorders>
            <w:vAlign w:val="center"/>
          </w:tcPr>
          <w:p w14:paraId="66504D5C">
            <w:pPr>
              <w:jc w:val="center"/>
            </w:pPr>
            <w:r>
              <w:rPr>
                <w:rFonts w:ascii="宋体" w:hAnsi="宋体" w:eastAsia="宋体"/>
                <w:sz w:val="16"/>
              </w:rPr>
              <w:t>10</w:t>
            </w:r>
          </w:p>
        </w:tc>
        <w:tc>
          <w:tcPr>
            <w:tcW w:w="828" w:type="dxa"/>
            <w:tcBorders>
              <w:top w:val="single" w:color="auto" w:sz="10" w:space="0"/>
              <w:left w:val="single" w:color="auto" w:sz="10" w:space="0"/>
              <w:bottom w:val="single" w:color="auto" w:sz="10" w:space="0"/>
              <w:right w:val="single" w:color="auto" w:sz="10" w:space="0"/>
              <w:insideV w:val="single" w:sz="10" w:space="0"/>
            </w:tcBorders>
            <w:vAlign w:val="center"/>
          </w:tcPr>
          <w:p w14:paraId="63C212F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96F10">
            <w:pPr>
              <w:jc w:val="center"/>
            </w:pPr>
            <w:r>
              <w:rPr>
                <w:rFonts w:hint="eastAsia" w:ascii="宋体" w:hAnsi="宋体"/>
                <w:sz w:val="16"/>
                <w:lang w:val="en-US" w:eastAsia="zh-CN"/>
              </w:rPr>
              <w:t>100%</w:t>
            </w:r>
          </w:p>
        </w:tc>
      </w:tr>
      <w:tr w14:paraId="7CFA86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B95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F71A">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486E5">
            <w:pPr>
              <w:jc w:val="center"/>
            </w:pPr>
            <w:r>
              <w:rPr>
                <w:rFonts w:ascii="宋体" w:hAnsi="宋体" w:eastAsia="宋体"/>
                <w:sz w:val="16"/>
              </w:rPr>
              <w:t>车辆采购验收合格率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F937A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A2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8F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B1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82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55E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E6E595">
            <w:pPr>
              <w:jc w:val="center"/>
            </w:pPr>
            <w:r>
              <w:rPr>
                <w:rFonts w:ascii="宋体" w:hAnsi="宋体" w:eastAsia="宋体"/>
                <w:sz w:val="16"/>
              </w:rPr>
              <w:t>=100%</w:t>
            </w:r>
          </w:p>
        </w:tc>
        <w:tc>
          <w:tcPr>
            <w:tcW w:w="436" w:type="dxa"/>
            <w:tcBorders>
              <w:top w:val="single" w:color="auto" w:sz="10" w:space="0"/>
              <w:left w:val="single" w:color="auto" w:sz="10" w:space="0"/>
              <w:bottom w:val="single" w:color="auto" w:sz="10" w:space="0"/>
              <w:right w:val="single" w:color="auto" w:sz="10" w:space="0"/>
              <w:insideV w:val="single" w:sz="10" w:space="0"/>
            </w:tcBorders>
            <w:vAlign w:val="center"/>
          </w:tcPr>
          <w:p w14:paraId="4AB45E2A">
            <w:pPr>
              <w:jc w:val="center"/>
            </w:pPr>
            <w:r>
              <w:rPr>
                <w:rFonts w:ascii="宋体" w:hAnsi="宋体" w:eastAsia="宋体"/>
                <w:sz w:val="16"/>
              </w:rPr>
              <w:t>10</w:t>
            </w:r>
          </w:p>
        </w:tc>
        <w:tc>
          <w:tcPr>
            <w:tcW w:w="828" w:type="dxa"/>
            <w:tcBorders>
              <w:top w:val="single" w:color="auto" w:sz="10" w:space="0"/>
              <w:left w:val="single" w:color="auto" w:sz="10" w:space="0"/>
              <w:bottom w:val="single" w:color="auto" w:sz="10" w:space="0"/>
              <w:right w:val="single" w:color="auto" w:sz="10" w:space="0"/>
              <w:insideV w:val="single" w:sz="10" w:space="0"/>
            </w:tcBorders>
            <w:vAlign w:val="center"/>
          </w:tcPr>
          <w:p w14:paraId="7B7967D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F5BB">
            <w:pPr>
              <w:jc w:val="center"/>
            </w:pPr>
            <w:r>
              <w:rPr>
                <w:rFonts w:hint="eastAsia" w:ascii="宋体" w:hAnsi="宋体"/>
                <w:sz w:val="16"/>
                <w:lang w:val="en-US" w:eastAsia="zh-CN"/>
              </w:rPr>
              <w:t>100%</w:t>
            </w:r>
          </w:p>
        </w:tc>
      </w:tr>
      <w:tr w14:paraId="704A61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551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61537">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6594F">
            <w:pPr>
              <w:jc w:val="center"/>
            </w:pPr>
            <w:r>
              <w:rPr>
                <w:rFonts w:ascii="宋体" w:hAnsi="宋体" w:eastAsia="宋体"/>
                <w:sz w:val="16"/>
              </w:rPr>
              <w:t>车辆采购完成时间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6BB89C3">
            <w:pPr>
              <w:jc w:val="center"/>
            </w:pPr>
            <w:r>
              <w:rPr>
                <w:rFonts w:ascii="宋体" w:hAnsi="宋体" w:eastAsia="宋体"/>
                <w:sz w:val="16"/>
              </w:rPr>
              <w:t>=2024年3月31日前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EE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C8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A8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B3C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D92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A2B5A6">
            <w:pPr>
              <w:jc w:val="center"/>
            </w:pPr>
            <w:r>
              <w:rPr>
                <w:rFonts w:ascii="宋体" w:hAnsi="宋体" w:eastAsia="宋体"/>
                <w:sz w:val="16"/>
              </w:rPr>
              <w:t>=2024年3月3日</w:t>
            </w:r>
          </w:p>
        </w:tc>
        <w:tc>
          <w:tcPr>
            <w:tcW w:w="436" w:type="dxa"/>
            <w:tcBorders>
              <w:top w:val="single" w:color="auto" w:sz="10" w:space="0"/>
              <w:left w:val="single" w:color="auto" w:sz="10" w:space="0"/>
              <w:bottom w:val="single" w:color="auto" w:sz="10" w:space="0"/>
              <w:right w:val="single" w:color="auto" w:sz="10" w:space="0"/>
              <w:insideV w:val="single" w:sz="10" w:space="0"/>
            </w:tcBorders>
            <w:vAlign w:val="center"/>
          </w:tcPr>
          <w:p w14:paraId="03DC78F9">
            <w:pPr>
              <w:jc w:val="center"/>
            </w:pPr>
            <w:r>
              <w:rPr>
                <w:rFonts w:ascii="宋体" w:hAnsi="宋体" w:eastAsia="宋体"/>
                <w:sz w:val="16"/>
              </w:rPr>
              <w:t>10</w:t>
            </w:r>
          </w:p>
        </w:tc>
        <w:tc>
          <w:tcPr>
            <w:tcW w:w="828" w:type="dxa"/>
            <w:tcBorders>
              <w:top w:val="single" w:color="auto" w:sz="10" w:space="0"/>
              <w:left w:val="single" w:color="auto" w:sz="10" w:space="0"/>
              <w:bottom w:val="single" w:color="auto" w:sz="10" w:space="0"/>
              <w:right w:val="single" w:color="auto" w:sz="10" w:space="0"/>
              <w:insideV w:val="single" w:sz="10" w:space="0"/>
            </w:tcBorders>
            <w:vAlign w:val="center"/>
          </w:tcPr>
          <w:p w14:paraId="5952EDA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0429">
            <w:pPr>
              <w:jc w:val="center"/>
            </w:pPr>
            <w:r>
              <w:rPr>
                <w:rFonts w:hint="eastAsia" w:ascii="宋体" w:hAnsi="宋体"/>
                <w:sz w:val="16"/>
                <w:lang w:val="en-US" w:eastAsia="zh-CN"/>
              </w:rPr>
              <w:t>100%</w:t>
            </w:r>
          </w:p>
        </w:tc>
      </w:tr>
      <w:tr w14:paraId="2DB69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3C7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5AC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10671">
            <w:pPr>
              <w:jc w:val="center"/>
            </w:pPr>
            <w:r>
              <w:rPr>
                <w:rFonts w:ascii="宋体" w:hAnsi="宋体" w:eastAsia="宋体"/>
                <w:sz w:val="16"/>
              </w:rPr>
              <w:t>资金拨付及时率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F00E4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8A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4F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C03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A1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B2E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8AC95E">
            <w:pPr>
              <w:jc w:val="center"/>
            </w:pPr>
            <w:r>
              <w:rPr>
                <w:rFonts w:ascii="宋体" w:hAnsi="宋体" w:eastAsia="宋体"/>
                <w:sz w:val="16"/>
              </w:rPr>
              <w:t>=100%</w:t>
            </w:r>
          </w:p>
        </w:tc>
        <w:tc>
          <w:tcPr>
            <w:tcW w:w="436" w:type="dxa"/>
            <w:tcBorders>
              <w:top w:val="single" w:color="auto" w:sz="10" w:space="0"/>
              <w:left w:val="single" w:color="auto" w:sz="10" w:space="0"/>
              <w:bottom w:val="single" w:color="auto" w:sz="10" w:space="0"/>
              <w:right w:val="single" w:color="auto" w:sz="10" w:space="0"/>
              <w:insideV w:val="single" w:sz="10" w:space="0"/>
            </w:tcBorders>
            <w:vAlign w:val="center"/>
          </w:tcPr>
          <w:p w14:paraId="767AD155">
            <w:pPr>
              <w:jc w:val="center"/>
            </w:pPr>
            <w:r>
              <w:rPr>
                <w:rFonts w:ascii="宋体" w:hAnsi="宋体" w:eastAsia="宋体"/>
                <w:sz w:val="16"/>
              </w:rPr>
              <w:t>10</w:t>
            </w:r>
          </w:p>
        </w:tc>
        <w:tc>
          <w:tcPr>
            <w:tcW w:w="828" w:type="dxa"/>
            <w:tcBorders>
              <w:top w:val="single" w:color="auto" w:sz="10" w:space="0"/>
              <w:left w:val="single" w:color="auto" w:sz="10" w:space="0"/>
              <w:bottom w:val="single" w:color="auto" w:sz="10" w:space="0"/>
              <w:right w:val="single" w:color="auto" w:sz="10" w:space="0"/>
              <w:insideV w:val="single" w:sz="10" w:space="0"/>
            </w:tcBorders>
            <w:vAlign w:val="center"/>
          </w:tcPr>
          <w:p w14:paraId="433C841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4767">
            <w:pPr>
              <w:jc w:val="center"/>
            </w:pPr>
            <w:r>
              <w:rPr>
                <w:rFonts w:hint="eastAsia" w:ascii="宋体" w:hAnsi="宋体"/>
                <w:sz w:val="16"/>
                <w:lang w:val="en-US" w:eastAsia="zh-CN"/>
              </w:rPr>
              <w:t>100%</w:t>
            </w:r>
          </w:p>
        </w:tc>
      </w:tr>
      <w:tr w14:paraId="7E9FEB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D468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0765">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BC2C9">
            <w:pPr>
              <w:jc w:val="center"/>
            </w:pPr>
            <w:r>
              <w:rPr>
                <w:rFonts w:ascii="宋体" w:hAnsi="宋体" w:eastAsia="宋体"/>
                <w:sz w:val="16"/>
              </w:rPr>
              <w:t>购买车辆成本费用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51B6B22">
            <w:pPr>
              <w:jc w:val="center"/>
            </w:pPr>
            <w:r>
              <w:rPr>
                <w:rFonts w:ascii="宋体" w:hAnsi="宋体" w:eastAsia="宋体"/>
                <w:sz w:val="16"/>
              </w:rPr>
              <w:t>&lt;=16.53万元/辆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937B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38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A3D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79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E9DBB">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24C886">
            <w:pPr>
              <w:jc w:val="center"/>
            </w:pPr>
            <w:r>
              <w:rPr>
                <w:rFonts w:ascii="宋体" w:hAnsi="宋体" w:eastAsia="宋体"/>
                <w:sz w:val="16"/>
              </w:rPr>
              <w:t>=16.53万元/辆</w:t>
            </w:r>
          </w:p>
        </w:tc>
        <w:tc>
          <w:tcPr>
            <w:tcW w:w="436" w:type="dxa"/>
            <w:tcBorders>
              <w:top w:val="single" w:color="auto" w:sz="10" w:space="0"/>
              <w:left w:val="single" w:color="auto" w:sz="10" w:space="0"/>
              <w:bottom w:val="single" w:color="auto" w:sz="10" w:space="0"/>
              <w:right w:val="single" w:color="auto" w:sz="10" w:space="0"/>
              <w:insideV w:val="single" w:sz="10" w:space="0"/>
            </w:tcBorders>
            <w:vAlign w:val="center"/>
          </w:tcPr>
          <w:p w14:paraId="79F2DEC0">
            <w:pPr>
              <w:jc w:val="center"/>
            </w:pPr>
            <w:r>
              <w:rPr>
                <w:rFonts w:ascii="宋体" w:hAnsi="宋体" w:eastAsia="宋体"/>
                <w:sz w:val="16"/>
              </w:rPr>
              <w:t>20</w:t>
            </w:r>
          </w:p>
        </w:tc>
        <w:tc>
          <w:tcPr>
            <w:tcW w:w="828" w:type="dxa"/>
            <w:tcBorders>
              <w:top w:val="single" w:color="auto" w:sz="10" w:space="0"/>
              <w:left w:val="single" w:color="auto" w:sz="10" w:space="0"/>
              <w:bottom w:val="single" w:color="auto" w:sz="10" w:space="0"/>
              <w:right w:val="single" w:color="auto" w:sz="10" w:space="0"/>
              <w:insideV w:val="single" w:sz="10" w:space="0"/>
            </w:tcBorders>
            <w:vAlign w:val="center"/>
          </w:tcPr>
          <w:p w14:paraId="0F45320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D90AF">
            <w:pPr>
              <w:jc w:val="center"/>
            </w:pPr>
            <w:r>
              <w:rPr>
                <w:rFonts w:hint="eastAsia" w:ascii="宋体" w:hAnsi="宋体"/>
                <w:sz w:val="16"/>
                <w:lang w:val="en-US" w:eastAsia="zh-CN"/>
              </w:rPr>
              <w:t>100%</w:t>
            </w:r>
          </w:p>
        </w:tc>
      </w:tr>
      <w:tr w14:paraId="6F48CD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4F0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5310F">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D0DB9">
            <w:pPr>
              <w:jc w:val="center"/>
            </w:pPr>
            <w:r>
              <w:rPr>
                <w:rFonts w:ascii="宋体" w:hAnsi="宋体" w:eastAsia="宋体"/>
                <w:sz w:val="16"/>
              </w:rPr>
              <w:t>确保行政机关交通便利</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ED550A1">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7BD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AB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88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D6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BE943">
            <w:pPr>
              <w:jc w:val="center"/>
            </w:pPr>
            <w:r>
              <w:rPr>
                <w:rFonts w:ascii="宋体" w:hAnsi="宋体" w:eastAsia="宋体"/>
                <w:sz w:val="16"/>
              </w:rPr>
              <w:t>工作资料,说明材料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79BB83">
            <w:pPr>
              <w:jc w:val="center"/>
            </w:pPr>
            <w:r>
              <w:rPr>
                <w:rFonts w:ascii="宋体" w:hAnsi="宋体" w:eastAsia="宋体"/>
                <w:sz w:val="16"/>
              </w:rPr>
              <w:t>确保</w:t>
            </w:r>
          </w:p>
        </w:tc>
        <w:tc>
          <w:tcPr>
            <w:tcW w:w="436" w:type="dxa"/>
            <w:tcBorders>
              <w:top w:val="single" w:color="auto" w:sz="10" w:space="0"/>
              <w:left w:val="single" w:color="auto" w:sz="10" w:space="0"/>
              <w:bottom w:val="single" w:color="auto" w:sz="10" w:space="0"/>
              <w:right w:val="single" w:color="auto" w:sz="10" w:space="0"/>
              <w:insideV w:val="single" w:sz="10" w:space="0"/>
            </w:tcBorders>
            <w:vAlign w:val="center"/>
          </w:tcPr>
          <w:p w14:paraId="4921E0C0">
            <w:pPr>
              <w:jc w:val="center"/>
            </w:pPr>
            <w:r>
              <w:rPr>
                <w:rFonts w:ascii="宋体" w:hAnsi="宋体" w:eastAsia="宋体"/>
                <w:sz w:val="16"/>
              </w:rPr>
              <w:t>20</w:t>
            </w:r>
          </w:p>
        </w:tc>
        <w:tc>
          <w:tcPr>
            <w:tcW w:w="828" w:type="dxa"/>
            <w:tcBorders>
              <w:top w:val="single" w:color="auto" w:sz="10" w:space="0"/>
              <w:left w:val="single" w:color="auto" w:sz="10" w:space="0"/>
              <w:bottom w:val="single" w:color="auto" w:sz="10" w:space="0"/>
              <w:right w:val="single" w:color="auto" w:sz="10" w:space="0"/>
              <w:insideV w:val="single" w:sz="10" w:space="0"/>
            </w:tcBorders>
            <w:vAlign w:val="center"/>
          </w:tcPr>
          <w:p w14:paraId="7537901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D2CD">
            <w:pPr>
              <w:jc w:val="center"/>
            </w:pPr>
            <w:r>
              <w:rPr>
                <w:rFonts w:hint="eastAsia" w:ascii="宋体" w:hAnsi="宋体"/>
                <w:sz w:val="16"/>
                <w:lang w:val="en-US" w:eastAsia="zh-CN"/>
              </w:rPr>
              <w:t>100%</w:t>
            </w:r>
          </w:p>
        </w:tc>
      </w:tr>
      <w:tr w14:paraId="1E860D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65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53A3">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7EC25">
            <w:pPr>
              <w:jc w:val="center"/>
            </w:pPr>
            <w:r>
              <w:rPr>
                <w:rFonts w:ascii="宋体" w:hAnsi="宋体" w:eastAsia="宋体"/>
                <w:sz w:val="16"/>
              </w:rPr>
              <w:t>行政人员满意度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1C269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14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D7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589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BA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0678F">
            <w:pPr>
              <w:jc w:val="center"/>
            </w:pPr>
            <w:r>
              <w:rPr>
                <w:rFonts w:ascii="宋体" w:hAnsi="宋体" w:eastAsia="宋体"/>
                <w:sz w:val="16"/>
              </w:rPr>
              <w:t>说明材料,工作资料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9CDFF2">
            <w:pPr>
              <w:jc w:val="center"/>
            </w:pPr>
            <w:r>
              <w:rPr>
                <w:rFonts w:ascii="宋体" w:hAnsi="宋体" w:eastAsia="宋体"/>
                <w:sz w:val="16"/>
              </w:rPr>
              <w:t>=100%</w:t>
            </w:r>
          </w:p>
        </w:tc>
        <w:tc>
          <w:tcPr>
            <w:tcW w:w="436" w:type="dxa"/>
            <w:tcBorders>
              <w:top w:val="single" w:color="auto" w:sz="10" w:space="0"/>
              <w:left w:val="single" w:color="auto" w:sz="10" w:space="0"/>
              <w:bottom w:val="single" w:color="auto" w:sz="10" w:space="0"/>
              <w:right w:val="single" w:color="auto" w:sz="10" w:space="0"/>
              <w:insideV w:val="single" w:sz="10" w:space="0"/>
            </w:tcBorders>
            <w:vAlign w:val="center"/>
          </w:tcPr>
          <w:p w14:paraId="603145E1">
            <w:pPr>
              <w:jc w:val="center"/>
            </w:pPr>
            <w:r>
              <w:rPr>
                <w:rFonts w:ascii="宋体" w:hAnsi="宋体" w:eastAsia="宋体"/>
                <w:sz w:val="16"/>
              </w:rPr>
              <w:t>10</w:t>
            </w:r>
          </w:p>
        </w:tc>
        <w:tc>
          <w:tcPr>
            <w:tcW w:w="828" w:type="dxa"/>
            <w:tcBorders>
              <w:top w:val="single" w:color="auto" w:sz="10" w:space="0"/>
              <w:left w:val="single" w:color="auto" w:sz="10" w:space="0"/>
              <w:bottom w:val="single" w:color="auto" w:sz="10" w:space="0"/>
              <w:right w:val="single" w:color="auto" w:sz="10" w:space="0"/>
              <w:insideV w:val="single" w:sz="10" w:space="0"/>
            </w:tcBorders>
            <w:vAlign w:val="center"/>
          </w:tcPr>
          <w:p w14:paraId="52EE3FAD">
            <w:pPr>
              <w:jc w:val="center"/>
            </w:pPr>
            <w:r>
              <w:rPr>
                <w:rFonts w:ascii="宋体" w:hAnsi="宋体" w:eastAsia="宋体"/>
                <w:sz w:val="16"/>
              </w:rPr>
              <w:t>偏差原因：项目实施情况较好，行政人员满意度高于预期，导致出现正偏差，改进措施：基于当前良好表现，重新审视绩效目标，在以后绩效目标设置时设置更具挑战性的目标，以推动业务持续发展。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7B4E">
            <w:pPr>
              <w:jc w:val="center"/>
            </w:pPr>
            <w:r>
              <w:rPr>
                <w:rFonts w:hint="eastAsia" w:ascii="宋体" w:hAnsi="宋体"/>
                <w:sz w:val="16"/>
                <w:lang w:val="en-US" w:eastAsia="zh-CN"/>
              </w:rPr>
              <w:t>100%</w:t>
            </w:r>
          </w:p>
        </w:tc>
      </w:tr>
      <w:tr w14:paraId="7A608D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221D">
            <w:pPr>
              <w:jc w:val="center"/>
            </w:pPr>
            <w:r>
              <w:rPr>
                <w:rFonts w:ascii="宋体" w:hAnsi="宋体" w:eastAsia="宋体"/>
                <w:sz w:val="16"/>
              </w:rPr>
              <w:t>总分</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1A6A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CAD7">
            <w:pPr>
              <w:jc w:val="center"/>
            </w:pPr>
            <w:r>
              <w:rPr>
                <w:rFonts w:ascii="宋体" w:hAnsi="宋体" w:eastAsia="宋体"/>
                <w:sz w:val="16"/>
              </w:rPr>
              <w:t>得分</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8EC46E">
            <w:pPr>
              <w:jc w:val="center"/>
            </w:pPr>
            <w:r>
              <w:rPr>
                <w:rFonts w:ascii="宋体" w:hAnsi="宋体" w:eastAsia="宋体"/>
                <w:sz w:val="16"/>
              </w:rPr>
              <w:t>100分</w:t>
            </w:r>
          </w:p>
        </w:tc>
      </w:tr>
    </w:tbl>
    <w:p w14:paraId="4D7EED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D1E3077">
        <w:tblPrEx>
          <w:tblCellMar>
            <w:top w:w="0" w:type="dxa"/>
            <w:left w:w="108" w:type="dxa"/>
            <w:bottom w:w="0" w:type="dxa"/>
            <w:right w:w="108" w:type="dxa"/>
          </w:tblCellMar>
        </w:tblPrEx>
        <w:tc>
          <w:tcPr>
            <w:tcW w:w="8848" w:type="dxa"/>
            <w:gridSpan w:val="14"/>
            <w:vAlign w:val="center"/>
          </w:tcPr>
          <w:p w14:paraId="32CB1545">
            <w:pPr>
              <w:jc w:val="center"/>
            </w:pPr>
            <w:r>
              <w:rPr>
                <w:rFonts w:ascii="宋体" w:hAnsi="宋体" w:eastAsia="宋体"/>
                <w:sz w:val="24"/>
              </w:rPr>
              <w:t>项目支出绩效自评表</w:t>
            </w:r>
          </w:p>
        </w:tc>
      </w:tr>
      <w:tr w14:paraId="27997934">
        <w:tblPrEx>
          <w:tblCellMar>
            <w:top w:w="0" w:type="dxa"/>
            <w:left w:w="108" w:type="dxa"/>
            <w:bottom w:w="0" w:type="dxa"/>
            <w:right w:w="108" w:type="dxa"/>
          </w:tblCellMar>
        </w:tblPrEx>
        <w:tc>
          <w:tcPr>
            <w:tcW w:w="8848" w:type="dxa"/>
            <w:gridSpan w:val="14"/>
            <w:vAlign w:val="center"/>
          </w:tcPr>
          <w:p w14:paraId="2D98F9DB">
            <w:pPr>
              <w:jc w:val="center"/>
            </w:pPr>
            <w:r>
              <w:rPr>
                <w:rFonts w:ascii="宋体" w:hAnsi="宋体" w:eastAsia="宋体"/>
                <w:sz w:val="24"/>
              </w:rPr>
              <w:t>(2024年度)</w:t>
            </w:r>
          </w:p>
        </w:tc>
      </w:tr>
      <w:tr w14:paraId="6036BC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AF3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0B1E84">
            <w:pPr>
              <w:jc w:val="center"/>
            </w:pPr>
            <w:r>
              <w:rPr>
                <w:rFonts w:ascii="宋体" w:hAnsi="宋体" w:eastAsia="宋体"/>
                <w:sz w:val="16"/>
              </w:rPr>
              <w:t>班迪尔乡2024年文化站经费项目</w:t>
            </w:r>
          </w:p>
        </w:tc>
      </w:tr>
      <w:tr w14:paraId="11D67F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7BA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5E132A">
            <w:pPr>
              <w:jc w:val="center"/>
            </w:pPr>
            <w:r>
              <w:rPr>
                <w:rFonts w:ascii="宋体" w:hAnsi="宋体" w:eastAsia="宋体"/>
                <w:sz w:val="16"/>
              </w:rPr>
              <w:t>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A5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9D684E">
            <w:pPr>
              <w:jc w:val="center"/>
            </w:pPr>
            <w:r>
              <w:rPr>
                <w:rFonts w:ascii="宋体" w:hAnsi="宋体" w:eastAsia="宋体"/>
                <w:sz w:val="16"/>
              </w:rPr>
              <w:t>塔什库尔干塔吉克自治县班迪尔乡人民政府</w:t>
            </w:r>
          </w:p>
        </w:tc>
      </w:tr>
      <w:tr w14:paraId="0930A0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02D5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98BF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BE62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578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EF27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4D21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9E9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B670">
            <w:pPr>
              <w:jc w:val="center"/>
            </w:pPr>
            <w:r>
              <w:rPr>
                <w:rFonts w:ascii="宋体" w:hAnsi="宋体" w:eastAsia="宋体"/>
                <w:sz w:val="16"/>
              </w:rPr>
              <w:t>得分</w:t>
            </w:r>
          </w:p>
        </w:tc>
      </w:tr>
      <w:tr w14:paraId="31A963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7341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F33A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58B3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9F39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2EEA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CBF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F325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1A366">
            <w:pPr>
              <w:jc w:val="center"/>
            </w:pPr>
            <w:r>
              <w:rPr>
                <w:rFonts w:ascii="宋体" w:hAnsi="宋体" w:eastAsia="宋体"/>
                <w:sz w:val="16"/>
              </w:rPr>
              <w:t>10.00分</w:t>
            </w:r>
          </w:p>
        </w:tc>
      </w:tr>
      <w:tr w14:paraId="2E907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817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928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4F8B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C971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E635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4A8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51C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2715">
            <w:pPr>
              <w:jc w:val="center"/>
            </w:pPr>
            <w:r>
              <w:rPr>
                <w:rFonts w:ascii="宋体" w:hAnsi="宋体" w:eastAsia="宋体"/>
                <w:sz w:val="16"/>
              </w:rPr>
              <w:t>—</w:t>
            </w:r>
          </w:p>
        </w:tc>
      </w:tr>
      <w:tr w14:paraId="5729CE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E82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2001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0DF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BA0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C94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1F8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0EF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C537">
            <w:pPr>
              <w:jc w:val="center"/>
            </w:pPr>
            <w:r>
              <w:rPr>
                <w:rFonts w:ascii="宋体" w:hAnsi="宋体" w:eastAsia="宋体"/>
                <w:sz w:val="16"/>
              </w:rPr>
              <w:t>—</w:t>
            </w:r>
          </w:p>
        </w:tc>
      </w:tr>
      <w:tr w14:paraId="515570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3B7E0">
            <w:pPr>
              <w:jc w:val="center"/>
            </w:pPr>
            <w:r>
              <w:rPr>
                <w:rFonts w:ascii="宋体" w:hAnsi="宋体" w:eastAsia="宋体"/>
                <w:sz w:val="16"/>
              </w:rPr>
              <w:t>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DCC66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DF2A9B">
            <w:pPr>
              <w:jc w:val="center"/>
            </w:pPr>
            <w:r>
              <w:rPr>
                <w:rFonts w:ascii="宋体" w:hAnsi="宋体" w:eastAsia="宋体"/>
                <w:sz w:val="16"/>
              </w:rPr>
              <w:t>实际完成情况</w:t>
            </w:r>
          </w:p>
        </w:tc>
      </w:tr>
      <w:tr w14:paraId="115D4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45B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242B8E">
            <w:pPr>
              <w:jc w:val="both"/>
            </w:pPr>
            <w:r>
              <w:rPr>
                <w:rFonts w:ascii="宋体" w:hAnsi="宋体" w:eastAsia="宋体"/>
                <w:sz w:val="16"/>
              </w:rPr>
              <w:t>该项目预算安排资金5万元，其中：财政资金5万元，文化站经费共5万元，主要用于：我乡组织宣传文化采购广告牌等，花费1万元；更新硬件配套设施2万元；采购办公用品，2万元，共计5万元。通过该项目的实施可为本镇农牧民开展丰富多彩、健康向上的文化活动提供了场所和阵地，有利于丰富他们的精神文化生活，营造良好文化氛围，使服务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8D3336">
            <w:pPr>
              <w:jc w:val="both"/>
            </w:pPr>
            <w:r>
              <w:rPr>
                <w:rFonts w:ascii="宋体" w:hAnsi="宋体" w:eastAsia="宋体"/>
                <w:sz w:val="16"/>
              </w:rPr>
              <w:t>该项目资金于自评日期前已完成全额拨付，该项目预算安排资金5万元，其中：财政资金5万元，文化站经费共5万元，完成了我乡组织宣传文化采购广告牌等，花费1万元；更新硬件配套设施2万元；采购办公用品2万元，共计5万元。通过该项目的实施为本乡农牧民开展了丰富多彩、健康向上的文化活动提供了场所和阵地，丰富了他们的精神文化生活，营造了良好文化氛围，使服务对象满意度达到95%。</w:t>
            </w:r>
          </w:p>
        </w:tc>
      </w:tr>
      <w:tr w14:paraId="7A8AC6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36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15B5">
            <w:pPr>
              <w:jc w:val="center"/>
            </w:pPr>
            <w:r>
              <w:rPr>
                <w:rFonts w:ascii="宋体" w:hAnsi="宋体" w:eastAsia="宋体"/>
                <w:sz w:val="16"/>
              </w:rPr>
              <w:t>二级指标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919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B69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8B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2D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46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99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59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4AF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C5F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A924">
            <w:pPr>
              <w:jc w:val="center"/>
            </w:pPr>
            <w:r>
              <w:rPr>
                <w:rFonts w:ascii="宋体" w:hAnsi="宋体" w:eastAsia="宋体"/>
                <w:sz w:val="16"/>
              </w:rPr>
              <w:t>偏差原因分析及改进措施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129C9">
            <w:pPr>
              <w:jc w:val="center"/>
            </w:pPr>
            <w:r>
              <w:rPr>
                <w:rFonts w:ascii="宋体" w:hAnsi="宋体" w:eastAsia="宋体"/>
                <w:sz w:val="16"/>
              </w:rPr>
              <w:t>完成率</w:t>
            </w:r>
          </w:p>
        </w:tc>
      </w:tr>
      <w:tr w14:paraId="77B774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C658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2DA96">
            <w:pPr>
              <w:jc w:val="center"/>
            </w:pPr>
            <w:r>
              <w:rPr>
                <w:rFonts w:ascii="宋体" w:hAnsi="宋体" w:eastAsia="宋体"/>
                <w:sz w:val="16"/>
              </w:rPr>
              <w:t>数量指标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2D062">
            <w:pPr>
              <w:jc w:val="center"/>
            </w:pPr>
            <w:r>
              <w:rPr>
                <w:rFonts w:ascii="宋体" w:hAnsi="宋体" w:eastAsia="宋体"/>
                <w:sz w:val="16"/>
              </w:rPr>
              <w:t>举办节庆活动次数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8EA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824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E6B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C9F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FC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F5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4E9B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A0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A0D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B697">
            <w:pPr>
              <w:jc w:val="center"/>
            </w:pPr>
            <w:r>
              <w:rPr>
                <w:rFonts w:hint="eastAsia" w:ascii="宋体" w:hAnsi="宋体"/>
                <w:sz w:val="16"/>
                <w:lang w:val="en-US" w:eastAsia="zh-CN"/>
              </w:rPr>
              <w:t>100%</w:t>
            </w:r>
          </w:p>
        </w:tc>
      </w:tr>
      <w:tr w14:paraId="3D36D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582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190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9A25E">
            <w:pPr>
              <w:jc w:val="center"/>
            </w:pPr>
            <w:r>
              <w:rPr>
                <w:rFonts w:ascii="宋体" w:hAnsi="宋体" w:eastAsia="宋体"/>
                <w:sz w:val="16"/>
              </w:rPr>
              <w:t>更新硬件配套设施数量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E354">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785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F5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74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9E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12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B98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6E3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C8C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C8FB9">
            <w:pPr>
              <w:jc w:val="center"/>
            </w:pPr>
            <w:r>
              <w:rPr>
                <w:rFonts w:hint="eastAsia" w:ascii="宋体" w:hAnsi="宋体"/>
                <w:sz w:val="16"/>
                <w:lang w:val="en-US" w:eastAsia="zh-CN"/>
              </w:rPr>
              <w:t>100%</w:t>
            </w:r>
          </w:p>
        </w:tc>
      </w:tr>
      <w:tr w14:paraId="6D9B7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E3F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898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3FF4C">
            <w:pPr>
              <w:jc w:val="center"/>
            </w:pPr>
            <w:r>
              <w:rPr>
                <w:rFonts w:ascii="宋体" w:hAnsi="宋体" w:eastAsia="宋体"/>
                <w:sz w:val="16"/>
              </w:rPr>
              <w:t>采购办公用品数量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6409E">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37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73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0B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D27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6C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DC5C">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31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044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E63E">
            <w:pPr>
              <w:jc w:val="center"/>
            </w:pPr>
            <w:r>
              <w:rPr>
                <w:rFonts w:hint="eastAsia" w:ascii="宋体" w:hAnsi="宋体"/>
                <w:sz w:val="16"/>
                <w:lang w:val="en-US" w:eastAsia="zh-CN"/>
              </w:rPr>
              <w:t>100%</w:t>
            </w:r>
          </w:p>
        </w:tc>
      </w:tr>
      <w:tr w14:paraId="2478DA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3C1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4467">
            <w:pPr>
              <w:jc w:val="center"/>
            </w:pPr>
            <w:r>
              <w:rPr>
                <w:rFonts w:ascii="宋体" w:hAnsi="宋体" w:eastAsia="宋体"/>
                <w:sz w:val="16"/>
              </w:rPr>
              <w:t>质量指标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0DE8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74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24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0D9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2E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12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E6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54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9D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A43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B85C">
            <w:pPr>
              <w:jc w:val="center"/>
            </w:pPr>
            <w:r>
              <w:rPr>
                <w:rFonts w:hint="eastAsia" w:ascii="宋体" w:hAnsi="宋体"/>
                <w:sz w:val="16"/>
                <w:lang w:val="en-US" w:eastAsia="zh-CN"/>
              </w:rPr>
              <w:t>100%</w:t>
            </w:r>
          </w:p>
        </w:tc>
      </w:tr>
      <w:tr w14:paraId="3C1C03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187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56823">
            <w:pPr>
              <w:jc w:val="center"/>
            </w:pPr>
            <w:r>
              <w:rPr>
                <w:rFonts w:ascii="宋体" w:hAnsi="宋体" w:eastAsia="宋体"/>
                <w:sz w:val="16"/>
              </w:rPr>
              <w:t>时效指标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8730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AA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2A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E2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969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668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ED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22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DD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3F5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1499">
            <w:pPr>
              <w:jc w:val="center"/>
            </w:pPr>
            <w:r>
              <w:rPr>
                <w:rFonts w:hint="eastAsia" w:ascii="宋体" w:hAnsi="宋体"/>
                <w:sz w:val="16"/>
                <w:lang w:val="en-US" w:eastAsia="zh-CN"/>
              </w:rPr>
              <w:t>100%</w:t>
            </w:r>
          </w:p>
        </w:tc>
      </w:tr>
      <w:tr w14:paraId="2A94B6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ED1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BAE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4A1E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07C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15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3B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57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82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6A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2088">
            <w:pPr>
              <w:jc w:val="center"/>
            </w:pPr>
            <w:r>
              <w:rPr>
                <w:rFonts w:ascii="宋体" w:hAnsi="宋体" w:eastAsia="宋体"/>
                <w:sz w:val="16"/>
              </w:rPr>
              <w:t>=2024年11月7日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524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E07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D3F4">
            <w:pPr>
              <w:jc w:val="center"/>
            </w:pPr>
            <w:r>
              <w:rPr>
                <w:rFonts w:hint="eastAsia" w:ascii="宋体" w:hAnsi="宋体"/>
                <w:sz w:val="16"/>
                <w:lang w:val="en-US" w:eastAsia="zh-CN"/>
              </w:rPr>
              <w:t>100%</w:t>
            </w:r>
          </w:p>
        </w:tc>
      </w:tr>
      <w:tr w14:paraId="0E8328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7B9A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F90FA">
            <w:pPr>
              <w:jc w:val="center"/>
            </w:pPr>
            <w:r>
              <w:rPr>
                <w:rFonts w:ascii="宋体" w:hAnsi="宋体" w:eastAsia="宋体"/>
                <w:sz w:val="16"/>
              </w:rPr>
              <w:t>经济成本指标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A259E">
            <w:pPr>
              <w:jc w:val="center"/>
            </w:pPr>
            <w:r>
              <w:rPr>
                <w:rFonts w:ascii="宋体" w:hAnsi="宋体" w:eastAsia="宋体"/>
                <w:sz w:val="16"/>
              </w:rPr>
              <w:t>宣传文化采购广告牌成本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B37D">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B8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1B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8D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BC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4E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C40D6">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38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4DCF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0E75">
            <w:pPr>
              <w:jc w:val="center"/>
            </w:pPr>
            <w:r>
              <w:rPr>
                <w:rFonts w:hint="eastAsia" w:ascii="宋体" w:hAnsi="宋体"/>
                <w:sz w:val="16"/>
                <w:lang w:val="en-US" w:eastAsia="zh-CN"/>
              </w:rPr>
              <w:t>100%</w:t>
            </w:r>
          </w:p>
        </w:tc>
      </w:tr>
      <w:tr w14:paraId="40A022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FB6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4BD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07226">
            <w:pPr>
              <w:jc w:val="center"/>
            </w:pPr>
            <w:r>
              <w:rPr>
                <w:rFonts w:ascii="宋体" w:hAnsi="宋体" w:eastAsia="宋体"/>
                <w:sz w:val="16"/>
              </w:rPr>
              <w:t>更新硬件配套设施成本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BFFC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CE3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9D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F1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3D1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5F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30F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111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CAEE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3B79">
            <w:pPr>
              <w:jc w:val="center"/>
            </w:pPr>
            <w:r>
              <w:rPr>
                <w:rFonts w:hint="eastAsia" w:ascii="宋体" w:hAnsi="宋体"/>
                <w:sz w:val="16"/>
                <w:lang w:val="en-US" w:eastAsia="zh-CN"/>
              </w:rPr>
              <w:t>100%</w:t>
            </w:r>
          </w:p>
        </w:tc>
      </w:tr>
      <w:tr w14:paraId="32C75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67B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CF8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31429">
            <w:pPr>
              <w:jc w:val="center"/>
            </w:pPr>
            <w:r>
              <w:rPr>
                <w:rFonts w:ascii="宋体" w:hAnsi="宋体" w:eastAsia="宋体"/>
                <w:sz w:val="16"/>
              </w:rPr>
              <w:t>采购办公用品成本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DE2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CB5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97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46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6F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705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B47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6A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C02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5458">
            <w:pPr>
              <w:jc w:val="center"/>
            </w:pPr>
            <w:r>
              <w:rPr>
                <w:rFonts w:hint="eastAsia" w:ascii="宋体" w:hAnsi="宋体"/>
                <w:sz w:val="16"/>
                <w:lang w:val="en-US" w:eastAsia="zh-CN"/>
              </w:rPr>
              <w:t>100%</w:t>
            </w:r>
          </w:p>
        </w:tc>
      </w:tr>
      <w:tr w14:paraId="6C24CF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4F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7230">
            <w:pPr>
              <w:jc w:val="center"/>
            </w:pPr>
            <w:r>
              <w:rPr>
                <w:rFonts w:ascii="宋体" w:hAnsi="宋体" w:eastAsia="宋体"/>
                <w:sz w:val="16"/>
              </w:rPr>
              <w:t>社会效益指标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89F50">
            <w:pPr>
              <w:jc w:val="center"/>
            </w:pPr>
            <w:r>
              <w:rPr>
                <w:rFonts w:ascii="宋体" w:hAnsi="宋体" w:eastAsia="宋体"/>
                <w:sz w:val="16"/>
              </w:rPr>
              <w:t>提升乡村文化氛围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E971">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FD2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A3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2B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B16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9B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6547D">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15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C970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F88E">
            <w:pPr>
              <w:jc w:val="center"/>
            </w:pPr>
            <w:r>
              <w:rPr>
                <w:rFonts w:hint="eastAsia" w:ascii="宋体" w:hAnsi="宋体"/>
                <w:sz w:val="16"/>
                <w:lang w:val="en-US" w:eastAsia="zh-CN"/>
              </w:rPr>
              <w:t>100%</w:t>
            </w:r>
          </w:p>
        </w:tc>
      </w:tr>
      <w:tr w14:paraId="67F2A9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3D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0E5BA">
            <w:pPr>
              <w:jc w:val="center"/>
            </w:pPr>
            <w:r>
              <w:rPr>
                <w:rFonts w:ascii="宋体" w:hAnsi="宋体" w:eastAsia="宋体"/>
                <w:sz w:val="16"/>
              </w:rPr>
              <w:t>满意度指标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1500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E12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9AE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D7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21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CE5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9C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5A1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A7A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3B3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B133A">
            <w:pPr>
              <w:jc w:val="center"/>
            </w:pPr>
            <w:r>
              <w:rPr>
                <w:rFonts w:hint="eastAsia" w:ascii="宋体" w:hAnsi="宋体"/>
                <w:sz w:val="16"/>
                <w:lang w:val="en-US" w:eastAsia="zh-CN"/>
              </w:rPr>
              <w:t>100%</w:t>
            </w:r>
          </w:p>
        </w:tc>
      </w:tr>
      <w:tr w14:paraId="2A9FE7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947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CF1A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565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EC5D86">
            <w:pPr>
              <w:jc w:val="center"/>
            </w:pPr>
            <w:r>
              <w:rPr>
                <w:rFonts w:ascii="宋体" w:hAnsi="宋体" w:eastAsia="宋体"/>
                <w:sz w:val="16"/>
              </w:rPr>
              <w:t>100分</w:t>
            </w:r>
          </w:p>
        </w:tc>
      </w:tr>
    </w:tbl>
    <w:p w14:paraId="348755FC">
      <w:r>
        <w:br w:type="page"/>
      </w:r>
    </w:p>
    <w:p w14:paraId="6C7F3269">
      <w:pPr>
        <w:spacing w:line="640" w:lineRule="exact"/>
        <w:ind w:firstLine="640"/>
        <w:jc w:val="both"/>
        <w:outlineLvl w:val="2"/>
      </w:pPr>
      <w:r>
        <w:rPr>
          <w:rFonts w:ascii="黑体" w:hAnsi="黑体" w:eastAsia="黑体"/>
          <w:sz w:val="32"/>
        </w:rPr>
        <w:t>十二、其他需说明的事项</w:t>
      </w:r>
    </w:p>
    <w:p w14:paraId="2909772C">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31E0B160">
      <w:r>
        <w:br w:type="page"/>
      </w:r>
    </w:p>
    <w:p w14:paraId="246770D1">
      <w:pPr>
        <w:spacing w:line="240" w:lineRule="auto"/>
        <w:jc w:val="center"/>
        <w:outlineLvl w:val="1"/>
      </w:pPr>
      <w:r>
        <w:rPr>
          <w:rFonts w:ascii="黑体" w:hAnsi="黑体" w:eastAsia="黑体"/>
          <w:sz w:val="32"/>
        </w:rPr>
        <w:t>第三部分 专业名词解释</w:t>
      </w:r>
    </w:p>
    <w:p w14:paraId="4133A07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290785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321498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30B4C0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891157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58D45D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CBBF27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EC937F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6F7CD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2F343C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5C6B9A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525120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17D874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71889A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CC19EF8">
      <w:r>
        <w:br w:type="page"/>
      </w:r>
    </w:p>
    <w:p w14:paraId="1BF4A08F">
      <w:pPr>
        <w:spacing w:line="240" w:lineRule="auto"/>
        <w:jc w:val="center"/>
        <w:outlineLvl w:val="1"/>
      </w:pPr>
      <w:r>
        <w:rPr>
          <w:rFonts w:ascii="黑体" w:hAnsi="黑体" w:eastAsia="黑体"/>
          <w:sz w:val="32"/>
        </w:rPr>
        <w:t>第四部分 部门决算报表（见附表）</w:t>
      </w:r>
    </w:p>
    <w:p w14:paraId="44B18594">
      <w:pPr>
        <w:spacing w:line="240" w:lineRule="auto"/>
        <w:ind w:firstLine="640"/>
        <w:jc w:val="both"/>
      </w:pPr>
      <w:r>
        <w:rPr>
          <w:rFonts w:ascii="仿宋_GB2312" w:hAnsi="仿宋_GB2312" w:eastAsia="仿宋_GB2312"/>
          <w:b w:val="0"/>
          <w:sz w:val="32"/>
        </w:rPr>
        <w:t>一、《收入支出决算总表》</w:t>
      </w:r>
    </w:p>
    <w:p w14:paraId="46327757">
      <w:pPr>
        <w:spacing w:line="240" w:lineRule="auto"/>
        <w:ind w:firstLine="640"/>
        <w:jc w:val="both"/>
      </w:pPr>
      <w:r>
        <w:rPr>
          <w:rFonts w:ascii="仿宋_GB2312" w:hAnsi="仿宋_GB2312" w:eastAsia="仿宋_GB2312"/>
          <w:b w:val="0"/>
          <w:sz w:val="32"/>
        </w:rPr>
        <w:t>二、《收入决算表》</w:t>
      </w:r>
    </w:p>
    <w:p w14:paraId="4E793C17">
      <w:pPr>
        <w:spacing w:line="240" w:lineRule="auto"/>
        <w:ind w:firstLine="640"/>
        <w:jc w:val="both"/>
      </w:pPr>
      <w:r>
        <w:rPr>
          <w:rFonts w:ascii="仿宋_GB2312" w:hAnsi="仿宋_GB2312" w:eastAsia="仿宋_GB2312"/>
          <w:b w:val="0"/>
          <w:sz w:val="32"/>
        </w:rPr>
        <w:t>三、《支出决算表》</w:t>
      </w:r>
    </w:p>
    <w:p w14:paraId="0CA638C8">
      <w:pPr>
        <w:spacing w:line="240" w:lineRule="auto"/>
        <w:ind w:firstLine="640"/>
        <w:jc w:val="both"/>
      </w:pPr>
      <w:r>
        <w:rPr>
          <w:rFonts w:ascii="仿宋_GB2312" w:hAnsi="仿宋_GB2312" w:eastAsia="仿宋_GB2312"/>
          <w:b w:val="0"/>
          <w:sz w:val="32"/>
        </w:rPr>
        <w:t>四、《财政拨款收入支出决算总表》</w:t>
      </w:r>
    </w:p>
    <w:p w14:paraId="79422816">
      <w:pPr>
        <w:spacing w:line="240" w:lineRule="auto"/>
        <w:ind w:firstLine="640"/>
        <w:jc w:val="both"/>
      </w:pPr>
      <w:r>
        <w:rPr>
          <w:rFonts w:ascii="仿宋_GB2312" w:hAnsi="仿宋_GB2312" w:eastAsia="仿宋_GB2312"/>
          <w:b w:val="0"/>
          <w:sz w:val="32"/>
        </w:rPr>
        <w:t>五、《一般公共预算财政拨款支出决算表》</w:t>
      </w:r>
    </w:p>
    <w:p w14:paraId="1FE866CF">
      <w:pPr>
        <w:spacing w:line="240" w:lineRule="auto"/>
        <w:ind w:firstLine="640"/>
        <w:jc w:val="both"/>
      </w:pPr>
      <w:r>
        <w:rPr>
          <w:rFonts w:ascii="仿宋_GB2312" w:hAnsi="仿宋_GB2312" w:eastAsia="仿宋_GB2312"/>
          <w:b w:val="0"/>
          <w:sz w:val="32"/>
        </w:rPr>
        <w:t>六、《一般公共预算财政拨款基本支出决算表》</w:t>
      </w:r>
    </w:p>
    <w:p w14:paraId="4BDF7502">
      <w:pPr>
        <w:spacing w:line="240" w:lineRule="auto"/>
        <w:ind w:firstLine="640"/>
        <w:jc w:val="both"/>
      </w:pPr>
      <w:r>
        <w:rPr>
          <w:rFonts w:ascii="仿宋_GB2312" w:hAnsi="仿宋_GB2312" w:eastAsia="仿宋_GB2312"/>
          <w:b w:val="0"/>
          <w:sz w:val="32"/>
        </w:rPr>
        <w:t>七、《政府性基金预算财政拨款收入支出决算表》</w:t>
      </w:r>
    </w:p>
    <w:p w14:paraId="7C920F14">
      <w:pPr>
        <w:spacing w:line="240" w:lineRule="auto"/>
        <w:ind w:firstLine="640"/>
        <w:jc w:val="both"/>
      </w:pPr>
      <w:r>
        <w:rPr>
          <w:rFonts w:ascii="仿宋_GB2312" w:hAnsi="仿宋_GB2312" w:eastAsia="仿宋_GB2312"/>
          <w:b w:val="0"/>
          <w:sz w:val="32"/>
        </w:rPr>
        <w:t>八、《国有资本经营预算财政拨款收入支出决算表》</w:t>
      </w:r>
    </w:p>
    <w:p w14:paraId="02B9D1DA">
      <w:pPr>
        <w:spacing w:line="240" w:lineRule="auto"/>
        <w:ind w:firstLine="640"/>
        <w:jc w:val="both"/>
      </w:pPr>
      <w:r>
        <w:rPr>
          <w:rFonts w:ascii="仿宋_GB2312" w:hAnsi="仿宋_GB2312" w:eastAsia="仿宋_GB2312"/>
          <w:b w:val="0"/>
          <w:sz w:val="32"/>
        </w:rPr>
        <w:t>九、《财政拨款“三公”经费支出决算表》</w:t>
      </w:r>
    </w:p>
    <w:p w14:paraId="0624F656">
      <w:pPr>
        <w:spacing w:line="240" w:lineRule="auto"/>
        <w:ind w:firstLine="640"/>
        <w:jc w:val="both"/>
      </w:pPr>
    </w:p>
    <w:p w14:paraId="69595506">
      <w:pPr>
        <w:spacing w:line="240" w:lineRule="auto"/>
        <w:ind w:firstLine="640"/>
        <w:jc w:val="both"/>
      </w:pPr>
    </w:p>
    <w:p w14:paraId="148A5291">
      <w:pPr>
        <w:spacing w:line="240" w:lineRule="auto"/>
        <w:ind w:firstLine="640"/>
        <w:jc w:val="both"/>
      </w:pPr>
    </w:p>
    <w:p w14:paraId="736FA0C5">
      <w:pPr>
        <w:spacing w:line="240" w:lineRule="auto"/>
        <w:ind w:firstLine="640"/>
        <w:jc w:val="both"/>
      </w:pPr>
    </w:p>
    <w:p w14:paraId="362939C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1E28F4"/>
    <w:rsid w:val="021B7195"/>
    <w:rsid w:val="02F73D26"/>
    <w:rsid w:val="034D4FEF"/>
    <w:rsid w:val="043E5B56"/>
    <w:rsid w:val="05463DFE"/>
    <w:rsid w:val="06792773"/>
    <w:rsid w:val="09A729D8"/>
    <w:rsid w:val="0A3C58E8"/>
    <w:rsid w:val="0A7B4867"/>
    <w:rsid w:val="0B8C3ECC"/>
    <w:rsid w:val="0C3613A3"/>
    <w:rsid w:val="0C7227A7"/>
    <w:rsid w:val="0CC308B0"/>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0A1D1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BFD1BD8"/>
    <w:rsid w:val="4F3F074E"/>
    <w:rsid w:val="50DB5F45"/>
    <w:rsid w:val="52F92565"/>
    <w:rsid w:val="543D17CB"/>
    <w:rsid w:val="55DA564E"/>
    <w:rsid w:val="56E07045"/>
    <w:rsid w:val="583059FA"/>
    <w:rsid w:val="587E6212"/>
    <w:rsid w:val="5AF6126B"/>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7872</Words>
  <Characters>9042</Characters>
  <Lines>0</Lines>
  <Paragraphs>0</Paragraphs>
  <TotalTime>3</TotalTime>
  <ScaleCrop>false</ScaleCrop>
  <LinksUpToDate>false</LinksUpToDate>
  <CharactersWithSpaces>9050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