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435E59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塔什库尔干塔吉克自治县塔什库尔干乡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1D0867">
      <w:r>
        <w:br w:type="page"/>
      </w:r>
    </w:p>
    <w:p w14:paraId="542A28FD">
      <w:pPr>
        <w:spacing w:line="640" w:lineRule="exact"/>
        <w:jc w:val="center"/>
        <w:outlineLvl w:val="1"/>
      </w:pPr>
      <w:r>
        <w:rPr>
          <w:rFonts w:ascii="黑体" w:hAnsi="黑体" w:eastAsia="黑体"/>
          <w:sz w:val="32"/>
        </w:rPr>
        <w:t>第一部分 单位概况</w:t>
      </w:r>
    </w:p>
    <w:p w14:paraId="0B28B46B">
      <w:pPr>
        <w:spacing w:line="640" w:lineRule="exact"/>
        <w:ind w:firstLine="640"/>
        <w:jc w:val="both"/>
        <w:outlineLvl w:val="2"/>
      </w:pPr>
      <w:r>
        <w:rPr>
          <w:rFonts w:ascii="黑体" w:hAnsi="黑体" w:eastAsia="黑体"/>
          <w:sz w:val="32"/>
        </w:rPr>
        <w:t>一、主要职能</w:t>
      </w:r>
    </w:p>
    <w:p w14:paraId="7583F621">
      <w:pPr>
        <w:spacing w:line="580" w:lineRule="exact"/>
        <w:ind w:firstLine="640"/>
        <w:jc w:val="both"/>
      </w:pPr>
      <w:r>
        <w:rPr>
          <w:rFonts w:ascii="仿宋_GB2312" w:hAnsi="仿宋_GB2312" w:eastAsia="仿宋_GB2312"/>
          <w:sz w:val="32"/>
        </w:rPr>
        <w:t>乡镇政府主要职能是</w:t>
      </w:r>
      <w:r>
        <w:rPr>
          <w:rFonts w:hint="eastAsia" w:ascii="仿宋_GB2312" w:hAnsi="仿宋_GB2312" w:eastAsia="仿宋_GB2312"/>
          <w:sz w:val="32"/>
          <w:lang w:eastAsia="zh-CN"/>
        </w:rPr>
        <w:t>发挥</w:t>
      </w:r>
      <w:r>
        <w:rPr>
          <w:rFonts w:ascii="仿宋_GB2312" w:hAnsi="仿宋_GB2312" w:eastAsia="仿宋_GB2312"/>
          <w:sz w:val="32"/>
        </w:rPr>
        <w:t>具体组织和管理国家行政事务的职能，诸如编制和执行国民经济和社会发展规划，领导和管理经济、教育、科学、文化、卫生、体育、</w:t>
      </w:r>
      <w:r>
        <w:rPr>
          <w:rFonts w:hint="eastAsia" w:ascii="仿宋_GB2312" w:hAnsi="仿宋_GB2312" w:eastAsia="仿宋_GB2312"/>
          <w:sz w:val="32"/>
          <w:lang w:eastAsia="zh-CN"/>
        </w:rPr>
        <w:t>JHSY</w:t>
      </w:r>
      <w:r>
        <w:rPr>
          <w:rFonts w:ascii="仿宋_GB2312" w:hAnsi="仿宋_GB2312" w:eastAsia="仿宋_GB2312"/>
          <w:sz w:val="32"/>
        </w:rPr>
        <w:t>、民政、公安、监察、民族事务、国防建设等工作。健全和完善乡政府的各项职能，依照法律和有关规定，全面行使管理本行政区域内的政治、经济、文化和社会事务的职权。促进经济发展、增加农牧民收入；负责制定并组织实施乡村建设规划、乡村道路建设和公共设施建设；强化公共服务、着力改善民生；负责指导村民自治、完善民主议事制度。强化乡党委的领导核心作用，统筹优化和综合设置党政机构，合理配置职能，构建</w:t>
      </w:r>
      <w:r>
        <w:rPr>
          <w:rFonts w:hint="eastAsia" w:ascii="仿宋_GB2312" w:hAnsi="仿宋_GB2312" w:eastAsia="仿宋_GB2312"/>
          <w:sz w:val="32"/>
          <w:lang w:eastAsia="zh-CN"/>
        </w:rPr>
        <w:t>更好地服务</w:t>
      </w:r>
      <w:r>
        <w:rPr>
          <w:rFonts w:ascii="仿宋_GB2312" w:hAnsi="仿宋_GB2312" w:eastAsia="仿宋_GB2312"/>
          <w:sz w:val="32"/>
        </w:rPr>
        <w:t>群众、简约精干、运转高效的基层组织架构。</w:t>
      </w:r>
    </w:p>
    <w:p w14:paraId="0DFD3491">
      <w:pPr>
        <w:spacing w:line="580" w:lineRule="exact"/>
        <w:ind w:firstLine="640"/>
        <w:jc w:val="both"/>
      </w:pPr>
      <w:r>
        <w:rPr>
          <w:rFonts w:ascii="仿宋_GB2312" w:hAnsi="仿宋_GB2312" w:eastAsia="仿宋_GB2312"/>
          <w:sz w:val="32"/>
        </w:rPr>
        <w:t>贯彻执行党的路线方针政策和上级党组织及本乡党员代表大会（党员大会）的决议；讨论决定本乡经济建设和社会发展中的重大问题。需由乡政权机关或集体经济组织决定的问题，由乡政权机关或集体经济组织依照法律和有关</w:t>
      </w:r>
      <w:r>
        <w:rPr>
          <w:rFonts w:hint="eastAsia" w:ascii="仿宋_GB2312" w:hAnsi="仿宋_GB2312" w:eastAsia="仿宋_GB2312"/>
          <w:sz w:val="32"/>
          <w:lang w:eastAsia="zh-CN"/>
        </w:rPr>
        <w:t>规定作出</w:t>
      </w:r>
      <w:r>
        <w:rPr>
          <w:rFonts w:ascii="仿宋_GB2312" w:hAnsi="仿宋_GB2312" w:eastAsia="仿宋_GB2312"/>
          <w:sz w:val="32"/>
        </w:rPr>
        <w:t>决定；领导乡政权机关和群众组织，支持和保证这些机关和组织依照国家法律及各自章程充分行使职权；加强乡党委自身建设和以党支部为核心的村级组织建设；按照干部管理权限，负责对干部的教育、培养、选拔和监督工作。协助管理上级有关部门驻镇单位的干部；领导本乡的社会主义民主法制建设和精神文明建设，做好社会治安综合治理及</w:t>
      </w:r>
      <w:r>
        <w:rPr>
          <w:rFonts w:hint="eastAsia" w:ascii="仿宋_GB2312" w:hAnsi="仿宋_GB2312" w:eastAsia="仿宋_GB2312"/>
          <w:sz w:val="32"/>
          <w:lang w:eastAsia="zh-CN"/>
        </w:rPr>
        <w:t>JHSY</w:t>
      </w:r>
      <w:r>
        <w:rPr>
          <w:rFonts w:ascii="仿宋_GB2312" w:hAnsi="仿宋_GB2312" w:eastAsia="仿宋_GB2312"/>
          <w:sz w:val="32"/>
        </w:rPr>
        <w:t>工作；执行本级人民代表大会的决议和上级国家行政机关的决定和命令，发布决定和命令；执行本行政区域内的经济和社会发展计划，加强公共设施的建设和管理，发展各项服务事业；依法管理本级财政、执行本级预算；为农民提供有效的科技、教育、文化、信息、卫生、体育、医疗、人才开发、劳动就业、安全生产等方面的服务；保护国有资产和集体所有的财产，保护公民私人所有的合法财产、保障公民的人身权利、民主权利和其他权利，保护各种组织的合法权益；开展社会主义民主与法制教育，加强社会治安综合治理，调解民事纠纷，维护社会秩序；推行</w:t>
      </w:r>
      <w:r>
        <w:rPr>
          <w:rFonts w:hint="eastAsia" w:ascii="仿宋_GB2312" w:hAnsi="仿宋_GB2312" w:eastAsia="仿宋_GB2312"/>
          <w:sz w:val="32"/>
          <w:lang w:eastAsia="zh-CN"/>
        </w:rPr>
        <w:t>JHSY</w:t>
      </w:r>
      <w:r>
        <w:rPr>
          <w:rFonts w:ascii="仿宋_GB2312" w:hAnsi="仿宋_GB2312" w:eastAsia="仿宋_GB2312"/>
          <w:sz w:val="32"/>
        </w:rPr>
        <w:t>，控制人口增长，保护妇女、儿童和老人的合法权益；负责民政工作，发展社会福利事业，做好社会保障工作，办理兵役事项；承办上级人民政府交办的其他事项</w:t>
      </w:r>
      <w:r>
        <w:rPr>
          <w:rFonts w:hint="eastAsia" w:ascii="仿宋_GB2312" w:hAnsi="仿宋_GB2312" w:eastAsia="仿宋_GB2312"/>
          <w:sz w:val="32"/>
          <w:lang w:eastAsia="zh-CN"/>
        </w:rPr>
        <w:t>。</w:t>
      </w:r>
      <w:r>
        <w:rPr>
          <w:rFonts w:ascii="仿宋_GB2312" w:hAnsi="仿宋_GB2312" w:eastAsia="仿宋_GB2312"/>
          <w:sz w:val="32"/>
        </w:rPr>
        <w:t>健全和完善乡政府的各项职能，依照法律和有关规定，全面行使管理本行政区域内的政治、经济、文化和社会事务的职权。促进经济发展、增加农牧民收入；负责制定并组织实施乡村建设规划、乡村道路建设和公共设施建设；强化公共服务、着力改善民生；负责指导村民自治、完善民主议事制度。强化乡党委的领导核心作用，统筹优化和综合设置党政机构，合理配置职能，构建</w:t>
      </w:r>
      <w:r>
        <w:rPr>
          <w:rFonts w:hint="eastAsia" w:ascii="仿宋_GB2312" w:hAnsi="仿宋_GB2312" w:eastAsia="仿宋_GB2312"/>
          <w:sz w:val="32"/>
          <w:lang w:eastAsia="zh-CN"/>
        </w:rPr>
        <w:t>更好地服务</w:t>
      </w:r>
      <w:r>
        <w:rPr>
          <w:rFonts w:ascii="仿宋_GB2312" w:hAnsi="仿宋_GB2312" w:eastAsia="仿宋_GB2312"/>
          <w:sz w:val="32"/>
        </w:rPr>
        <w:t>群众、简约精干、运转高效的基层组织架构。</w:t>
      </w:r>
    </w:p>
    <w:p w14:paraId="56F75F26">
      <w:pPr>
        <w:spacing w:line="640" w:lineRule="exact"/>
        <w:ind w:firstLine="640"/>
        <w:jc w:val="both"/>
        <w:outlineLvl w:val="2"/>
      </w:pPr>
      <w:r>
        <w:rPr>
          <w:rFonts w:ascii="黑体" w:hAnsi="黑体" w:eastAsia="黑体"/>
          <w:sz w:val="32"/>
        </w:rPr>
        <w:t>二、机构设置及人员情况</w:t>
      </w:r>
    </w:p>
    <w:p w14:paraId="29F67300">
      <w:pPr>
        <w:spacing w:line="580" w:lineRule="exact"/>
        <w:ind w:firstLine="640"/>
        <w:jc w:val="both"/>
      </w:pPr>
      <w:r>
        <w:rPr>
          <w:rFonts w:ascii="仿宋_GB2312" w:hAnsi="仿宋_GB2312" w:eastAsia="仿宋_GB2312"/>
          <w:sz w:val="32"/>
        </w:rPr>
        <w:t>塔什库尔干塔吉克自治县塔什库尔干乡人民政府2024年度，实有人数120人，其中：在职人员81人，减少4人；离休人员0人，增加0人；退休人员39人,增加1人。</w:t>
      </w:r>
    </w:p>
    <w:p w14:paraId="356F2CFA">
      <w:pPr>
        <w:spacing w:line="580" w:lineRule="exact"/>
        <w:ind w:firstLine="640"/>
        <w:jc w:val="both"/>
      </w:pPr>
      <w:r>
        <w:rPr>
          <w:rFonts w:ascii="仿宋_GB2312" w:hAnsi="仿宋_GB2312" w:eastAsia="仿宋_GB2312"/>
          <w:sz w:val="32"/>
        </w:rPr>
        <w:t>单位无下属预算单位，下设10个科室，分别是：党政办公室、党建办公室、经济发展办公室、社会事务办公室、综合执法办公室、农业发展服务中心、公共文化服务中心、村镇建设发展中心、综治和网络化服务中心、便民服务中心。</w:t>
      </w:r>
    </w:p>
    <w:p w14:paraId="4E6F7025">
      <w:r>
        <w:br w:type="page"/>
      </w:r>
    </w:p>
    <w:p w14:paraId="7513B313">
      <w:pPr>
        <w:spacing w:line="240" w:lineRule="auto"/>
        <w:jc w:val="center"/>
        <w:outlineLvl w:val="1"/>
      </w:pPr>
      <w:r>
        <w:rPr>
          <w:rFonts w:ascii="黑体" w:hAnsi="黑体" w:eastAsia="黑体"/>
          <w:sz w:val="32"/>
        </w:rPr>
        <w:t>第二部分 部门决算情况说明</w:t>
      </w:r>
    </w:p>
    <w:p w14:paraId="157F4E7E">
      <w:pPr>
        <w:spacing w:line="640" w:lineRule="exact"/>
        <w:ind w:firstLine="640"/>
        <w:jc w:val="both"/>
        <w:outlineLvl w:val="2"/>
      </w:pPr>
      <w:r>
        <w:rPr>
          <w:rFonts w:ascii="黑体" w:hAnsi="黑体" w:eastAsia="黑体"/>
          <w:sz w:val="32"/>
        </w:rPr>
        <w:t>一、收入支出决算总体情况说明</w:t>
      </w:r>
    </w:p>
    <w:p w14:paraId="7FF0D205">
      <w:pPr>
        <w:spacing w:line="580" w:lineRule="exact"/>
        <w:ind w:firstLine="640"/>
        <w:jc w:val="both"/>
      </w:pPr>
      <w:r>
        <w:rPr>
          <w:rFonts w:ascii="仿宋_GB2312" w:hAnsi="仿宋_GB2312" w:eastAsia="仿宋_GB2312"/>
          <w:b/>
          <w:sz w:val="32"/>
        </w:rPr>
        <w:t>2024年度收入总计4,421.35万元，</w:t>
      </w:r>
      <w:r>
        <w:rPr>
          <w:rFonts w:ascii="仿宋_GB2312" w:hAnsi="仿宋_GB2312" w:eastAsia="仿宋_GB2312"/>
          <w:b w:val="0"/>
          <w:sz w:val="32"/>
        </w:rPr>
        <w:t>其中：本年收入合计4,421.35万元，使用非财政拨款结余（含专用结余）0.00万元，年初结转和结余0.00万元。</w:t>
      </w:r>
    </w:p>
    <w:p w14:paraId="16D3B0EA">
      <w:pPr>
        <w:spacing w:line="580" w:lineRule="exact"/>
        <w:ind w:firstLine="640"/>
        <w:jc w:val="both"/>
      </w:pPr>
      <w:r>
        <w:rPr>
          <w:rFonts w:ascii="仿宋_GB2312" w:hAnsi="仿宋_GB2312" w:eastAsia="仿宋_GB2312"/>
          <w:b/>
          <w:sz w:val="32"/>
        </w:rPr>
        <w:t>2024年度支出总计4,421.35万元，</w:t>
      </w:r>
      <w:r>
        <w:rPr>
          <w:rFonts w:ascii="仿宋_GB2312" w:hAnsi="仿宋_GB2312" w:eastAsia="仿宋_GB2312"/>
          <w:b w:val="0"/>
          <w:sz w:val="32"/>
        </w:rPr>
        <w:t>其中：本年支出合计4,421.35万元，结余分配0.00万元，年末结转和结余0.00万元。</w:t>
      </w:r>
    </w:p>
    <w:p w14:paraId="244455E4">
      <w:pPr>
        <w:spacing w:line="580" w:lineRule="exact"/>
        <w:ind w:firstLine="640"/>
        <w:jc w:val="both"/>
      </w:pPr>
      <w:r>
        <w:rPr>
          <w:rFonts w:ascii="仿宋_GB2312" w:hAnsi="仿宋_GB2312" w:eastAsia="仿宋_GB2312"/>
          <w:b w:val="0"/>
          <w:sz w:val="32"/>
        </w:rPr>
        <w:t>收入支出总体与上年相比，减少1,586.37万元，下降26.41%，主要原因是：一是减少2023年中央财政林业草原生态保护恢复资金森林资源培育补助项目、城镇基础设施建设项目、巩固脱贫攻坚成果衔接乡村振兴项目资金；二是减少2024年下半年BM补贴经费。</w:t>
      </w:r>
    </w:p>
    <w:p w14:paraId="191C0A7A">
      <w:pPr>
        <w:spacing w:line="640" w:lineRule="exact"/>
        <w:ind w:firstLine="640"/>
        <w:jc w:val="both"/>
        <w:outlineLvl w:val="2"/>
      </w:pPr>
      <w:r>
        <w:rPr>
          <w:rFonts w:ascii="黑体" w:hAnsi="黑体" w:eastAsia="黑体"/>
          <w:sz w:val="32"/>
        </w:rPr>
        <w:t>二、收入决算情况说明</w:t>
      </w:r>
    </w:p>
    <w:p w14:paraId="4C787E1A">
      <w:pPr>
        <w:spacing w:line="580" w:lineRule="exact"/>
        <w:ind w:firstLine="640"/>
        <w:jc w:val="both"/>
      </w:pPr>
      <w:r>
        <w:rPr>
          <w:rFonts w:ascii="仿宋_GB2312" w:hAnsi="仿宋_GB2312" w:eastAsia="仿宋_GB2312"/>
          <w:b/>
          <w:sz w:val="32"/>
        </w:rPr>
        <w:t>本年收入4,421.35万元，</w:t>
      </w:r>
      <w:r>
        <w:rPr>
          <w:rFonts w:ascii="仿宋_GB2312" w:hAnsi="仿宋_GB2312" w:eastAsia="仿宋_GB2312"/>
          <w:b w:val="0"/>
          <w:sz w:val="32"/>
        </w:rPr>
        <w:t>其中：财政拨款收入4,043.79万元，占91.46%；上级补助收入0.00万元，占0.00%；事业收入0.00万元，占0.00%；经营收入0.00万元，占0.00%；附属单位上缴收入0.00万元，占0.00%；其他收入377.56万元，占8.54%。</w:t>
      </w:r>
    </w:p>
    <w:p w14:paraId="6067FEF3">
      <w:pPr>
        <w:spacing w:line="640" w:lineRule="exact"/>
        <w:ind w:firstLine="640"/>
        <w:jc w:val="both"/>
        <w:outlineLvl w:val="2"/>
      </w:pPr>
      <w:r>
        <w:rPr>
          <w:rFonts w:ascii="黑体" w:hAnsi="黑体" w:eastAsia="黑体"/>
          <w:sz w:val="32"/>
        </w:rPr>
        <w:t>三、支出决算情况说明</w:t>
      </w:r>
    </w:p>
    <w:p w14:paraId="1E7A787C">
      <w:pPr>
        <w:spacing w:line="580" w:lineRule="exact"/>
        <w:ind w:firstLine="640"/>
        <w:jc w:val="both"/>
      </w:pPr>
      <w:r>
        <w:rPr>
          <w:rFonts w:ascii="仿宋_GB2312" w:hAnsi="仿宋_GB2312" w:eastAsia="仿宋_GB2312"/>
          <w:b/>
          <w:sz w:val="32"/>
        </w:rPr>
        <w:t>本年支出4,421.35万元，</w:t>
      </w:r>
      <w:r>
        <w:rPr>
          <w:rFonts w:ascii="仿宋_GB2312" w:hAnsi="仿宋_GB2312" w:eastAsia="仿宋_GB2312"/>
          <w:b w:val="0"/>
          <w:sz w:val="32"/>
        </w:rPr>
        <w:t>其中：基本支出2,060.68万元，占46.61%；项目支出2,360.67万元，占53.39%；上缴上级支出0.00万元，占0.00%；经营支出0.00万元，占0.00%；对附属单位补助支出0.00万元，占0.00%。</w:t>
      </w:r>
    </w:p>
    <w:p w14:paraId="4FC00178">
      <w:pPr>
        <w:spacing w:line="640" w:lineRule="exact"/>
        <w:ind w:firstLine="640"/>
        <w:jc w:val="both"/>
        <w:outlineLvl w:val="2"/>
      </w:pPr>
      <w:r>
        <w:rPr>
          <w:rFonts w:ascii="黑体" w:hAnsi="黑体" w:eastAsia="黑体"/>
          <w:sz w:val="32"/>
        </w:rPr>
        <w:t>四、财政拨款收入支出决算总体情况说明</w:t>
      </w:r>
    </w:p>
    <w:p w14:paraId="206BD807">
      <w:pPr>
        <w:spacing w:line="580" w:lineRule="exact"/>
        <w:ind w:firstLine="640"/>
        <w:jc w:val="both"/>
      </w:pPr>
      <w:r>
        <w:rPr>
          <w:rFonts w:ascii="仿宋_GB2312" w:hAnsi="仿宋_GB2312" w:eastAsia="仿宋_GB2312"/>
          <w:b/>
          <w:sz w:val="32"/>
        </w:rPr>
        <w:t>2024年度财政拨款收入总计4,043.79万元，</w:t>
      </w:r>
      <w:r>
        <w:rPr>
          <w:rFonts w:ascii="仿宋_GB2312" w:hAnsi="仿宋_GB2312" w:eastAsia="仿宋_GB2312"/>
          <w:b w:val="0"/>
          <w:sz w:val="32"/>
        </w:rPr>
        <w:t>其中：年初财政拨款结转和结余0.00万元，本年财政拨款收入4,043.79万元。</w:t>
      </w:r>
      <w:r>
        <w:rPr>
          <w:rFonts w:ascii="仿宋_GB2312" w:hAnsi="仿宋_GB2312" w:eastAsia="仿宋_GB2312"/>
          <w:b/>
          <w:sz w:val="32"/>
        </w:rPr>
        <w:t>财政拨款支出总计4,043.79万元，</w:t>
      </w:r>
      <w:r>
        <w:rPr>
          <w:rFonts w:ascii="仿宋_GB2312" w:hAnsi="仿宋_GB2312" w:eastAsia="仿宋_GB2312"/>
          <w:b w:val="0"/>
          <w:sz w:val="32"/>
        </w:rPr>
        <w:t>其中：年末财政拨款结转和结余0.00万元，本年财政拨款支出4,043.79万元。</w:t>
      </w:r>
    </w:p>
    <w:p w14:paraId="698312C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1,963.93万元，下降32.69%，主要原因是：一是减少2023年中央财政林业草原生态保护恢复资金森林资源培育补助项目、城镇基础设施建设项目、巩固脱贫攻坚成果衔接乡村振兴项目资金；二是减少2024年下半年边BM贴经费。</w:t>
      </w:r>
      <w:r>
        <w:rPr>
          <w:rFonts w:ascii="仿宋_GB2312" w:hAnsi="仿宋_GB2312" w:eastAsia="仿宋_GB2312"/>
          <w:b/>
          <w:sz w:val="32"/>
        </w:rPr>
        <w:t>与年初预算相比，</w:t>
      </w:r>
      <w:r>
        <w:rPr>
          <w:rFonts w:ascii="仿宋_GB2312" w:hAnsi="仿宋_GB2312" w:eastAsia="仿宋_GB2312"/>
          <w:b w:val="0"/>
          <w:sz w:val="32"/>
        </w:rPr>
        <w:t>年初预算数2,087.56万元，决算数4,043.79万元，预决算差异率93.71%，主要原因是：年中追加塔什库尔干乡库孜滚村新型农村集体经济发展项目、塔什库尔干乡库鲁木克棚圈建设2024年中央财政以工代赈项目、塔什库尔干乡瓦尔希迭村亮化项目、塔什库尔干乡托格伦夏村村容村貌提升项目、塔什库尔干乡富民村亮化项目，导致预决算存在差异。</w:t>
      </w:r>
    </w:p>
    <w:p w14:paraId="39984BCC">
      <w:pPr>
        <w:spacing w:line="640" w:lineRule="exact"/>
        <w:ind w:firstLine="640"/>
        <w:jc w:val="both"/>
        <w:outlineLvl w:val="2"/>
      </w:pPr>
      <w:r>
        <w:rPr>
          <w:rFonts w:ascii="黑体" w:hAnsi="黑体" w:eastAsia="黑体"/>
          <w:sz w:val="32"/>
        </w:rPr>
        <w:t>五、一般公共预算财政拨款支出决算情况说明</w:t>
      </w:r>
    </w:p>
    <w:p w14:paraId="05C3EB10">
      <w:pPr>
        <w:spacing w:line="640" w:lineRule="exact"/>
        <w:ind w:firstLine="640"/>
        <w:jc w:val="both"/>
        <w:outlineLvl w:val="3"/>
      </w:pPr>
      <w:r>
        <w:rPr>
          <w:rFonts w:ascii="楷体_GB2312" w:hAnsi="楷体_GB2312" w:eastAsia="楷体_GB2312"/>
          <w:b/>
          <w:sz w:val="32"/>
        </w:rPr>
        <w:t>（一）一般公共预算财政拨款支出决算总体情况</w:t>
      </w:r>
    </w:p>
    <w:p w14:paraId="0C542F84">
      <w:pPr>
        <w:spacing w:line="580" w:lineRule="exact"/>
        <w:ind w:firstLine="640"/>
        <w:jc w:val="both"/>
      </w:pPr>
      <w:r>
        <w:rPr>
          <w:rFonts w:ascii="仿宋_GB2312" w:hAnsi="仿宋_GB2312" w:eastAsia="仿宋_GB2312"/>
          <w:b/>
          <w:sz w:val="32"/>
        </w:rPr>
        <w:t>2024年度一般公共预算财政拨款支出4,043.79万元，</w:t>
      </w:r>
      <w:r>
        <w:rPr>
          <w:rFonts w:ascii="仿宋_GB2312" w:hAnsi="仿宋_GB2312" w:eastAsia="仿宋_GB2312"/>
          <w:b w:val="0"/>
          <w:sz w:val="32"/>
        </w:rPr>
        <w:t>占本年支出合计的91.46%。</w:t>
      </w:r>
      <w:r>
        <w:rPr>
          <w:rFonts w:ascii="仿宋_GB2312" w:hAnsi="仿宋_GB2312" w:eastAsia="仿宋_GB2312"/>
          <w:b/>
          <w:sz w:val="32"/>
        </w:rPr>
        <w:t>与上年相比，</w:t>
      </w:r>
      <w:r>
        <w:rPr>
          <w:rFonts w:ascii="仿宋_GB2312" w:hAnsi="仿宋_GB2312" w:eastAsia="仿宋_GB2312"/>
          <w:b w:val="0"/>
          <w:sz w:val="32"/>
        </w:rPr>
        <w:t>减少1,963.93万元，下降32.69%，主要原因是：一是减少2023年中央财政林业草原生态保护恢复资金森林资源培育补助项目、城镇基础设施建设项目、巩固脱贫攻坚成果衔接乡村振兴项目资金；二是减少2024年下半年BM补贴经费。</w:t>
      </w:r>
      <w:r>
        <w:rPr>
          <w:rFonts w:ascii="仿宋_GB2312" w:hAnsi="仿宋_GB2312" w:eastAsia="仿宋_GB2312"/>
          <w:b/>
          <w:sz w:val="32"/>
        </w:rPr>
        <w:t>与年初预算相比,</w:t>
      </w:r>
      <w:r>
        <w:rPr>
          <w:rFonts w:ascii="仿宋_GB2312" w:hAnsi="仿宋_GB2312" w:eastAsia="仿宋_GB2312"/>
          <w:b w:val="0"/>
          <w:sz w:val="32"/>
        </w:rPr>
        <w:t>年初预算数2,087.56万元，决算数4,043.79万元，预决算差异率93.71%，主要原因是：年中追加塔什库尔干乡库孜滚村新型农村集体经济发展项目、塔什库尔干乡库鲁木克棚圈建设2024年中央财政以工代赈项目、塔什库尔干乡瓦尔希迭村亮化项目、塔什库尔干乡托格伦夏村村容村貌提升项目、塔什库尔干乡富民村亮化项目，导致预决算存在差异。</w:t>
      </w:r>
    </w:p>
    <w:p w14:paraId="2665AE93">
      <w:pPr>
        <w:spacing w:line="640" w:lineRule="exact"/>
        <w:ind w:firstLine="640"/>
        <w:jc w:val="both"/>
        <w:outlineLvl w:val="3"/>
      </w:pPr>
      <w:r>
        <w:rPr>
          <w:rFonts w:ascii="楷体_GB2312" w:hAnsi="楷体_GB2312" w:eastAsia="楷体_GB2312"/>
          <w:b/>
          <w:sz w:val="32"/>
        </w:rPr>
        <w:t>（二）一般公共预算财政拨款支出决算结构情况</w:t>
      </w:r>
    </w:p>
    <w:p w14:paraId="4A498708">
      <w:pPr>
        <w:spacing w:line="580" w:lineRule="exact"/>
        <w:ind w:firstLine="640"/>
        <w:jc w:val="both"/>
      </w:pPr>
      <w:r>
        <w:rPr>
          <w:rFonts w:ascii="仿宋_GB2312" w:hAnsi="仿宋_GB2312" w:eastAsia="仿宋_GB2312"/>
          <w:b w:val="0"/>
          <w:sz w:val="32"/>
        </w:rPr>
        <w:t>1.一般公共服务支出(类)1,098.55万元,占27.17%。</w:t>
      </w:r>
    </w:p>
    <w:p w14:paraId="0C060BB9">
      <w:pPr>
        <w:spacing w:line="580" w:lineRule="exact"/>
        <w:ind w:firstLine="640"/>
        <w:jc w:val="both"/>
      </w:pPr>
      <w:r>
        <w:rPr>
          <w:rFonts w:ascii="仿宋_GB2312" w:hAnsi="仿宋_GB2312" w:eastAsia="仿宋_GB2312"/>
          <w:b w:val="0"/>
          <w:sz w:val="32"/>
        </w:rPr>
        <w:t>2.文化旅游体育与传媒支出(类)9.40万元,占0.23%。</w:t>
      </w:r>
    </w:p>
    <w:p w14:paraId="7A615C73">
      <w:pPr>
        <w:spacing w:line="580" w:lineRule="exact"/>
        <w:ind w:firstLine="640"/>
        <w:jc w:val="both"/>
      </w:pPr>
      <w:r>
        <w:rPr>
          <w:rFonts w:ascii="仿宋_GB2312" w:hAnsi="仿宋_GB2312" w:eastAsia="仿宋_GB2312"/>
          <w:b w:val="0"/>
          <w:sz w:val="32"/>
        </w:rPr>
        <w:t>3.社会保障和就业支出(类)1,427.01万元,占35.29%。</w:t>
      </w:r>
    </w:p>
    <w:p w14:paraId="03D7D645">
      <w:pPr>
        <w:spacing w:line="580" w:lineRule="exact"/>
        <w:ind w:firstLine="640"/>
        <w:jc w:val="both"/>
      </w:pPr>
      <w:r>
        <w:rPr>
          <w:rFonts w:ascii="仿宋_GB2312" w:hAnsi="仿宋_GB2312" w:eastAsia="仿宋_GB2312"/>
          <w:b w:val="0"/>
          <w:sz w:val="32"/>
        </w:rPr>
        <w:t>4.卫生健康支出(类)90.15万元,占2.23%。</w:t>
      </w:r>
    </w:p>
    <w:p w14:paraId="713CA7EE">
      <w:pPr>
        <w:spacing w:line="580" w:lineRule="exact"/>
        <w:ind w:firstLine="640"/>
        <w:jc w:val="both"/>
      </w:pPr>
      <w:r>
        <w:rPr>
          <w:rFonts w:ascii="仿宋_GB2312" w:hAnsi="仿宋_GB2312" w:eastAsia="仿宋_GB2312"/>
          <w:b w:val="0"/>
          <w:sz w:val="32"/>
        </w:rPr>
        <w:t>5.农林水支出(类)1,186.03万元,占29.33%。</w:t>
      </w:r>
    </w:p>
    <w:p w14:paraId="222C4400">
      <w:pPr>
        <w:spacing w:line="580" w:lineRule="exact"/>
        <w:ind w:firstLine="640"/>
        <w:jc w:val="both"/>
      </w:pPr>
      <w:r>
        <w:rPr>
          <w:rFonts w:ascii="仿宋_GB2312" w:hAnsi="仿宋_GB2312" w:eastAsia="仿宋_GB2312"/>
          <w:b w:val="0"/>
          <w:sz w:val="32"/>
        </w:rPr>
        <w:t>6.住房保障支出(类)162.07万元,占4.01%。</w:t>
      </w:r>
    </w:p>
    <w:p w14:paraId="06B9FA0F">
      <w:pPr>
        <w:spacing w:line="580" w:lineRule="exact"/>
        <w:ind w:firstLine="640"/>
        <w:jc w:val="both"/>
      </w:pPr>
      <w:r>
        <w:rPr>
          <w:rFonts w:ascii="仿宋_GB2312" w:hAnsi="仿宋_GB2312" w:eastAsia="仿宋_GB2312"/>
          <w:b w:val="0"/>
          <w:sz w:val="32"/>
        </w:rPr>
        <w:t>7.其他支出(类)70.58万元,占1.75%。</w:t>
      </w:r>
    </w:p>
    <w:p w14:paraId="0F27289B">
      <w:pPr>
        <w:spacing w:line="640" w:lineRule="exact"/>
        <w:ind w:firstLine="640"/>
        <w:jc w:val="both"/>
        <w:outlineLvl w:val="3"/>
      </w:pPr>
      <w:r>
        <w:rPr>
          <w:rFonts w:ascii="楷体_GB2312" w:hAnsi="楷体_GB2312" w:eastAsia="楷体_GB2312"/>
          <w:b/>
          <w:sz w:val="32"/>
        </w:rPr>
        <w:t>（三）一般公共预算财政拨款支出决算具体情况</w:t>
      </w:r>
    </w:p>
    <w:p w14:paraId="3F60234F">
      <w:pPr>
        <w:spacing w:line="580" w:lineRule="exact"/>
        <w:ind w:firstLine="640"/>
        <w:jc w:val="both"/>
      </w:pPr>
      <w:r>
        <w:rPr>
          <w:rFonts w:ascii="仿宋_GB2312" w:hAnsi="仿宋_GB2312" w:eastAsia="仿宋_GB2312"/>
          <w:b w:val="0"/>
          <w:sz w:val="32"/>
        </w:rPr>
        <w:t>1.一般公共服务支出(类)人大事务(款)人大会议(项):支出决算数为2.52万元，比上年决算增加2.52万元，增长100.00%,主要原因是：本年增加2024年人大代表活动经费。</w:t>
      </w:r>
    </w:p>
    <w:p w14:paraId="17D30B9C">
      <w:pPr>
        <w:spacing w:line="580" w:lineRule="exact"/>
        <w:ind w:firstLine="640"/>
        <w:jc w:val="both"/>
      </w:pPr>
      <w:r>
        <w:rPr>
          <w:rFonts w:ascii="仿宋_GB2312" w:hAnsi="仿宋_GB2312" w:eastAsia="仿宋_GB2312"/>
          <w:b w:val="0"/>
          <w:sz w:val="32"/>
        </w:rPr>
        <w:t>2.一般公共服务支出(类)人大事务(款)代表工作(项):支出决算数为10.33万元，比上年决算减少1.39万元，下降11.86%,主要原因是：本年减少2021-2023年塔什库尔干乡人大联络站工作经费。</w:t>
      </w:r>
    </w:p>
    <w:p w14:paraId="6512E0C1">
      <w:pPr>
        <w:spacing w:line="580" w:lineRule="exact"/>
        <w:ind w:firstLine="640"/>
        <w:jc w:val="both"/>
      </w:pPr>
      <w:r>
        <w:rPr>
          <w:rFonts w:ascii="仿宋_GB2312" w:hAnsi="仿宋_GB2312" w:eastAsia="仿宋_GB2312"/>
          <w:b w:val="0"/>
          <w:sz w:val="32"/>
        </w:rPr>
        <w:t>3.一般公共服务支出(类)政协事务(款)其他政协事务支出(项):支出决算数为0.40万元，比上年决算增加0.20万元，增长100.00%,主要原因是：本年增加2024年政协工作联络站经费。</w:t>
      </w:r>
    </w:p>
    <w:p w14:paraId="60225499">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4.一般公共服务支出(类)政府办公厅（室）及相关机构事务(款)行政运行(项):支出决算数为1,041.36万元，比上年决算减少40.28万元，下降3.72%,主要原因是：本年在职人员减少，相应人员经费较上年减少。</w:t>
      </w:r>
    </w:p>
    <w:p w14:paraId="1B005D50">
      <w:pPr>
        <w:spacing w:line="580" w:lineRule="exact"/>
        <w:ind w:firstLine="640"/>
        <w:jc w:val="both"/>
      </w:pPr>
      <w:r>
        <w:rPr>
          <w:rFonts w:ascii="仿宋_GB2312" w:hAnsi="仿宋_GB2312" w:eastAsia="仿宋_GB2312"/>
          <w:b w:val="0"/>
          <w:sz w:val="32"/>
        </w:rPr>
        <w:t>5.一般公共服务支出(类)政府办公厅（室）及相关机构事务(款)其他政府办公厅（室）及相关机构事务支出(项):支出决算数为39.23万元，比上年决算增加39.23万元，增长100.00%,主要原因是：本年增加购置1辆公务用车及路灯购置项目。</w:t>
      </w:r>
    </w:p>
    <w:p w14:paraId="0AB8AE4D">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6.一般公共服务支出(类)纪检监察事务(款)其他纪检监察事务支出(项):支出决算数为2.00万元，比上年决算增加0.50万元，增长33.33%,主要原因是：本年增加纪检办案经费。</w:t>
      </w:r>
    </w:p>
    <w:p w14:paraId="025E30B5">
      <w:pPr>
        <w:spacing w:line="580" w:lineRule="exact"/>
        <w:ind w:firstLine="640"/>
        <w:jc w:val="both"/>
      </w:pPr>
      <w:r>
        <w:rPr>
          <w:rFonts w:ascii="仿宋_GB2312" w:hAnsi="仿宋_GB2312" w:eastAsia="仿宋_GB2312"/>
          <w:b w:val="0"/>
          <w:sz w:val="32"/>
        </w:rPr>
        <w:t>7.一般公共服务支出(类)组织事务(款)其他组织事务支出(项):支出决算数为2.71万元，比上年决算减少76.04万元，下降96.56%,主要原因是：本年科目调整，村级运转经费从其他组织事务支出科目调整至其他农林水支出科目，导致经费较上年减少。</w:t>
      </w:r>
    </w:p>
    <w:p w14:paraId="450EF652">
      <w:pPr>
        <w:spacing w:line="580" w:lineRule="exact"/>
        <w:ind w:firstLine="640"/>
        <w:jc w:val="both"/>
      </w:pPr>
      <w:r>
        <w:rPr>
          <w:rFonts w:ascii="仿宋_GB2312" w:hAnsi="仿宋_GB2312" w:eastAsia="仿宋_GB2312"/>
          <w:b w:val="0"/>
          <w:sz w:val="32"/>
        </w:rPr>
        <w:t>8.一般公共服务支出(类)其他一般公共服务支出(款)其他一般公共服务支出(项):支出决算数为0.00万元，比上年决算减少33.85万元，下降100.00%,主要原因是：一是减少2023年中央财政林业草原生态保护恢复资金森林资源培育补助项目，城镇基础设施建设项目；二是减少下半年BM补贴经费。</w:t>
      </w:r>
    </w:p>
    <w:p w14:paraId="7257A96D">
      <w:pPr>
        <w:spacing w:line="580" w:lineRule="exact"/>
        <w:ind w:firstLine="640"/>
        <w:jc w:val="both"/>
      </w:pPr>
      <w:r>
        <w:rPr>
          <w:rFonts w:ascii="仿宋_GB2312" w:hAnsi="仿宋_GB2312" w:eastAsia="仿宋_GB2312"/>
          <w:b w:val="0"/>
          <w:sz w:val="32"/>
        </w:rPr>
        <w:t>9.公共安全支出(类)其他公共安全支出(款)其他公共安全支出(项):支出决算数为0.00万元，比上年决算减少0.03万元，下降100.00%,主要原因是：本年度减少发放下半年BM补贴。</w:t>
      </w:r>
    </w:p>
    <w:p w14:paraId="377EFF41">
      <w:pPr>
        <w:spacing w:line="580" w:lineRule="exact"/>
        <w:ind w:firstLine="640"/>
        <w:jc w:val="both"/>
      </w:pPr>
      <w:r>
        <w:rPr>
          <w:rFonts w:ascii="仿宋_GB2312" w:hAnsi="仿宋_GB2312" w:eastAsia="仿宋_GB2312"/>
          <w:b w:val="0"/>
          <w:sz w:val="32"/>
        </w:rPr>
        <w:t>10.文化旅游体育与传媒支出(类)文化和旅游(款)文化创作与保护(项):支出决算数为0.90万元，比上年决算减少1.50万元，下降62.50%,主要原因是：本年度开展各种文化活动减少，经费减少。</w:t>
      </w:r>
    </w:p>
    <w:p w14:paraId="2CD76A63">
      <w:pPr>
        <w:spacing w:line="580" w:lineRule="exact"/>
        <w:ind w:firstLine="640"/>
        <w:jc w:val="both"/>
      </w:pPr>
      <w:r>
        <w:rPr>
          <w:rFonts w:ascii="仿宋_GB2312" w:hAnsi="仿宋_GB2312" w:eastAsia="仿宋_GB2312"/>
          <w:b w:val="0"/>
          <w:sz w:val="32"/>
        </w:rPr>
        <w:t>11.文化旅游体育与传媒支出(类)文化和旅游(款)其他文化和旅游支出(项):支出决算数为5.00万元，比上年决算减少3.02万元，下降37.66%,主要原因是：本年度文化站联络经费较上年减少。</w:t>
      </w:r>
    </w:p>
    <w:p w14:paraId="6C0A366D">
      <w:pPr>
        <w:spacing w:line="580" w:lineRule="exact"/>
        <w:ind w:firstLine="640"/>
        <w:jc w:val="both"/>
      </w:pPr>
      <w:r>
        <w:rPr>
          <w:rFonts w:ascii="仿宋_GB2312" w:hAnsi="仿宋_GB2312" w:eastAsia="仿宋_GB2312"/>
          <w:b w:val="0"/>
          <w:sz w:val="32"/>
        </w:rPr>
        <w:t>12.文化旅游体育与传媒支出(类)其他文化旅游体育与传媒支出(款)其他文化旅游体育与传媒支出(项):支出决算数为3.50万元，比上年决算减少71.50万元，下降95.33%,主要原因是：减少中央补助地方公共文化服务体系建设补助资金。</w:t>
      </w:r>
    </w:p>
    <w:p w14:paraId="3B19474A">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13.社会保障和就业支出(类)行政事业单位养老支出(款)行政单位离退休(项):支出决算数为50.83万元，比上年决算增加1.40万元，增长2.83%,主要原因是：本年增加退休人员基础绩效奖，退休费支出增加。</w:t>
      </w:r>
    </w:p>
    <w:p w14:paraId="33DCCCCB">
      <w:pPr>
        <w:spacing w:line="580" w:lineRule="exact"/>
        <w:ind w:firstLine="640"/>
        <w:jc w:val="both"/>
      </w:pPr>
      <w:r>
        <w:rPr>
          <w:rFonts w:ascii="仿宋_GB2312" w:hAnsi="仿宋_GB2312" w:eastAsia="仿宋_GB2312"/>
          <w:b w:val="0"/>
          <w:sz w:val="32"/>
        </w:rPr>
        <w:t>14.社会保障和就业支出(类)行政事业单位养老支出(款)事业单位离退休(项):支出决算数为0.00万元，比上年决算减少0.96万元，下降100.00%,主要原因是：本年功能科目调整，事业单位离退休上年度单独列支，本年调整至事业运行科目列支，导致经费较上年减少。</w:t>
      </w:r>
    </w:p>
    <w:p w14:paraId="6A25D4D8">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178.51万元，比上年决算增加6.76万元，增长3.94%,主要原因是：人员工资基数调增，养老缴费基数上涨，相应支出增加。</w:t>
      </w:r>
    </w:p>
    <w:p w14:paraId="1A8466E8">
      <w:pPr>
        <w:spacing w:line="580" w:lineRule="exact"/>
        <w:ind w:firstLine="640"/>
        <w:jc w:val="both"/>
      </w:pPr>
      <w:r>
        <w:rPr>
          <w:rFonts w:ascii="仿宋_GB2312" w:hAnsi="仿宋_GB2312" w:eastAsia="仿宋_GB2312"/>
          <w:b w:val="0"/>
          <w:sz w:val="32"/>
        </w:rPr>
        <w:t>16.社会保障和就业支出(类)行政事业单位养老支出(款)机关事业单位职业年金缴费支出(项):支出决算数为9.95万元，比上年决算减少65.05万元，下降86.73%,主要原因是：本年新增退休人员较上年减少，导致职业年金缴费支出较上年减少。</w:t>
      </w:r>
    </w:p>
    <w:p w14:paraId="68C6E955">
      <w:pPr>
        <w:spacing w:line="580" w:lineRule="exact"/>
        <w:ind w:firstLine="640"/>
        <w:jc w:val="both"/>
      </w:pPr>
      <w:r>
        <w:rPr>
          <w:rFonts w:ascii="仿宋_GB2312" w:hAnsi="仿宋_GB2312" w:eastAsia="仿宋_GB2312"/>
          <w:b w:val="0"/>
          <w:sz w:val="32"/>
        </w:rPr>
        <w:t>17.社会保障和就业支出(类)社会福利(款)殡葬(项):支出决算数为0.00万元，比上年决算减少26.58万元，下降100.00%,主要原因是：本年度无人员去世，导致殡葬支出减少。</w:t>
      </w:r>
    </w:p>
    <w:p w14:paraId="5C3EA50F">
      <w:pPr>
        <w:spacing w:line="580" w:lineRule="exact"/>
        <w:ind w:firstLine="640"/>
        <w:jc w:val="both"/>
      </w:pPr>
      <w:r>
        <w:rPr>
          <w:rFonts w:ascii="仿宋_GB2312" w:hAnsi="仿宋_GB2312" w:eastAsia="仿宋_GB2312"/>
          <w:b w:val="0"/>
          <w:sz w:val="32"/>
        </w:rPr>
        <w:t>18.社会保障和就业支出(类)其他社会保障和就业支出(款)其他社会保障和就业支出(项):支出决算数为1,187.73万元，比上年决算减少879.14万元，下降42.53%,主要原因是：本年下半年未发放塔什库尔干乡BM补助，导致经费减少。</w:t>
      </w:r>
    </w:p>
    <w:p w14:paraId="75F05D53">
      <w:pPr>
        <w:spacing w:line="580" w:lineRule="exact"/>
        <w:ind w:firstLine="640"/>
        <w:jc w:val="both"/>
      </w:pPr>
      <w:r>
        <w:rPr>
          <w:rFonts w:ascii="仿宋_GB2312" w:hAnsi="仿宋_GB2312" w:eastAsia="仿宋_GB2312"/>
          <w:b w:val="0"/>
          <w:sz w:val="32"/>
        </w:rPr>
        <w:t>19.卫生健康支出(类)行政事业单位医疗(款)行政单位医疗(项):支出决算数为75.83万元，比上年决算减少16.65万元，下降18.00%,主要原因是：本年在职人员减少，行政单位医疗较上年减少。</w:t>
      </w:r>
    </w:p>
    <w:p w14:paraId="3180CE96">
      <w:pPr>
        <w:spacing w:line="580" w:lineRule="exact"/>
        <w:ind w:firstLine="640"/>
        <w:jc w:val="both"/>
      </w:pPr>
      <w:r>
        <w:rPr>
          <w:rFonts w:ascii="仿宋_GB2312" w:hAnsi="仿宋_GB2312" w:eastAsia="仿宋_GB2312"/>
          <w:b w:val="0"/>
          <w:sz w:val="32"/>
        </w:rPr>
        <w:t>20.卫生健康支出(类)行政事业单位医疗(款)公务员医疗补助(项):支出决算数为14.32万元，比上年决算减少3.52万元，下降19.73%,主要原因是：本年在职人员减少，公务员医疗补助较上年减少。</w:t>
      </w:r>
    </w:p>
    <w:p w14:paraId="0289CF96">
      <w:pPr>
        <w:spacing w:line="580" w:lineRule="exact"/>
        <w:ind w:firstLine="640"/>
        <w:jc w:val="both"/>
      </w:pPr>
      <w:r>
        <w:rPr>
          <w:rFonts w:ascii="仿宋_GB2312" w:hAnsi="仿宋_GB2312" w:eastAsia="仿宋_GB2312"/>
          <w:b w:val="0"/>
          <w:sz w:val="32"/>
        </w:rPr>
        <w:t>21.节能环保支出(类)自然生态保护(款)农村环境保护(项):支出决算数为0.00万元，比上年决算减少56.81万元，下降100.00%,主要原因是：本年减少2023年中央财政林业草原生态保护恢复资金森林资源培育补助项目。</w:t>
      </w:r>
    </w:p>
    <w:p w14:paraId="26DBE1B4">
      <w:pPr>
        <w:spacing w:line="580" w:lineRule="exact"/>
        <w:ind w:firstLine="640"/>
        <w:jc w:val="both"/>
      </w:pPr>
      <w:r>
        <w:rPr>
          <w:rFonts w:ascii="仿宋_GB2312" w:hAnsi="仿宋_GB2312" w:eastAsia="仿宋_GB2312"/>
          <w:b w:val="0"/>
          <w:sz w:val="32"/>
        </w:rPr>
        <w:t>22.城乡社区支出(类)城乡社区公共设施(款)小城镇基础设施建设(项):支出决算数为0.00万元，比上年决算减少31.48万元，下降100.00%,主要原因是：本年减少塔什库尔干乡瓦尔希迭村卫星工厂附属设施建设项目。</w:t>
      </w:r>
    </w:p>
    <w:p w14:paraId="6360FD5B">
      <w:pPr>
        <w:spacing w:line="580" w:lineRule="exact"/>
        <w:ind w:firstLine="640"/>
        <w:jc w:val="both"/>
      </w:pPr>
      <w:r>
        <w:rPr>
          <w:rFonts w:ascii="仿宋_GB2312" w:hAnsi="仿宋_GB2312" w:eastAsia="仿宋_GB2312"/>
          <w:b w:val="0"/>
          <w:sz w:val="32"/>
        </w:rPr>
        <w:t>23.城乡社区支出(类)城乡社区公共设施(款)其他城乡社区公共设施支出(项):支出决算数为0.00万元，比上年决算减少140.72万元，下降100.00%,主要原因是：本年减少2023年乡镇干部周转宿舍建设项目、塔什库尔干乡托格伦夏村2023年村级组织活动场所建设项目。</w:t>
      </w:r>
    </w:p>
    <w:p w14:paraId="6B1DBDD0">
      <w:pPr>
        <w:spacing w:line="580" w:lineRule="exact"/>
        <w:ind w:firstLine="640"/>
        <w:jc w:val="both"/>
      </w:pPr>
      <w:r>
        <w:rPr>
          <w:rFonts w:ascii="仿宋_GB2312" w:hAnsi="仿宋_GB2312" w:eastAsia="仿宋_GB2312"/>
          <w:b w:val="0"/>
          <w:sz w:val="32"/>
        </w:rPr>
        <w:t>24.农林水支出(类)农业农村(款)事业运行(项):支出决算数为527.82万元，比上年决算增加14.75万元，增长2.87%,主要原因是：本年在职人员工资调增，导致相关人员经费较上年有所增加；本年功能科目调整，事业单位离退休上年度单独列支，本年调整至事业运行科目列支，导致经费较上年增加。</w:t>
      </w:r>
    </w:p>
    <w:p w14:paraId="1A3B1096">
      <w:pPr>
        <w:spacing w:line="580" w:lineRule="exact"/>
        <w:ind w:firstLine="640"/>
        <w:jc w:val="both"/>
      </w:pPr>
      <w:r>
        <w:rPr>
          <w:rFonts w:ascii="仿宋_GB2312" w:hAnsi="仿宋_GB2312" w:eastAsia="仿宋_GB2312"/>
          <w:b w:val="0"/>
          <w:sz w:val="32"/>
        </w:rPr>
        <w:t>25.农林水支出(类)农业农村(款)乡村道路建设(项):支出决算数为27.83万元，比上年决算增加27.83万元，增长100.00%,主要原因是：本年增加美化亮化（路灯）购置项目。</w:t>
      </w:r>
    </w:p>
    <w:p w14:paraId="435B540C">
      <w:pPr>
        <w:spacing w:line="580" w:lineRule="exact"/>
        <w:ind w:firstLine="640"/>
        <w:jc w:val="both"/>
      </w:pPr>
      <w:r>
        <w:rPr>
          <w:rFonts w:ascii="仿宋_GB2312" w:hAnsi="仿宋_GB2312" w:eastAsia="仿宋_GB2312"/>
          <w:b w:val="0"/>
          <w:sz w:val="32"/>
        </w:rPr>
        <w:t>26.农林水支出(类)巩固脱贫攻坚成果衔接乡村振兴(款)生产发展(项):支出决算数为282.64万元，比上年决算减少315.52万元，下降52.75%,主要原因是：本年</w:t>
      </w:r>
      <w:r>
        <w:rPr>
          <w:rFonts w:hint="eastAsia" w:ascii="仿宋_GB2312" w:hAnsi="仿宋_GB2312" w:eastAsia="仿宋_GB2312"/>
          <w:b w:val="0"/>
          <w:sz w:val="32"/>
          <w:lang w:val="en-US" w:eastAsia="zh-CN"/>
        </w:rPr>
        <w:t>减少塔什库尔干乡托格伦夏村2023年发展新型农村集体经济项目资金等</w:t>
      </w:r>
      <w:r>
        <w:rPr>
          <w:rFonts w:ascii="仿宋_GB2312" w:hAnsi="仿宋_GB2312" w:eastAsia="仿宋_GB2312"/>
          <w:b w:val="0"/>
          <w:sz w:val="32"/>
        </w:rPr>
        <w:t>。</w:t>
      </w:r>
    </w:p>
    <w:p w14:paraId="49BE1E02">
      <w:pPr>
        <w:spacing w:line="580" w:lineRule="exact"/>
        <w:ind w:firstLine="640"/>
        <w:jc w:val="both"/>
      </w:pPr>
      <w:r>
        <w:rPr>
          <w:rFonts w:ascii="仿宋_GB2312" w:hAnsi="仿宋_GB2312" w:eastAsia="仿宋_GB2312"/>
          <w:b w:val="0"/>
          <w:sz w:val="32"/>
        </w:rPr>
        <w:t>27.农林水支出(类)农村综合改革(款)对村级公益事业建设的补助(项):支出决算数为252.02万元，比上年决算减少59.92万元，下降19.21%,主要原因是：本年减少塔什库尔干乡瓦尔希迭村美化亮化项目、塔什库尔干乡瓦尔西迭村美化亮化项目、塔什库尔干乡瓦尔希迭村美化亮化项目、塔什库尔干乡风貌改造项目、塔什库尔干乡托格伦夏村民宿文化建设项目、塔什库尔干乡瓦尔希迭村美化亮化项目。</w:t>
      </w:r>
    </w:p>
    <w:p w14:paraId="6422BFF1">
      <w:pPr>
        <w:spacing w:line="580" w:lineRule="exact"/>
        <w:ind w:firstLine="640"/>
        <w:jc w:val="both"/>
      </w:pPr>
      <w:r>
        <w:rPr>
          <w:rFonts w:ascii="仿宋_GB2312" w:hAnsi="仿宋_GB2312" w:eastAsia="仿宋_GB2312"/>
          <w:b w:val="0"/>
          <w:sz w:val="32"/>
        </w:rPr>
        <w:t>28.农林水支出(类)农村综合改革(款)对村民委员会和村党支部的补助(项):支出决算数为0.00万元，比上年决算减少5.44万元，下降100.00%,主要原因是：本年减少塔什库尔干乡爱民村为民办实事经费，塔什库尔干乡富民村为民办实事经费。</w:t>
      </w:r>
    </w:p>
    <w:p w14:paraId="1530B0D6">
      <w:pPr>
        <w:spacing w:line="580" w:lineRule="exact"/>
        <w:ind w:firstLine="640"/>
        <w:jc w:val="both"/>
      </w:pPr>
      <w:r>
        <w:rPr>
          <w:rFonts w:ascii="仿宋_GB2312" w:hAnsi="仿宋_GB2312" w:eastAsia="仿宋_GB2312"/>
          <w:b w:val="0"/>
          <w:sz w:val="32"/>
        </w:rPr>
        <w:t>29.农林水支出(类)农村综合改革(款)其他农村综合改革支出(项):支出决算数为0.00万元，比上年决算减少60.00万元，下降100.00%,主要原因是：本年减少塔什库尔干乡暖气设施改建资金。</w:t>
      </w:r>
    </w:p>
    <w:p w14:paraId="7416A5B6">
      <w:pPr>
        <w:spacing w:line="580" w:lineRule="exact"/>
        <w:ind w:firstLine="640"/>
        <w:jc w:val="both"/>
      </w:pPr>
      <w:r>
        <w:rPr>
          <w:rFonts w:ascii="仿宋_GB2312" w:hAnsi="仿宋_GB2312" w:eastAsia="仿宋_GB2312"/>
          <w:b w:val="0"/>
          <w:sz w:val="32"/>
        </w:rPr>
        <w:t>30.农林水支出(类)其他农林水支出(款)其他农林水支出(项):支出决算数为95.72万元，比上年决算增加30.86万元，增长47.58%,主要原因是：本年科目调整，村级运转经费从其他组织事务支出科目调整至其他农林水支出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经费增加</w:t>
      </w:r>
      <w:r>
        <w:rPr>
          <w:rFonts w:ascii="仿宋_GB2312" w:hAnsi="仿宋_GB2312" w:eastAsia="仿宋_GB2312"/>
          <w:b w:val="0"/>
          <w:sz w:val="32"/>
        </w:rPr>
        <w:t>。</w:t>
      </w:r>
    </w:p>
    <w:p w14:paraId="38BFAFF6">
      <w:pPr>
        <w:spacing w:line="580" w:lineRule="exact"/>
        <w:ind w:firstLine="640"/>
        <w:jc w:val="both"/>
      </w:pPr>
      <w:r>
        <w:rPr>
          <w:rFonts w:ascii="仿宋_GB2312" w:hAnsi="仿宋_GB2312" w:eastAsia="仿宋_GB2312"/>
          <w:b w:val="0"/>
          <w:sz w:val="32"/>
        </w:rPr>
        <w:t>31.住房保障支出(类)住房改革支出(款)住房公积金(项):支出决算数为162.07万元，比上年决算增加21.71万元，增长15.47%,主要原因是：人员工资基数调增，公积金缴费基数上涨，相应支出增加。</w:t>
      </w:r>
    </w:p>
    <w:p w14:paraId="55938472">
      <w:pPr>
        <w:spacing w:line="580" w:lineRule="exact"/>
        <w:ind w:firstLine="640"/>
        <w:jc w:val="both"/>
      </w:pPr>
      <w:r>
        <w:rPr>
          <w:rFonts w:ascii="仿宋_GB2312" w:hAnsi="仿宋_GB2312" w:eastAsia="仿宋_GB2312"/>
          <w:b w:val="0"/>
          <w:sz w:val="32"/>
        </w:rPr>
        <w:t>32.其他支出(类)其他支出(款)其他支出(项):支出决算数为70.58万元，比上年决算减少220.27万元，下降75.73%,主要原因是：减少塔什库尔干乡富民村村级运转经费、塔什库尔干乡2023年乡镇干部周转宿舍建设项目、塔什库尔干乡托格伦夏村2023年村级组织活动场所建设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p>
    <w:p w14:paraId="1124AB88">
      <w:pPr>
        <w:spacing w:line="640" w:lineRule="exact"/>
        <w:ind w:firstLine="640"/>
        <w:jc w:val="both"/>
        <w:outlineLvl w:val="2"/>
      </w:pPr>
      <w:r>
        <w:rPr>
          <w:rFonts w:ascii="黑体" w:hAnsi="黑体" w:eastAsia="黑体"/>
          <w:sz w:val="32"/>
        </w:rPr>
        <w:t>六、一般公共预算财政拨款基本支出决算情况说明</w:t>
      </w:r>
    </w:p>
    <w:p w14:paraId="470B4BDE">
      <w:pPr>
        <w:spacing w:line="580" w:lineRule="exact"/>
        <w:ind w:firstLine="640"/>
        <w:jc w:val="both"/>
      </w:pPr>
      <w:r>
        <w:rPr>
          <w:rFonts w:ascii="仿宋_GB2312" w:hAnsi="仿宋_GB2312" w:eastAsia="仿宋_GB2312"/>
          <w:b w:val="0"/>
          <w:sz w:val="32"/>
        </w:rPr>
        <w:t>2024年度一般公共预算财政拨款基本支出2,060.68万元，其中：</w:t>
      </w:r>
      <w:r>
        <w:rPr>
          <w:rFonts w:ascii="仿宋_GB2312" w:hAnsi="仿宋_GB2312" w:eastAsia="仿宋_GB2312"/>
          <w:b/>
          <w:sz w:val="32"/>
        </w:rPr>
        <w:t>人员经费1,980.26万元，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25A305DD">
      <w:pPr>
        <w:spacing w:line="580" w:lineRule="exact"/>
        <w:ind w:firstLine="640"/>
        <w:jc w:val="both"/>
      </w:pPr>
      <w:r>
        <w:rPr>
          <w:rFonts w:ascii="仿宋_GB2312" w:hAnsi="仿宋_GB2312" w:eastAsia="仿宋_GB2312"/>
          <w:b/>
          <w:sz w:val="32"/>
        </w:rPr>
        <w:t>公用经费80.43万元，</w:t>
      </w:r>
      <w:r>
        <w:rPr>
          <w:rFonts w:ascii="仿宋_GB2312" w:hAnsi="仿宋_GB2312" w:eastAsia="仿宋_GB2312"/>
          <w:b w:val="0"/>
          <w:sz w:val="32"/>
        </w:rPr>
        <w:t>包括：办公费、取暖费、公务用车运行维护费。</w:t>
      </w:r>
    </w:p>
    <w:p w14:paraId="1B09F1F3">
      <w:pPr>
        <w:spacing w:line="640" w:lineRule="exact"/>
        <w:ind w:firstLine="640"/>
        <w:jc w:val="both"/>
        <w:outlineLvl w:val="2"/>
      </w:pPr>
      <w:r>
        <w:rPr>
          <w:rFonts w:ascii="黑体" w:hAnsi="黑体" w:eastAsia="黑体"/>
          <w:sz w:val="32"/>
        </w:rPr>
        <w:t>七、政府性基金预算财政拨款收入支出决算情况说明</w:t>
      </w:r>
    </w:p>
    <w:p w14:paraId="6990037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031724">
      <w:pPr>
        <w:spacing w:line="640" w:lineRule="exact"/>
        <w:ind w:firstLine="640"/>
        <w:jc w:val="both"/>
        <w:outlineLvl w:val="2"/>
      </w:pPr>
      <w:r>
        <w:rPr>
          <w:rFonts w:ascii="黑体" w:hAnsi="黑体" w:eastAsia="黑体"/>
          <w:sz w:val="32"/>
        </w:rPr>
        <w:t>八、国有资本经营预算财政拨款收入支出决算情况说明</w:t>
      </w:r>
    </w:p>
    <w:p w14:paraId="6C596E5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FA8FB4">
      <w:pPr>
        <w:spacing w:line="640" w:lineRule="exact"/>
        <w:ind w:firstLine="640"/>
        <w:jc w:val="both"/>
        <w:outlineLvl w:val="2"/>
      </w:pPr>
      <w:r>
        <w:rPr>
          <w:rFonts w:ascii="黑体" w:hAnsi="黑体" w:eastAsia="黑体"/>
          <w:sz w:val="32"/>
        </w:rPr>
        <w:t>九、财政拨款“三公”经费支出决算情况说明</w:t>
      </w:r>
    </w:p>
    <w:p w14:paraId="7D9175E4">
      <w:pPr>
        <w:spacing w:line="580" w:lineRule="exact"/>
        <w:ind w:firstLine="640"/>
        <w:jc w:val="both"/>
      </w:pPr>
      <w:r>
        <w:rPr>
          <w:rFonts w:ascii="仿宋_GB2312" w:hAnsi="仿宋_GB2312" w:eastAsia="仿宋_GB2312"/>
          <w:b/>
          <w:sz w:val="32"/>
        </w:rPr>
        <w:t>2024年度财政拨款“三公”经费支出34.53万元，</w:t>
      </w:r>
      <w:r>
        <w:rPr>
          <w:rFonts w:ascii="仿宋_GB2312" w:hAnsi="仿宋_GB2312" w:eastAsia="仿宋_GB2312"/>
          <w:b w:val="0"/>
          <w:sz w:val="32"/>
        </w:rPr>
        <w:t>比上年增加16.53万元，增长91.83%，主要原因是：本年度购置一辆车，车辆保养、燃油、保险等费用增加。其中：因公出国（境）费支出0.00万元，占0.00%，比上年增加0.00万元，增长0.00%，主要原因是：2023年与2024年均未安排因公出国（境）费支出。公务用车购置及运行维护费支出34.53万元，占100.00%，比上年增加16.53万元，增长91.83%，主要原因是：本年度购置一辆车，车辆保养、燃油、保险等费用增加。公务接待费支出0.00万元，占0.00%，比上年增加0.00万元，增长0.00%，主要原因是：2023年与2024年均未安排公务接待费支出。</w:t>
      </w:r>
    </w:p>
    <w:p w14:paraId="1F987B66">
      <w:pPr>
        <w:spacing w:line="580" w:lineRule="exact"/>
        <w:ind w:firstLine="640"/>
        <w:jc w:val="both"/>
      </w:pPr>
      <w:r>
        <w:rPr>
          <w:rFonts w:ascii="仿宋_GB2312" w:hAnsi="仿宋_GB2312" w:eastAsia="仿宋_GB2312"/>
          <w:b/>
          <w:sz w:val="32"/>
        </w:rPr>
        <w:t>具体情况如下：</w:t>
      </w:r>
    </w:p>
    <w:p w14:paraId="6F4AFD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C8EC33A">
      <w:pPr>
        <w:spacing w:line="580" w:lineRule="exact"/>
        <w:ind w:firstLine="640"/>
        <w:jc w:val="both"/>
      </w:pPr>
      <w:r>
        <w:rPr>
          <w:rFonts w:ascii="仿宋_GB2312" w:hAnsi="仿宋_GB2312" w:eastAsia="仿宋_GB2312"/>
          <w:b w:val="0"/>
          <w:sz w:val="32"/>
        </w:rPr>
        <w:t>公务用车购置及运行维护费34.53万元，其中：公务用车购置费16.53万元，公务用车运行维护费18.00万元。公务用车运行维护费开支内容包括车辆加油费、维修费、保险费。公务用车购置数1辆，公务用车保有量6辆。国有资产占用情况中固定资产车辆6辆，与公务用车保有量差异原因是：本单位固定资产车辆与公务用车保有量一致无差异。</w:t>
      </w:r>
    </w:p>
    <w:p w14:paraId="4F1FFD7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11124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34.53万元，决算数34.53万元，预决算差异率0.00%，主要原因是：严格按照预算执行，预决算无差异。其中：因公出国（境）费全年预算数0.00万元，决算数0.00万元，预决算差异率0.00%，主要原因是：本单位无因公出国（境）费。公务用车购置费全年预算数16.53万元，决算数16.53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18.00万元，决算数18.00万元，预决算差异率0.00%，主要原因是：严格按照预算执行，预决算无差异。公务接待费全年预算数0.00万元，决算数0.00万元，预决算差异率0.00%，主要原因是：本单位无公务接待费。</w:t>
      </w:r>
    </w:p>
    <w:p w14:paraId="3F91AE5D">
      <w:pPr>
        <w:spacing w:line="640" w:lineRule="exact"/>
        <w:ind w:firstLine="640"/>
        <w:jc w:val="both"/>
        <w:outlineLvl w:val="2"/>
      </w:pPr>
      <w:r>
        <w:rPr>
          <w:rFonts w:ascii="黑体" w:hAnsi="黑体" w:eastAsia="黑体"/>
          <w:sz w:val="32"/>
        </w:rPr>
        <w:t>十、其他重要事项的情况说明</w:t>
      </w:r>
    </w:p>
    <w:p w14:paraId="54864AD3">
      <w:pPr>
        <w:spacing w:line="640" w:lineRule="exact"/>
        <w:ind w:firstLine="640"/>
        <w:jc w:val="both"/>
        <w:outlineLvl w:val="3"/>
      </w:pPr>
      <w:r>
        <w:rPr>
          <w:rFonts w:ascii="楷体_GB2312" w:hAnsi="楷体_GB2312" w:eastAsia="楷体_GB2312"/>
          <w:b/>
          <w:sz w:val="32"/>
        </w:rPr>
        <w:t>（一）机关运行经费及公用经费支出情况</w:t>
      </w:r>
    </w:p>
    <w:p w14:paraId="534AD023">
      <w:pPr>
        <w:spacing w:line="580" w:lineRule="exact"/>
        <w:ind w:firstLine="640"/>
        <w:jc w:val="both"/>
      </w:pPr>
      <w:r>
        <w:rPr>
          <w:rFonts w:ascii="仿宋_GB2312" w:hAnsi="仿宋_GB2312" w:eastAsia="仿宋_GB2312"/>
          <w:b w:val="0"/>
          <w:sz w:val="32"/>
        </w:rPr>
        <w:t>2024年度塔什库尔干塔吉克自治县塔什库尔干乡人民政府（行政单位和参照公务员法管理事业单位）机关运行经费支出80.43万元，比上年减少4.31万元，下降5.09%，主要原因是：严控经费支出，厉行节约，减少办公费用，导致机关运行经费较上年减少。</w:t>
      </w:r>
    </w:p>
    <w:p w14:paraId="760B6652">
      <w:pPr>
        <w:spacing w:line="640" w:lineRule="exact"/>
        <w:ind w:firstLine="640"/>
        <w:jc w:val="both"/>
        <w:outlineLvl w:val="3"/>
      </w:pPr>
      <w:r>
        <w:rPr>
          <w:rFonts w:ascii="楷体_GB2312" w:hAnsi="楷体_GB2312" w:eastAsia="楷体_GB2312"/>
          <w:b/>
          <w:sz w:val="32"/>
        </w:rPr>
        <w:t>（二）政府采购情况</w:t>
      </w:r>
    </w:p>
    <w:p w14:paraId="4D84D106">
      <w:pPr>
        <w:spacing w:line="580" w:lineRule="exact"/>
        <w:ind w:firstLine="640"/>
        <w:jc w:val="both"/>
      </w:pPr>
      <w:r>
        <w:rPr>
          <w:rFonts w:ascii="仿宋_GB2312" w:hAnsi="仿宋_GB2312" w:eastAsia="仿宋_GB2312"/>
          <w:b w:val="0"/>
          <w:sz w:val="32"/>
        </w:rPr>
        <w:t>2024年度政府采购支出总额655.41万元，其中：政府采购货物支出394.47万元、政府采购工程支出248.47万元、政府采购服务支出12.48万元。</w:t>
      </w:r>
    </w:p>
    <w:p w14:paraId="537F56FB">
      <w:pPr>
        <w:spacing w:line="580" w:lineRule="exact"/>
        <w:ind w:firstLine="640"/>
        <w:jc w:val="both"/>
      </w:pPr>
      <w:r>
        <w:rPr>
          <w:rFonts w:ascii="仿宋_GB2312" w:hAnsi="仿宋_GB2312" w:eastAsia="仿宋_GB2312"/>
          <w:b w:val="0"/>
          <w:sz w:val="32"/>
        </w:rPr>
        <w:t>授予中小企业合同金额531.39万元，占政府采购支出总额的81.08%，其中：授予小微企业合同金额457.76万元，占政府采购支出总额的69.84%。</w:t>
      </w:r>
    </w:p>
    <w:p w14:paraId="75A476AC">
      <w:pPr>
        <w:spacing w:line="640" w:lineRule="exact"/>
        <w:ind w:firstLine="640"/>
        <w:jc w:val="both"/>
        <w:outlineLvl w:val="3"/>
      </w:pPr>
      <w:r>
        <w:rPr>
          <w:rFonts w:ascii="楷体_GB2312" w:hAnsi="楷体_GB2312" w:eastAsia="楷体_GB2312"/>
          <w:b/>
          <w:sz w:val="32"/>
        </w:rPr>
        <w:t>（三）国有资产占用情况说明</w:t>
      </w:r>
    </w:p>
    <w:p w14:paraId="372145EB">
      <w:pPr>
        <w:spacing w:line="580" w:lineRule="exact"/>
        <w:ind w:firstLine="640"/>
        <w:jc w:val="both"/>
      </w:pPr>
      <w:r>
        <w:rPr>
          <w:rFonts w:ascii="仿宋_GB2312" w:hAnsi="仿宋_GB2312" w:eastAsia="仿宋_GB2312"/>
          <w:b w:val="0"/>
          <w:sz w:val="32"/>
        </w:rPr>
        <w:t>截至2024年12月31日，房屋7,614.61平方米，价值1,940.21万元。车辆6辆，价值99.30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0C9B219E">
      <w:pPr>
        <w:spacing w:line="640" w:lineRule="exact"/>
        <w:ind w:firstLine="640"/>
        <w:jc w:val="both"/>
        <w:outlineLvl w:val="2"/>
      </w:pPr>
      <w:r>
        <w:rPr>
          <w:rFonts w:ascii="黑体" w:hAnsi="黑体" w:eastAsia="黑体"/>
          <w:sz w:val="32"/>
        </w:rPr>
        <w:t>十一、预算绩效的情况说明</w:t>
      </w:r>
    </w:p>
    <w:p w14:paraId="2C471A1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4,459.61万元，实际执行总额4,421.35万元；预算绩效评价项目9个，全年预算数289.72万元，全年执行数277.74万元。预算绩效管理取得的成效：开展绩效评价，一是提高了绩效工作管理水平，科学制定目标，促进了绩效目标顺利实现，二是提高了项目资金使用的绩效意识，以便项目实施完成，进行跟踪问效评价，三是对下一年此类项目预算编制提供参考。发现的问题及原因：1.预算绩效目标及绩效指标填报质量有待加强。一是绩效目标不完整。二是绩效目标不全面。三是设置的绩效指标值与目标值不匹配。四是设置的绩效指标不全面；2.预算绩效管理制度健全性不足。下一步改进措施：一是多样化数据收集方法:我们应该借助各种可行的数据收集方法来获取全面准确的信息。除了传统的</w:t>
      </w:r>
      <w:r>
        <w:rPr>
          <w:rFonts w:hint="eastAsia" w:ascii="仿宋_GB2312" w:hAnsi="仿宋_GB2312" w:eastAsia="仿宋_GB2312"/>
          <w:b w:val="0"/>
          <w:sz w:val="32"/>
          <w:lang w:eastAsia="zh-CN"/>
        </w:rPr>
        <w:t>问卷调查法</w:t>
      </w:r>
      <w:r>
        <w:rPr>
          <w:rFonts w:ascii="仿宋_GB2312" w:hAnsi="仿宋_GB2312" w:eastAsia="仿宋_GB2312"/>
          <w:b w:val="0"/>
          <w:sz w:val="32"/>
        </w:rPr>
        <w:t>，可以利用采访、观察、案例研究等方式来收集更多直观且真实的数据。这样能够增加评估结果的准确性和客观性。二是制定明确量化指标:为了更好地进行绩效自评，我们需要制定明确而有力度量化的指标，并根据项目目标确定合适的参数和权重。通过定义清晰明确具体数量目标值，并将其与实际情况做对比，在自评过程中能使通盘考虑到所有重要因素。三是引入专业第三方机构:为了避免主观判断和团队内部利益影响自评结果，可以引入独立第三方机构参与项目绩效自评。他们可以提供中立意见并通过专业方法来分析和验证项目的绩效情况。具体附整体支出绩效自评表，项目支出绩效自评表和评价报告。</w:t>
      </w:r>
    </w:p>
    <w:p w14:paraId="1257F9E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4BD9DC14">
        <w:tblPrEx>
          <w:tblCellMar>
            <w:top w:w="0" w:type="dxa"/>
            <w:left w:w="108" w:type="dxa"/>
            <w:bottom w:w="0" w:type="dxa"/>
            <w:right w:w="108" w:type="dxa"/>
          </w:tblCellMar>
        </w:tblPrEx>
        <w:tc>
          <w:tcPr>
            <w:tcW w:w="8847" w:type="dxa"/>
            <w:gridSpan w:val="9"/>
            <w:vAlign w:val="center"/>
          </w:tcPr>
          <w:p w14:paraId="1D6890BC">
            <w:pPr>
              <w:jc w:val="center"/>
            </w:pPr>
            <w:r>
              <w:rPr>
                <w:rFonts w:ascii="宋体" w:hAnsi="宋体" w:eastAsia="宋体"/>
                <w:sz w:val="24"/>
              </w:rPr>
              <w:t>单位整体支出绩效自评表</w:t>
            </w:r>
          </w:p>
        </w:tc>
      </w:tr>
      <w:tr w14:paraId="06E9FB0A">
        <w:tblPrEx>
          <w:tblCellMar>
            <w:top w:w="0" w:type="dxa"/>
            <w:left w:w="108" w:type="dxa"/>
            <w:bottom w:w="0" w:type="dxa"/>
            <w:right w:w="108" w:type="dxa"/>
          </w:tblCellMar>
        </w:tblPrEx>
        <w:tc>
          <w:tcPr>
            <w:tcW w:w="8847" w:type="dxa"/>
            <w:gridSpan w:val="9"/>
            <w:vAlign w:val="center"/>
          </w:tcPr>
          <w:p w14:paraId="2D13CFC9">
            <w:pPr>
              <w:jc w:val="center"/>
            </w:pPr>
            <w:r>
              <w:rPr>
                <w:rFonts w:ascii="宋体" w:hAnsi="宋体" w:eastAsia="宋体"/>
                <w:sz w:val="24"/>
              </w:rPr>
              <w:t>（2024年度）</w:t>
            </w:r>
          </w:p>
        </w:tc>
      </w:tr>
      <w:tr w14:paraId="1F8D0D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317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49A1C5">
            <w:pPr>
              <w:jc w:val="center"/>
            </w:pPr>
            <w:r>
              <w:rPr>
                <w:rFonts w:ascii="宋体" w:hAnsi="宋体" w:eastAsia="宋体"/>
                <w:sz w:val="16"/>
              </w:rPr>
              <w:t>塔什库尔干塔吉克自治县塔什库尔干乡人民政府</w:t>
            </w:r>
          </w:p>
        </w:tc>
      </w:tr>
      <w:tr w14:paraId="750843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BD6F8">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097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8C8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9FEF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1848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43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104C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1E2E">
            <w:pPr>
              <w:jc w:val="center"/>
            </w:pPr>
            <w:r>
              <w:rPr>
                <w:rFonts w:ascii="宋体" w:hAnsi="宋体" w:eastAsia="宋体"/>
                <w:sz w:val="16"/>
              </w:rPr>
              <w:t>得分</w:t>
            </w:r>
          </w:p>
        </w:tc>
      </w:tr>
      <w:tr w14:paraId="52E2A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49D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6600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975B">
            <w:pPr>
              <w:jc w:val="center"/>
            </w:pPr>
            <w:r>
              <w:rPr>
                <w:rFonts w:ascii="宋体" w:hAnsi="宋体" w:eastAsia="宋体"/>
                <w:sz w:val="16"/>
              </w:rPr>
              <w:t>2,087.56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519E">
            <w:pPr>
              <w:jc w:val="center"/>
            </w:pPr>
            <w:r>
              <w:rPr>
                <w:rFonts w:ascii="宋体" w:hAnsi="宋体" w:eastAsia="宋体"/>
                <w:sz w:val="16"/>
              </w:rPr>
              <w:t>4,459.61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3F251">
            <w:pPr>
              <w:jc w:val="center"/>
            </w:pPr>
            <w:r>
              <w:rPr>
                <w:rFonts w:ascii="宋体" w:hAnsi="宋体" w:eastAsia="宋体"/>
                <w:sz w:val="16"/>
              </w:rPr>
              <w:t>4,421.35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E7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180A">
            <w:pPr>
              <w:jc w:val="center"/>
            </w:pPr>
            <w:r>
              <w:rPr>
                <w:rFonts w:ascii="宋体" w:hAnsi="宋体" w:eastAsia="宋体"/>
                <w:sz w:val="16"/>
              </w:rPr>
              <w:t>99.14%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2B15">
            <w:pPr>
              <w:jc w:val="center"/>
            </w:pPr>
            <w:r>
              <w:rPr>
                <w:rFonts w:ascii="宋体" w:hAnsi="宋体" w:eastAsia="宋体"/>
                <w:sz w:val="16"/>
              </w:rPr>
              <w:t>10</w:t>
            </w:r>
          </w:p>
        </w:tc>
      </w:tr>
      <w:tr w14:paraId="2D9BE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EC5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AAE0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41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6A04">
            <w:pPr>
              <w:jc w:val="center"/>
            </w:pPr>
            <w:r>
              <w:rPr>
                <w:rFonts w:ascii="宋体" w:hAnsi="宋体" w:eastAsia="宋体"/>
                <w:sz w:val="16"/>
              </w:rPr>
              <w:t>2,481.39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3DD10">
            <w:pPr>
              <w:jc w:val="center"/>
            </w:pPr>
            <w:r>
              <w:rPr>
                <w:rFonts w:ascii="宋体" w:hAnsi="宋体" w:eastAsia="宋体"/>
                <w:sz w:val="16"/>
              </w:rPr>
              <w:t>2,443.13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EE6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C0F4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5260">
            <w:pPr>
              <w:jc w:val="center"/>
            </w:pPr>
            <w:r>
              <w:rPr>
                <w:rFonts w:ascii="宋体" w:hAnsi="宋体" w:eastAsia="宋体"/>
                <w:sz w:val="16"/>
              </w:rPr>
              <w:t>—</w:t>
            </w:r>
          </w:p>
        </w:tc>
      </w:tr>
      <w:tr w14:paraId="71B9F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041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AC1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4223">
            <w:pPr>
              <w:jc w:val="center"/>
            </w:pPr>
            <w:r>
              <w:rPr>
                <w:rFonts w:ascii="宋体" w:hAnsi="宋体" w:eastAsia="宋体"/>
                <w:sz w:val="16"/>
              </w:rPr>
              <w:t>2,087.56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40EE1">
            <w:pPr>
              <w:jc w:val="center"/>
            </w:pPr>
            <w:r>
              <w:rPr>
                <w:rFonts w:ascii="宋体" w:hAnsi="宋体" w:eastAsia="宋体"/>
                <w:sz w:val="16"/>
              </w:rPr>
              <w:t>1,670.05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7C49">
            <w:pPr>
              <w:jc w:val="center"/>
            </w:pPr>
            <w:r>
              <w:rPr>
                <w:rFonts w:ascii="宋体" w:hAnsi="宋体" w:eastAsia="宋体"/>
                <w:sz w:val="16"/>
              </w:rPr>
              <w:t>1,670.05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28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E66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356A">
            <w:pPr>
              <w:jc w:val="center"/>
            </w:pPr>
            <w:r>
              <w:rPr>
                <w:rFonts w:ascii="宋体" w:hAnsi="宋体" w:eastAsia="宋体"/>
                <w:sz w:val="16"/>
              </w:rPr>
              <w:t>—</w:t>
            </w:r>
          </w:p>
        </w:tc>
      </w:tr>
      <w:tr w14:paraId="4E45E7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452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F13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6F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A071E">
            <w:pPr>
              <w:jc w:val="center"/>
            </w:pPr>
            <w:r>
              <w:rPr>
                <w:rFonts w:ascii="宋体" w:hAnsi="宋体" w:eastAsia="宋体"/>
                <w:sz w:val="16"/>
              </w:rPr>
              <w:t>308.17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F25A">
            <w:pPr>
              <w:jc w:val="center"/>
            </w:pPr>
            <w:r>
              <w:rPr>
                <w:rFonts w:ascii="宋体" w:hAnsi="宋体" w:eastAsia="宋体"/>
                <w:sz w:val="16"/>
              </w:rPr>
              <w:t>308.17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30D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59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57FE0">
            <w:pPr>
              <w:jc w:val="center"/>
            </w:pPr>
            <w:r>
              <w:rPr>
                <w:rFonts w:ascii="宋体" w:hAnsi="宋体" w:eastAsia="宋体"/>
                <w:sz w:val="16"/>
              </w:rPr>
              <w:t>—</w:t>
            </w:r>
          </w:p>
        </w:tc>
      </w:tr>
      <w:tr w14:paraId="7E72AC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498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2545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27A0AE">
            <w:pPr>
              <w:jc w:val="center"/>
            </w:pPr>
            <w:r>
              <w:rPr>
                <w:rFonts w:ascii="宋体" w:hAnsi="宋体" w:eastAsia="宋体"/>
                <w:sz w:val="16"/>
              </w:rPr>
              <w:t>实际完成目标</w:t>
            </w:r>
          </w:p>
        </w:tc>
      </w:tr>
      <w:tr w14:paraId="5C587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9287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F70C68">
            <w:pPr>
              <w:jc w:val="both"/>
            </w:pPr>
            <w:r>
              <w:rPr>
                <w:rFonts w:ascii="宋体" w:hAnsi="宋体" w:eastAsia="宋体"/>
                <w:sz w:val="16"/>
              </w:rPr>
              <w:t>始终坚持以习近平新时代中国特色社会主义思想为指导，全面贯彻落实党的二十大和</w:t>
            </w:r>
            <w:r>
              <w:rPr>
                <w:rFonts w:hint="eastAsia" w:ascii="宋体" w:hAnsi="宋体"/>
                <w:sz w:val="16"/>
                <w:lang w:eastAsia="zh-CN"/>
              </w:rPr>
              <w:t>党的二十届二中全会精神</w:t>
            </w:r>
            <w:r>
              <w:rPr>
                <w:rFonts w:ascii="宋体" w:hAnsi="宋体" w:eastAsia="宋体"/>
                <w:sz w:val="16"/>
              </w:rPr>
              <w:t>，坚决贯彻落实习近平总书记在听取自治区和兵团工作汇报时的重要讲话精神，贯彻落实中央经济工作会议、农村工作会议、金融工作会议和自治区党委十届十次全会、地委扩大会议、县委十四届十一次全委（扩大）会议精神，按照乡党委十六届四次全体（扩大）会议工作部署，完整准确全面贯彻新时代党的治疆方略，坚持以铸牢中华民族共同体意识为主线，紧紧围绕高质量发展这一首要任务，坚持稳中求进、争先进位、迎难而上，为建设和美塔什库尔干乡新篇章做出新的贡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D518D">
            <w:pPr>
              <w:jc w:val="both"/>
            </w:pPr>
            <w:r>
              <w:rPr>
                <w:rFonts w:ascii="宋体" w:hAnsi="宋体" w:eastAsia="宋体"/>
                <w:sz w:val="16"/>
              </w:rPr>
              <w:t>始终坚持以习近平新时代中国特色社会主义思想为指导，全面贯彻落实党的二十大和</w:t>
            </w:r>
            <w:r>
              <w:rPr>
                <w:rFonts w:hint="eastAsia" w:ascii="宋体" w:hAnsi="宋体"/>
                <w:sz w:val="16"/>
                <w:lang w:eastAsia="zh-CN"/>
              </w:rPr>
              <w:t>党的二十届二中全会精神</w:t>
            </w:r>
            <w:r>
              <w:rPr>
                <w:rFonts w:ascii="宋体" w:hAnsi="宋体" w:eastAsia="宋体"/>
                <w:sz w:val="16"/>
              </w:rPr>
              <w:t>，坚决贯彻落实习近平总书记在听取自治区和兵团工作汇报时的重要讲话精神，贯彻落实中央经济工作会议、农村工作会议、金融工作会议和自治区党委十届十次全会、地委扩大会议、县委十四届十一次全委（扩大）会议精神，按照乡党委十六届四次全体（扩大）会议工作部署，完整准确全面贯彻新时代党的治疆方略，坚持以铸牢中华民族共同体意识为主线，紧紧围绕高质量发展这一首要任务，坚持稳中求进、争先进位、迎难而上，为建设和美塔什库尔干乡新篇章做出新的贡献。2024年具体完成的重要工作有：全乡种植亩数达19935.91亩，全乡畜禽存栏量达4.22万只，帮扶无劳动力家庭达27户，干部群众全年理论学习次数达12次，常态化开展走访摸排、定期检查、动态管理户数达1602户。</w:t>
            </w:r>
          </w:p>
        </w:tc>
      </w:tr>
      <w:tr w14:paraId="2A3746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FB6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7EDE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066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AFB5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DF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AEA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9E5E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E0F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0005F">
            <w:pPr>
              <w:jc w:val="center"/>
            </w:pPr>
            <w:r>
              <w:rPr>
                <w:rFonts w:ascii="宋体" w:hAnsi="宋体" w:eastAsia="宋体"/>
                <w:sz w:val="16"/>
              </w:rPr>
              <w:t>得分</w:t>
            </w:r>
          </w:p>
        </w:tc>
      </w:tr>
      <w:tr w14:paraId="4AA374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81AD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8B50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986AC">
            <w:pPr>
              <w:jc w:val="center"/>
            </w:pPr>
            <w:r>
              <w:rPr>
                <w:rFonts w:ascii="宋体" w:hAnsi="宋体" w:eastAsia="宋体"/>
                <w:sz w:val="16"/>
              </w:rPr>
              <w:t>全乡计划种植亩数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1660">
            <w:pPr>
              <w:jc w:val="center"/>
            </w:pPr>
            <w:r>
              <w:rPr>
                <w:rFonts w:ascii="宋体" w:hAnsi="宋体" w:eastAsia="宋体"/>
                <w:sz w:val="16"/>
              </w:rPr>
              <w:t>&gt;=18098.50亩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2896">
            <w:pPr>
              <w:jc w:val="center"/>
            </w:pPr>
            <w:r>
              <w:rPr>
                <w:rFonts w:ascii="宋体" w:hAnsi="宋体" w:eastAsia="宋体"/>
                <w:sz w:val="16"/>
              </w:rPr>
              <w:t>塔什库尔干乡2024年工作计划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8E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D1C1">
            <w:pPr>
              <w:jc w:val="center"/>
            </w:pPr>
            <w:r>
              <w:rPr>
                <w:rFonts w:ascii="宋体" w:hAnsi="宋体" w:eastAsia="宋体"/>
                <w:sz w:val="16"/>
              </w:rPr>
              <w:t>19935.91亩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02388">
            <w:pPr>
              <w:jc w:val="center"/>
            </w:pPr>
            <w:r>
              <w:rPr>
                <w:rFonts w:ascii="宋体" w:hAnsi="宋体" w:eastAsia="宋体"/>
                <w:sz w:val="16"/>
              </w:rPr>
              <w:t>110.15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7F23A">
            <w:pPr>
              <w:jc w:val="center"/>
            </w:pPr>
            <w:r>
              <w:rPr>
                <w:rFonts w:ascii="宋体" w:hAnsi="宋体" w:eastAsia="宋体"/>
                <w:sz w:val="16"/>
              </w:rPr>
              <w:t>20</w:t>
            </w:r>
          </w:p>
        </w:tc>
      </w:tr>
      <w:tr w14:paraId="3BD98A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96F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757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51A4">
            <w:pPr>
              <w:jc w:val="center"/>
            </w:pPr>
            <w:r>
              <w:rPr>
                <w:rFonts w:ascii="宋体" w:hAnsi="宋体" w:eastAsia="宋体"/>
                <w:sz w:val="16"/>
              </w:rPr>
              <w:t>全乡畜禽存栏量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92C17">
            <w:pPr>
              <w:jc w:val="center"/>
            </w:pPr>
            <w:r>
              <w:rPr>
                <w:rFonts w:ascii="宋体" w:hAnsi="宋体" w:eastAsia="宋体"/>
                <w:sz w:val="16"/>
              </w:rPr>
              <w:t>&gt;=4.60万只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5AF7">
            <w:pPr>
              <w:jc w:val="center"/>
            </w:pPr>
            <w:r>
              <w:rPr>
                <w:rFonts w:ascii="宋体" w:hAnsi="宋体" w:eastAsia="宋体"/>
                <w:sz w:val="16"/>
              </w:rPr>
              <w:t>塔什库尔干乡2024年工作计划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B8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F8761">
            <w:pPr>
              <w:jc w:val="center"/>
            </w:pPr>
            <w:r>
              <w:rPr>
                <w:rFonts w:ascii="宋体" w:hAnsi="宋体" w:eastAsia="宋体"/>
                <w:sz w:val="16"/>
              </w:rPr>
              <w:t>4.22万只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CE949">
            <w:pPr>
              <w:jc w:val="center"/>
            </w:pPr>
            <w:r>
              <w:rPr>
                <w:rFonts w:ascii="宋体" w:hAnsi="宋体" w:eastAsia="宋体"/>
                <w:sz w:val="16"/>
              </w:rPr>
              <w:t>91.74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5A4B">
            <w:pPr>
              <w:jc w:val="center"/>
            </w:pPr>
            <w:r>
              <w:rPr>
                <w:rFonts w:ascii="宋体" w:hAnsi="宋体" w:eastAsia="宋体"/>
                <w:sz w:val="16"/>
              </w:rPr>
              <w:t>18.34</w:t>
            </w:r>
          </w:p>
        </w:tc>
      </w:tr>
      <w:tr w14:paraId="3AB7C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C1B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C0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50E27">
            <w:pPr>
              <w:jc w:val="center"/>
            </w:pPr>
            <w:r>
              <w:rPr>
                <w:rFonts w:ascii="宋体" w:hAnsi="宋体" w:eastAsia="宋体"/>
                <w:sz w:val="16"/>
              </w:rPr>
              <w:t>帮扶无劳动力家庭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7F122">
            <w:pPr>
              <w:jc w:val="center"/>
            </w:pPr>
            <w:r>
              <w:rPr>
                <w:rFonts w:ascii="宋体" w:hAnsi="宋体" w:eastAsia="宋体"/>
                <w:sz w:val="16"/>
              </w:rPr>
              <w:t>&gt;=27户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428D7">
            <w:pPr>
              <w:jc w:val="center"/>
            </w:pPr>
            <w:r>
              <w:rPr>
                <w:rFonts w:ascii="宋体" w:hAnsi="宋体" w:eastAsia="宋体"/>
                <w:sz w:val="16"/>
              </w:rPr>
              <w:t>塔什库尔干乡2024年工作计划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BE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6551F">
            <w:pPr>
              <w:jc w:val="center"/>
            </w:pPr>
            <w:r>
              <w:rPr>
                <w:rFonts w:ascii="宋体" w:hAnsi="宋体" w:eastAsia="宋体"/>
                <w:sz w:val="16"/>
              </w:rPr>
              <w:t>27户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0E4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91D2">
            <w:pPr>
              <w:jc w:val="center"/>
            </w:pPr>
            <w:r>
              <w:rPr>
                <w:rFonts w:ascii="宋体" w:hAnsi="宋体" w:eastAsia="宋体"/>
                <w:sz w:val="16"/>
              </w:rPr>
              <w:t>20</w:t>
            </w:r>
          </w:p>
        </w:tc>
      </w:tr>
      <w:tr w14:paraId="59E24B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B06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E1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A0BF4">
            <w:pPr>
              <w:jc w:val="center"/>
            </w:pPr>
            <w:r>
              <w:rPr>
                <w:rFonts w:ascii="宋体" w:hAnsi="宋体" w:eastAsia="宋体"/>
                <w:sz w:val="16"/>
              </w:rPr>
              <w:t>干部群众全年理论学习次数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4C4B">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9992">
            <w:pPr>
              <w:jc w:val="center"/>
            </w:pPr>
            <w:r>
              <w:rPr>
                <w:rFonts w:ascii="宋体" w:hAnsi="宋体" w:eastAsia="宋体"/>
                <w:sz w:val="16"/>
              </w:rPr>
              <w:t>塔什库尔干乡2024年工作计划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02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E0993">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F83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8B9D">
            <w:pPr>
              <w:jc w:val="center"/>
            </w:pPr>
            <w:r>
              <w:rPr>
                <w:rFonts w:ascii="宋体" w:hAnsi="宋体" w:eastAsia="宋体"/>
                <w:sz w:val="16"/>
              </w:rPr>
              <w:t>10</w:t>
            </w:r>
          </w:p>
        </w:tc>
      </w:tr>
      <w:tr w14:paraId="73955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0F9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DC9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57A63">
            <w:pPr>
              <w:jc w:val="center"/>
            </w:pPr>
            <w:r>
              <w:rPr>
                <w:rFonts w:ascii="宋体" w:hAnsi="宋体" w:eastAsia="宋体"/>
                <w:sz w:val="16"/>
              </w:rPr>
              <w:t>常态化开展走访摸排、定期检查、动态管理户数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A877">
            <w:pPr>
              <w:jc w:val="center"/>
            </w:pPr>
            <w:r>
              <w:rPr>
                <w:rFonts w:ascii="宋体" w:hAnsi="宋体" w:eastAsia="宋体"/>
                <w:sz w:val="16"/>
              </w:rPr>
              <w:t>&gt;=1602户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D59F7">
            <w:pPr>
              <w:jc w:val="center"/>
            </w:pPr>
            <w:r>
              <w:rPr>
                <w:rFonts w:ascii="宋体" w:hAnsi="宋体" w:eastAsia="宋体"/>
                <w:sz w:val="16"/>
              </w:rPr>
              <w:t>塔什库尔干乡2024年工作计划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230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8B029">
            <w:pPr>
              <w:jc w:val="center"/>
            </w:pPr>
            <w:r>
              <w:rPr>
                <w:rFonts w:ascii="宋体" w:hAnsi="宋体" w:eastAsia="宋体"/>
                <w:sz w:val="16"/>
              </w:rPr>
              <w:t>1602户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398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43F3">
            <w:pPr>
              <w:jc w:val="center"/>
            </w:pPr>
            <w:r>
              <w:rPr>
                <w:rFonts w:ascii="宋体" w:hAnsi="宋体" w:eastAsia="宋体"/>
                <w:sz w:val="16"/>
              </w:rPr>
              <w:t>20</w:t>
            </w:r>
          </w:p>
        </w:tc>
      </w:tr>
    </w:tbl>
    <w:p w14:paraId="2BF945C7">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8"/>
        <w:gridCol w:w="630"/>
        <w:gridCol w:w="936"/>
        <w:gridCol w:w="608"/>
        <w:gridCol w:w="608"/>
        <w:gridCol w:w="608"/>
        <w:gridCol w:w="608"/>
        <w:gridCol w:w="608"/>
        <w:gridCol w:w="776"/>
        <w:gridCol w:w="630"/>
        <w:gridCol w:w="580"/>
        <w:gridCol w:w="630"/>
      </w:tblGrid>
      <w:tr w14:paraId="15ED8141">
        <w:tblPrEx>
          <w:tblCellMar>
            <w:top w:w="0" w:type="dxa"/>
            <w:left w:w="108" w:type="dxa"/>
            <w:bottom w:w="0" w:type="dxa"/>
            <w:right w:w="108" w:type="dxa"/>
          </w:tblCellMar>
        </w:tblPrEx>
        <w:tc>
          <w:tcPr>
            <w:tcW w:w="8848" w:type="dxa"/>
            <w:gridSpan w:val="14"/>
            <w:vAlign w:val="center"/>
          </w:tcPr>
          <w:p w14:paraId="79ACEFD7">
            <w:pPr>
              <w:jc w:val="center"/>
            </w:pPr>
            <w:r>
              <w:rPr>
                <w:rFonts w:ascii="宋体" w:hAnsi="宋体" w:eastAsia="宋体"/>
                <w:sz w:val="24"/>
              </w:rPr>
              <w:t>项目支出绩效自评表</w:t>
            </w:r>
          </w:p>
        </w:tc>
      </w:tr>
      <w:tr w14:paraId="1A89AF27">
        <w:tblPrEx>
          <w:tblCellMar>
            <w:top w:w="0" w:type="dxa"/>
            <w:left w:w="108" w:type="dxa"/>
            <w:bottom w:w="0" w:type="dxa"/>
            <w:right w:w="108" w:type="dxa"/>
          </w:tblCellMar>
        </w:tblPrEx>
        <w:tc>
          <w:tcPr>
            <w:tcW w:w="8848" w:type="dxa"/>
            <w:gridSpan w:val="14"/>
            <w:vAlign w:val="center"/>
          </w:tcPr>
          <w:p w14:paraId="166A6CB4">
            <w:pPr>
              <w:jc w:val="center"/>
            </w:pPr>
            <w:r>
              <w:rPr>
                <w:rFonts w:ascii="宋体" w:hAnsi="宋体" w:eastAsia="宋体"/>
                <w:sz w:val="24"/>
              </w:rPr>
              <w:t>(2024年度)</w:t>
            </w:r>
          </w:p>
        </w:tc>
      </w:tr>
      <w:tr w14:paraId="1F7FE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F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92C816">
            <w:pPr>
              <w:jc w:val="center"/>
            </w:pPr>
            <w:r>
              <w:rPr>
                <w:rFonts w:ascii="宋体" w:hAnsi="宋体" w:eastAsia="宋体"/>
                <w:sz w:val="16"/>
              </w:rPr>
              <w:t>塔什库尔干乡2024年人大代表会议经费</w:t>
            </w:r>
          </w:p>
        </w:tc>
      </w:tr>
      <w:tr w14:paraId="77A04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69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0B323">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9D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D5455">
            <w:pPr>
              <w:jc w:val="center"/>
            </w:pPr>
            <w:r>
              <w:rPr>
                <w:rFonts w:ascii="宋体" w:hAnsi="宋体" w:eastAsia="宋体"/>
                <w:sz w:val="16"/>
              </w:rPr>
              <w:t>塔什库尔干塔吉克自治县塔什库尔干乡人民政府</w:t>
            </w:r>
          </w:p>
        </w:tc>
      </w:tr>
      <w:tr w14:paraId="44919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20E3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39B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C3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74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73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277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B5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DE7F">
            <w:pPr>
              <w:jc w:val="center"/>
            </w:pPr>
            <w:r>
              <w:rPr>
                <w:rFonts w:ascii="宋体" w:hAnsi="宋体" w:eastAsia="宋体"/>
                <w:sz w:val="16"/>
              </w:rPr>
              <w:t>得分</w:t>
            </w:r>
          </w:p>
        </w:tc>
      </w:tr>
      <w:tr w14:paraId="4E1749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F0E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9B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51FF">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0DB1">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764D">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1F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DDB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35D0">
            <w:pPr>
              <w:jc w:val="center"/>
            </w:pPr>
            <w:r>
              <w:rPr>
                <w:rFonts w:ascii="宋体" w:hAnsi="宋体" w:eastAsia="宋体"/>
                <w:sz w:val="16"/>
              </w:rPr>
              <w:t>10.00分</w:t>
            </w:r>
          </w:p>
        </w:tc>
      </w:tr>
      <w:tr w14:paraId="4083A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D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F0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204F">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B983">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3E0D">
            <w:pPr>
              <w:jc w:val="center"/>
            </w:pPr>
            <w:r>
              <w:rPr>
                <w:rFonts w:ascii="宋体" w:hAnsi="宋体" w:eastAsia="宋体"/>
                <w:sz w:val="16"/>
              </w:rPr>
              <w:t>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3E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5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9AC3">
            <w:pPr>
              <w:jc w:val="center"/>
            </w:pPr>
            <w:r>
              <w:rPr>
                <w:rFonts w:ascii="宋体" w:hAnsi="宋体" w:eastAsia="宋体"/>
                <w:sz w:val="16"/>
              </w:rPr>
              <w:t>—</w:t>
            </w:r>
          </w:p>
        </w:tc>
      </w:tr>
      <w:tr w14:paraId="4A961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BBD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9CA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E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2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48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F55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8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D0AF">
            <w:pPr>
              <w:jc w:val="center"/>
            </w:pPr>
            <w:r>
              <w:rPr>
                <w:rFonts w:ascii="宋体" w:hAnsi="宋体" w:eastAsia="宋体"/>
                <w:sz w:val="16"/>
              </w:rPr>
              <w:t>—</w:t>
            </w:r>
          </w:p>
        </w:tc>
      </w:tr>
      <w:tr w14:paraId="63CF2B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3F2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F5F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481F0">
            <w:pPr>
              <w:jc w:val="center"/>
            </w:pPr>
            <w:r>
              <w:rPr>
                <w:rFonts w:ascii="宋体" w:hAnsi="宋体" w:eastAsia="宋体"/>
                <w:sz w:val="16"/>
              </w:rPr>
              <w:t>实际完成情况</w:t>
            </w:r>
          </w:p>
        </w:tc>
      </w:tr>
      <w:tr w14:paraId="73DDE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7B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19E35">
            <w:pPr>
              <w:jc w:val="both"/>
            </w:pPr>
            <w:r>
              <w:rPr>
                <w:rFonts w:ascii="宋体" w:hAnsi="宋体" w:eastAsia="宋体"/>
                <w:sz w:val="16"/>
              </w:rPr>
              <w:t>塔什库尔干乡2024年人大代表会议经费，保障乡人大活动开展人数，次数，以及保障人大活动顺利开展。2024年塔什库尔干乡人民代表大会列会所需经费项目共18130元，其中伙食费5148.5，农牧民代表误工补贴5400元，材料费6631.5元，交通费950元，按路程发放其中瓦尔希迭村来回每人20元，瓦尔希迭村四组来回每人40元，托格伦夏村来回每人30元，库孜滚村来回每人20元，塔提库里来回每人40元，萨热吉勒尕村和色日克塔什村来回每人50元。本次支出总计18130元，主要用于：参加人民代表大会列会代表的伙食费、交通费、材料费、误工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FD9B3">
            <w:pPr>
              <w:jc w:val="both"/>
            </w:pPr>
            <w:r>
              <w:rPr>
                <w:rFonts w:ascii="宋体" w:hAnsi="宋体" w:eastAsia="宋体"/>
                <w:sz w:val="16"/>
              </w:rPr>
              <w:t>项目实际支出1.81万元，主要用于：参加人民代表大会列会代表的伙食费、交通费、材料费、误工费。该项目已完成保障了30名乡人大代表开展工作，保障了人大代表活动1次，顺利保障了人大代表活动工作顺利开展，使其满意度达到100%。</w:t>
            </w:r>
          </w:p>
        </w:tc>
      </w:tr>
      <w:tr w14:paraId="180E8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9F98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E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77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ED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94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FB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BC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2A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22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66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49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96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DADE">
            <w:pPr>
              <w:jc w:val="center"/>
            </w:pPr>
            <w:r>
              <w:rPr>
                <w:rFonts w:ascii="宋体" w:hAnsi="宋体" w:eastAsia="宋体"/>
                <w:sz w:val="16"/>
              </w:rPr>
              <w:t>偏差原因分析及改进措施</w:t>
            </w:r>
          </w:p>
        </w:tc>
      </w:tr>
      <w:tr w14:paraId="01972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F2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FFC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1B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B926">
            <w:pPr>
              <w:jc w:val="center"/>
            </w:pPr>
            <w:r>
              <w:rPr>
                <w:rFonts w:ascii="宋体" w:hAnsi="宋体" w:eastAsia="宋体"/>
                <w:sz w:val="16"/>
              </w:rPr>
              <w:t>保障乡人大代表开展工作人数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9F0E">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3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C8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7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1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A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28C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C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7D37">
            <w:pPr>
              <w:jc w:val="center"/>
            </w:pPr>
          </w:p>
        </w:tc>
      </w:tr>
      <w:tr w14:paraId="53B24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F6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68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0A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85BF">
            <w:pPr>
              <w:jc w:val="center"/>
            </w:pPr>
            <w:r>
              <w:rPr>
                <w:rFonts w:ascii="宋体" w:hAnsi="宋体" w:eastAsia="宋体"/>
                <w:sz w:val="16"/>
              </w:rPr>
              <w:t>保障人大代表活动次数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F78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C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6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C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4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6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9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1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D06E2">
            <w:pPr>
              <w:jc w:val="center"/>
            </w:pPr>
          </w:p>
        </w:tc>
      </w:tr>
      <w:tr w14:paraId="37C9A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1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E9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10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385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D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6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B5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7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CC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32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6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A5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2CF1">
            <w:pPr>
              <w:jc w:val="center"/>
            </w:pPr>
          </w:p>
        </w:tc>
      </w:tr>
      <w:tr w14:paraId="5285C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AF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7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91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2E3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C9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5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1C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2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9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8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DE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4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8E84">
            <w:pPr>
              <w:jc w:val="center"/>
            </w:pPr>
          </w:p>
        </w:tc>
      </w:tr>
      <w:tr w14:paraId="5E7A6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1B1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390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D5A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57B0">
            <w:pPr>
              <w:jc w:val="center"/>
            </w:pPr>
            <w:r>
              <w:rPr>
                <w:rFonts w:ascii="宋体" w:hAnsi="宋体" w:eastAsia="宋体"/>
                <w:sz w:val="16"/>
              </w:rPr>
              <w:t>乡人大代表经费材料费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BFCE">
            <w:pPr>
              <w:jc w:val="center"/>
            </w:pPr>
            <w:r>
              <w:rPr>
                <w:rFonts w:ascii="宋体" w:hAnsi="宋体" w:eastAsia="宋体"/>
                <w:sz w:val="16"/>
              </w:rPr>
              <w:t>&lt;=6631.50元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5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D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27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A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C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2040">
            <w:pPr>
              <w:jc w:val="center"/>
            </w:pPr>
            <w:r>
              <w:rPr>
                <w:rFonts w:ascii="宋体" w:hAnsi="宋体" w:eastAsia="宋体"/>
                <w:sz w:val="16"/>
              </w:rPr>
              <w:t>=6631.5元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7A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6F07">
            <w:pPr>
              <w:jc w:val="center"/>
            </w:pPr>
          </w:p>
        </w:tc>
      </w:tr>
      <w:tr w14:paraId="0575A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04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B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E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2DB0">
            <w:pPr>
              <w:jc w:val="center"/>
            </w:pPr>
            <w:r>
              <w:rPr>
                <w:rFonts w:ascii="宋体" w:hAnsi="宋体" w:eastAsia="宋体"/>
                <w:sz w:val="16"/>
              </w:rPr>
              <w:t>乡人大代表经费伙食费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881F">
            <w:pPr>
              <w:jc w:val="center"/>
            </w:pPr>
            <w:r>
              <w:rPr>
                <w:rFonts w:ascii="宋体" w:hAnsi="宋体" w:eastAsia="宋体"/>
                <w:sz w:val="16"/>
              </w:rPr>
              <w:t>&lt;=5148.50元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2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DD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72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3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D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0B7D">
            <w:pPr>
              <w:jc w:val="center"/>
            </w:pPr>
            <w:r>
              <w:rPr>
                <w:rFonts w:ascii="宋体" w:hAnsi="宋体" w:eastAsia="宋体"/>
                <w:sz w:val="16"/>
              </w:rPr>
              <w:t>=5148.5元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D4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DA07">
            <w:pPr>
              <w:jc w:val="center"/>
            </w:pPr>
          </w:p>
        </w:tc>
      </w:tr>
      <w:tr w14:paraId="25731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8C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D6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1E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D3E6">
            <w:pPr>
              <w:jc w:val="center"/>
            </w:pPr>
            <w:r>
              <w:rPr>
                <w:rFonts w:ascii="宋体" w:hAnsi="宋体" w:eastAsia="宋体"/>
                <w:sz w:val="16"/>
              </w:rPr>
              <w:t>乡人大代表经费交通补贴成本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5936">
            <w:pPr>
              <w:jc w:val="center"/>
            </w:pPr>
            <w:r>
              <w:rPr>
                <w:rFonts w:ascii="宋体" w:hAnsi="宋体" w:eastAsia="宋体"/>
                <w:sz w:val="16"/>
              </w:rPr>
              <w:t>&lt;=950元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E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BC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0E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1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E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868C">
            <w:pPr>
              <w:jc w:val="center"/>
            </w:pPr>
            <w:r>
              <w:rPr>
                <w:rFonts w:ascii="宋体" w:hAnsi="宋体" w:eastAsia="宋体"/>
                <w:sz w:val="16"/>
              </w:rPr>
              <w:t>=950元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3A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1B64">
            <w:pPr>
              <w:jc w:val="center"/>
            </w:pPr>
          </w:p>
        </w:tc>
      </w:tr>
      <w:tr w14:paraId="01ACF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F3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F3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52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9207">
            <w:pPr>
              <w:jc w:val="center"/>
            </w:pPr>
            <w:r>
              <w:rPr>
                <w:rFonts w:ascii="宋体" w:hAnsi="宋体" w:eastAsia="宋体"/>
                <w:sz w:val="16"/>
              </w:rPr>
              <w:t>乡人大代表经费误工补贴成本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43F2">
            <w:pPr>
              <w:jc w:val="center"/>
            </w:pPr>
            <w:r>
              <w:rPr>
                <w:rFonts w:ascii="宋体" w:hAnsi="宋体" w:eastAsia="宋体"/>
                <w:sz w:val="16"/>
              </w:rPr>
              <w:t>&lt;=5400元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C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0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25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D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6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C16E">
            <w:pPr>
              <w:jc w:val="center"/>
            </w:pPr>
            <w:r>
              <w:rPr>
                <w:rFonts w:ascii="宋体" w:hAnsi="宋体" w:eastAsia="宋体"/>
                <w:sz w:val="16"/>
              </w:rPr>
              <w:t>=5400元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2E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CCA0">
            <w:pPr>
              <w:jc w:val="center"/>
            </w:pPr>
          </w:p>
        </w:tc>
      </w:tr>
      <w:tr w14:paraId="36457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A5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6B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C9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11AF">
            <w:pPr>
              <w:jc w:val="center"/>
            </w:pPr>
            <w:r>
              <w:rPr>
                <w:rFonts w:ascii="宋体" w:hAnsi="宋体" w:eastAsia="宋体"/>
                <w:sz w:val="16"/>
              </w:rPr>
              <w:t>保障人大代表活动工作顺利开展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917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2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DE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9D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BA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C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64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93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04D0">
            <w:pPr>
              <w:jc w:val="center"/>
            </w:pPr>
          </w:p>
        </w:tc>
      </w:tr>
      <w:tr w14:paraId="708A7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E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83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26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5AA5">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84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0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2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CC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3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9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06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FE62F">
            <w:pPr>
              <w:jc w:val="center"/>
            </w:pPr>
            <w:r>
              <w:rPr>
                <w:rFonts w:ascii="宋体" w:hAnsi="宋体" w:eastAsia="宋体"/>
                <w:sz w:val="16"/>
              </w:rPr>
              <w:t>项目完成情况较好，实际服务对象满意度较高，所以指标出现正偏差</w:t>
            </w:r>
          </w:p>
        </w:tc>
      </w:tr>
      <w:tr w14:paraId="58746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DB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AE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3EE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E72CE">
            <w:pPr>
              <w:jc w:val="center"/>
            </w:pPr>
            <w:r>
              <w:rPr>
                <w:rFonts w:ascii="宋体" w:hAnsi="宋体" w:eastAsia="宋体"/>
                <w:sz w:val="16"/>
              </w:rPr>
              <w:t>100分</w:t>
            </w:r>
          </w:p>
        </w:tc>
      </w:tr>
    </w:tbl>
    <w:p w14:paraId="70C131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0FD57E4">
        <w:tblPrEx>
          <w:tblCellMar>
            <w:top w:w="0" w:type="dxa"/>
            <w:left w:w="108" w:type="dxa"/>
            <w:bottom w:w="0" w:type="dxa"/>
            <w:right w:w="108" w:type="dxa"/>
          </w:tblCellMar>
        </w:tblPrEx>
        <w:tc>
          <w:tcPr>
            <w:tcW w:w="8848" w:type="dxa"/>
            <w:gridSpan w:val="14"/>
            <w:vAlign w:val="center"/>
          </w:tcPr>
          <w:p w14:paraId="02CF91F2">
            <w:pPr>
              <w:jc w:val="center"/>
            </w:pPr>
            <w:r>
              <w:rPr>
                <w:rFonts w:ascii="宋体" w:hAnsi="宋体" w:eastAsia="宋体"/>
                <w:sz w:val="24"/>
              </w:rPr>
              <w:t>项目支出绩效自评表</w:t>
            </w:r>
          </w:p>
        </w:tc>
      </w:tr>
      <w:tr w14:paraId="7F30079B">
        <w:tblPrEx>
          <w:tblCellMar>
            <w:top w:w="0" w:type="dxa"/>
            <w:left w:w="108" w:type="dxa"/>
            <w:bottom w:w="0" w:type="dxa"/>
            <w:right w:w="108" w:type="dxa"/>
          </w:tblCellMar>
        </w:tblPrEx>
        <w:tc>
          <w:tcPr>
            <w:tcW w:w="8848" w:type="dxa"/>
            <w:gridSpan w:val="14"/>
            <w:vAlign w:val="center"/>
          </w:tcPr>
          <w:p w14:paraId="5608A945">
            <w:pPr>
              <w:jc w:val="center"/>
            </w:pPr>
            <w:r>
              <w:rPr>
                <w:rFonts w:ascii="宋体" w:hAnsi="宋体" w:eastAsia="宋体"/>
                <w:sz w:val="24"/>
              </w:rPr>
              <w:t>(2024年度)</w:t>
            </w:r>
          </w:p>
        </w:tc>
      </w:tr>
      <w:tr w14:paraId="39110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21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10B069">
            <w:pPr>
              <w:jc w:val="center"/>
            </w:pPr>
            <w:r>
              <w:rPr>
                <w:rFonts w:ascii="宋体" w:hAnsi="宋体" w:eastAsia="宋体"/>
                <w:sz w:val="16"/>
              </w:rPr>
              <w:t>塔什库尔干乡2024年人大代表活动经费</w:t>
            </w:r>
          </w:p>
        </w:tc>
      </w:tr>
      <w:tr w14:paraId="212609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EC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42433">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64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ADCB4">
            <w:pPr>
              <w:jc w:val="center"/>
            </w:pPr>
            <w:r>
              <w:rPr>
                <w:rFonts w:ascii="宋体" w:hAnsi="宋体" w:eastAsia="宋体"/>
                <w:sz w:val="16"/>
              </w:rPr>
              <w:t>塔什库尔干塔吉克自治县塔什库尔干乡人民政府</w:t>
            </w:r>
          </w:p>
        </w:tc>
      </w:tr>
      <w:tr w14:paraId="401D2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642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DBF5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11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4D3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5B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3F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A8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888A">
            <w:pPr>
              <w:jc w:val="center"/>
            </w:pPr>
            <w:r>
              <w:rPr>
                <w:rFonts w:ascii="宋体" w:hAnsi="宋体" w:eastAsia="宋体"/>
                <w:sz w:val="16"/>
              </w:rPr>
              <w:t>得分</w:t>
            </w:r>
          </w:p>
        </w:tc>
      </w:tr>
      <w:tr w14:paraId="5E595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6BC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FA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2158">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B292">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A06A">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1D3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743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3B92">
            <w:pPr>
              <w:jc w:val="center"/>
            </w:pPr>
            <w:r>
              <w:rPr>
                <w:rFonts w:ascii="宋体" w:hAnsi="宋体" w:eastAsia="宋体"/>
                <w:sz w:val="16"/>
              </w:rPr>
              <w:t>10.00分</w:t>
            </w:r>
          </w:p>
        </w:tc>
      </w:tr>
      <w:tr w14:paraId="653A2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D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1A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2F961">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2BFC">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4B97">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4C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C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7AF5">
            <w:pPr>
              <w:jc w:val="center"/>
            </w:pPr>
            <w:r>
              <w:rPr>
                <w:rFonts w:ascii="宋体" w:hAnsi="宋体" w:eastAsia="宋体"/>
                <w:sz w:val="16"/>
              </w:rPr>
              <w:t>—</w:t>
            </w:r>
          </w:p>
        </w:tc>
      </w:tr>
      <w:tr w14:paraId="09BF6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06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FC7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B41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C2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C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530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6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DB41">
            <w:pPr>
              <w:jc w:val="center"/>
            </w:pPr>
            <w:r>
              <w:rPr>
                <w:rFonts w:ascii="宋体" w:hAnsi="宋体" w:eastAsia="宋体"/>
                <w:sz w:val="16"/>
              </w:rPr>
              <w:t>—</w:t>
            </w:r>
          </w:p>
        </w:tc>
      </w:tr>
      <w:tr w14:paraId="2DF25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56D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CC1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39CFE0">
            <w:pPr>
              <w:jc w:val="center"/>
            </w:pPr>
            <w:r>
              <w:rPr>
                <w:rFonts w:ascii="宋体" w:hAnsi="宋体" w:eastAsia="宋体"/>
                <w:sz w:val="16"/>
              </w:rPr>
              <w:t>实际完成情况</w:t>
            </w:r>
          </w:p>
        </w:tc>
      </w:tr>
      <w:tr w14:paraId="7C0A4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71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A0D12">
            <w:pPr>
              <w:jc w:val="both"/>
            </w:pPr>
            <w:r>
              <w:rPr>
                <w:rFonts w:ascii="宋体" w:hAnsi="宋体" w:eastAsia="宋体"/>
                <w:sz w:val="16"/>
              </w:rPr>
              <w:t>项目预算安排资金2.3265万元，其中：财政资金2.3265万元，其他资金0万元。本项目为我乡55名人大代</w:t>
            </w:r>
            <w:r>
              <w:rPr>
                <w:rFonts w:hint="eastAsia" w:ascii="宋体" w:hAnsi="宋体"/>
                <w:sz w:val="16"/>
                <w:lang w:eastAsia="zh-CN"/>
              </w:rPr>
              <w:t>表以</w:t>
            </w:r>
            <w:r>
              <w:rPr>
                <w:rFonts w:ascii="宋体" w:hAnsi="宋体" w:eastAsia="宋体"/>
                <w:sz w:val="16"/>
              </w:rPr>
              <w:t>每人423元标准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等。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7DA86">
            <w:pPr>
              <w:jc w:val="both"/>
            </w:pPr>
            <w:r>
              <w:rPr>
                <w:rFonts w:ascii="宋体" w:hAnsi="宋体" w:eastAsia="宋体"/>
                <w:sz w:val="16"/>
              </w:rPr>
              <w:t>项目实际支出资金2.3265万元。本项目为我乡55名人大代</w:t>
            </w:r>
            <w:r>
              <w:rPr>
                <w:rFonts w:hint="eastAsia" w:ascii="宋体" w:hAnsi="宋体"/>
                <w:sz w:val="16"/>
                <w:lang w:eastAsia="zh-CN"/>
              </w:rPr>
              <w:t>表以</w:t>
            </w:r>
            <w:r>
              <w:rPr>
                <w:rFonts w:ascii="宋体" w:hAnsi="宋体" w:eastAsia="宋体"/>
                <w:sz w:val="16"/>
              </w:rPr>
              <w:t>每人423元标准开展集中视察、专题调研、学习培训、座谈会等乡镇人大主席团承担的必要费用的集体活动费用、开展各项活动直接产生的各项费用、乡镇人大代表为提升代表履职能力，订阅必要的图书、报刊、学习用品等资料产生的费用。无固定收入的人大代表参加代表活动的临时补贴，探视、慰问患病等情况的必要费用等。通过项目的实施可持续提升人大代表服务水平，把人民群众的所需、所想、所盼反映上来，把人民群众的聪明才智汇聚</w:t>
            </w:r>
            <w:r>
              <w:rPr>
                <w:rFonts w:hint="eastAsia" w:ascii="宋体" w:hAnsi="宋体"/>
                <w:sz w:val="16"/>
                <w:lang w:eastAsia="zh-CN"/>
              </w:rPr>
              <w:t>，更要</w:t>
            </w:r>
            <w:r>
              <w:rPr>
                <w:rFonts w:ascii="宋体" w:hAnsi="宋体" w:eastAsia="宋体"/>
                <w:sz w:val="16"/>
              </w:rPr>
              <w:t>真诚倾听群众呼声，真实反映群众意愿。使人大代表满意度达到100%。</w:t>
            </w:r>
          </w:p>
        </w:tc>
      </w:tr>
      <w:tr w14:paraId="0CE8A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5E7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7A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E1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88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DF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E5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13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7E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E6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FB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5D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AF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C56D">
            <w:pPr>
              <w:jc w:val="center"/>
            </w:pPr>
            <w:r>
              <w:rPr>
                <w:rFonts w:ascii="宋体" w:hAnsi="宋体" w:eastAsia="宋体"/>
                <w:sz w:val="16"/>
              </w:rPr>
              <w:t>偏差原因分析及改进措施</w:t>
            </w:r>
          </w:p>
        </w:tc>
      </w:tr>
      <w:tr w14:paraId="1A6CE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C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C26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D7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FEA9">
            <w:pPr>
              <w:jc w:val="center"/>
            </w:pPr>
            <w:r>
              <w:rPr>
                <w:rFonts w:ascii="宋体" w:hAnsi="宋体" w:eastAsia="宋体"/>
                <w:sz w:val="16"/>
              </w:rPr>
              <w:t>保障人大代表人员</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C02D">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C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C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6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8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13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2A68">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6D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3B3B">
            <w:pPr>
              <w:jc w:val="center"/>
            </w:pPr>
          </w:p>
        </w:tc>
      </w:tr>
      <w:tr w14:paraId="56F17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82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F6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50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CDFB">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3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C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D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70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F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2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D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2F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C618">
            <w:pPr>
              <w:jc w:val="center"/>
            </w:pPr>
          </w:p>
        </w:tc>
      </w:tr>
      <w:tr w14:paraId="197CD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F3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73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5CB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E89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0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1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A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8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F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E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F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1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9995">
            <w:pPr>
              <w:jc w:val="center"/>
            </w:pPr>
          </w:p>
        </w:tc>
      </w:tr>
      <w:tr w14:paraId="52F94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EF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26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65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52C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8A5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C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13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F1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F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4D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59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8D70">
            <w:pPr>
              <w:jc w:val="center"/>
            </w:pPr>
          </w:p>
        </w:tc>
      </w:tr>
      <w:tr w14:paraId="5D24E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4C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E9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8F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592D">
            <w:pPr>
              <w:jc w:val="center"/>
            </w:pPr>
            <w:r>
              <w:rPr>
                <w:rFonts w:ascii="宋体" w:hAnsi="宋体" w:eastAsia="宋体"/>
                <w:sz w:val="16"/>
              </w:rPr>
              <w:t>人大代表保障标准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35FB">
            <w:pPr>
              <w:jc w:val="center"/>
            </w:pPr>
            <w:r>
              <w:rPr>
                <w:rFonts w:ascii="宋体" w:hAnsi="宋体" w:eastAsia="宋体"/>
                <w:sz w:val="16"/>
              </w:rPr>
              <w:t>&lt;=423元/人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53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1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92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F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00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B586">
            <w:pPr>
              <w:jc w:val="center"/>
            </w:pPr>
            <w:r>
              <w:rPr>
                <w:rFonts w:ascii="宋体" w:hAnsi="宋体" w:eastAsia="宋体"/>
                <w:sz w:val="16"/>
              </w:rPr>
              <w:t>=423元/人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EE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51FA">
            <w:pPr>
              <w:jc w:val="center"/>
            </w:pPr>
          </w:p>
        </w:tc>
      </w:tr>
      <w:tr w14:paraId="2B20A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C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82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B5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D4CC">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330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9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F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D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B0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49A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C2E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55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5368">
            <w:pPr>
              <w:jc w:val="center"/>
            </w:pPr>
          </w:p>
        </w:tc>
      </w:tr>
      <w:tr w14:paraId="7457C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6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2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6C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9698">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96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8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2A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5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43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A57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1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8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EA23">
            <w:pPr>
              <w:jc w:val="center"/>
            </w:pPr>
            <w:r>
              <w:rPr>
                <w:rFonts w:ascii="宋体" w:hAnsi="宋体" w:eastAsia="宋体"/>
                <w:sz w:val="16"/>
              </w:rPr>
              <w:t>项目完成较好，实际人大代表满意度较高，所以指标出现正偏差。</w:t>
            </w:r>
          </w:p>
        </w:tc>
      </w:tr>
      <w:tr w14:paraId="092B5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0C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79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447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B26A4">
            <w:pPr>
              <w:jc w:val="center"/>
            </w:pPr>
            <w:r>
              <w:rPr>
                <w:rFonts w:ascii="宋体" w:hAnsi="宋体" w:eastAsia="宋体"/>
                <w:sz w:val="16"/>
              </w:rPr>
              <w:t>100分</w:t>
            </w:r>
          </w:p>
        </w:tc>
      </w:tr>
    </w:tbl>
    <w:p w14:paraId="074E65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B0BBE92">
        <w:tblPrEx>
          <w:tblCellMar>
            <w:top w:w="0" w:type="dxa"/>
            <w:left w:w="108" w:type="dxa"/>
            <w:bottom w:w="0" w:type="dxa"/>
            <w:right w:w="108" w:type="dxa"/>
          </w:tblCellMar>
        </w:tblPrEx>
        <w:tc>
          <w:tcPr>
            <w:tcW w:w="8848" w:type="dxa"/>
            <w:gridSpan w:val="14"/>
            <w:vAlign w:val="center"/>
          </w:tcPr>
          <w:p w14:paraId="655C58B4">
            <w:pPr>
              <w:jc w:val="center"/>
            </w:pPr>
            <w:r>
              <w:rPr>
                <w:rFonts w:ascii="宋体" w:hAnsi="宋体" w:eastAsia="宋体"/>
                <w:sz w:val="24"/>
              </w:rPr>
              <w:t>项目支出绩效自评表</w:t>
            </w:r>
          </w:p>
        </w:tc>
      </w:tr>
      <w:tr w14:paraId="019FAB02">
        <w:tblPrEx>
          <w:tblCellMar>
            <w:top w:w="0" w:type="dxa"/>
            <w:left w:w="108" w:type="dxa"/>
            <w:bottom w:w="0" w:type="dxa"/>
            <w:right w:w="108" w:type="dxa"/>
          </w:tblCellMar>
        </w:tblPrEx>
        <w:tc>
          <w:tcPr>
            <w:tcW w:w="8848" w:type="dxa"/>
            <w:gridSpan w:val="14"/>
            <w:vAlign w:val="center"/>
          </w:tcPr>
          <w:p w14:paraId="26A4357D">
            <w:pPr>
              <w:jc w:val="center"/>
            </w:pPr>
            <w:r>
              <w:rPr>
                <w:rFonts w:ascii="宋体" w:hAnsi="宋体" w:eastAsia="宋体"/>
                <w:sz w:val="24"/>
              </w:rPr>
              <w:t>(2024年度)</w:t>
            </w:r>
          </w:p>
        </w:tc>
      </w:tr>
      <w:tr w14:paraId="59F74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BF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525AA3">
            <w:pPr>
              <w:jc w:val="center"/>
            </w:pPr>
            <w:r>
              <w:rPr>
                <w:rFonts w:ascii="宋体" w:hAnsi="宋体" w:eastAsia="宋体"/>
                <w:sz w:val="16"/>
              </w:rPr>
              <w:t>塔什库尔干乡2024年文化站经费</w:t>
            </w:r>
          </w:p>
        </w:tc>
      </w:tr>
      <w:tr w14:paraId="10AED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B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02E34">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A8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AE306D">
            <w:pPr>
              <w:jc w:val="center"/>
            </w:pPr>
            <w:r>
              <w:rPr>
                <w:rFonts w:ascii="宋体" w:hAnsi="宋体" w:eastAsia="宋体"/>
                <w:sz w:val="16"/>
              </w:rPr>
              <w:t>塔什库尔干塔吉克自治县塔什库尔干乡人民政府</w:t>
            </w:r>
          </w:p>
        </w:tc>
      </w:tr>
      <w:tr w14:paraId="6C85B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346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6B9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F23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13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90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104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512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5945">
            <w:pPr>
              <w:jc w:val="center"/>
            </w:pPr>
            <w:r>
              <w:rPr>
                <w:rFonts w:ascii="宋体" w:hAnsi="宋体" w:eastAsia="宋体"/>
                <w:sz w:val="16"/>
              </w:rPr>
              <w:t>得分</w:t>
            </w:r>
          </w:p>
        </w:tc>
      </w:tr>
      <w:tr w14:paraId="5602F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AB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DA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A3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AB1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20A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C9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91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1AD5">
            <w:pPr>
              <w:jc w:val="center"/>
            </w:pPr>
            <w:r>
              <w:rPr>
                <w:rFonts w:ascii="宋体" w:hAnsi="宋体" w:eastAsia="宋体"/>
                <w:sz w:val="16"/>
              </w:rPr>
              <w:t>10.00分</w:t>
            </w:r>
          </w:p>
        </w:tc>
      </w:tr>
      <w:tr w14:paraId="50DF0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EEE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7F5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5C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85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129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6A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B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A6F9">
            <w:pPr>
              <w:jc w:val="center"/>
            </w:pPr>
            <w:r>
              <w:rPr>
                <w:rFonts w:ascii="宋体" w:hAnsi="宋体" w:eastAsia="宋体"/>
                <w:sz w:val="16"/>
              </w:rPr>
              <w:t>—</w:t>
            </w:r>
          </w:p>
        </w:tc>
      </w:tr>
      <w:tr w14:paraId="0EB6E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34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B9E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16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421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2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AC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87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516D">
            <w:pPr>
              <w:jc w:val="center"/>
            </w:pPr>
            <w:r>
              <w:rPr>
                <w:rFonts w:ascii="宋体" w:hAnsi="宋体" w:eastAsia="宋体"/>
                <w:sz w:val="16"/>
              </w:rPr>
              <w:t>—</w:t>
            </w:r>
          </w:p>
        </w:tc>
      </w:tr>
      <w:tr w14:paraId="3CC21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652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D6C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B93DA5">
            <w:pPr>
              <w:jc w:val="center"/>
            </w:pPr>
            <w:r>
              <w:rPr>
                <w:rFonts w:ascii="宋体" w:hAnsi="宋体" w:eastAsia="宋体"/>
                <w:sz w:val="16"/>
              </w:rPr>
              <w:t>实际完成情况</w:t>
            </w:r>
          </w:p>
        </w:tc>
      </w:tr>
      <w:tr w14:paraId="3C6BD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B2D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D2FE4">
            <w:pPr>
              <w:jc w:val="both"/>
            </w:pPr>
            <w:r>
              <w:rPr>
                <w:rFonts w:ascii="宋体" w:hAnsi="宋体" w:eastAsia="宋体"/>
                <w:sz w:val="16"/>
              </w:rPr>
              <w:t>塔什库尔干乡文化站经费项目共投资5万元，项目预算安排资金5万元，其中：财政资金5万元，其他资金0万元。用于设立文化活动区、体育健身区、读书活动区以及办公场</w:t>
            </w:r>
            <w:r>
              <w:rPr>
                <w:rFonts w:hint="eastAsia" w:ascii="宋体" w:hAnsi="宋体"/>
                <w:sz w:val="16"/>
                <w:lang w:eastAsia="zh-CN"/>
              </w:rPr>
              <w:t>地</w:t>
            </w:r>
            <w:r>
              <w:rPr>
                <w:rFonts w:ascii="宋体" w:hAnsi="宋体" w:eastAsia="宋体"/>
                <w:sz w:val="16"/>
              </w:rPr>
              <w:t>3.5万元（装修、放置展览柜）；文化标识及其展板0.5万元；活动保障经费1万元。该项目的实施能够健全</w:t>
            </w:r>
            <w:r>
              <w:rPr>
                <w:rFonts w:hint="eastAsia" w:ascii="宋体" w:hAnsi="宋体"/>
                <w:sz w:val="16"/>
                <w:lang w:eastAsia="zh-CN"/>
              </w:rPr>
              <w:t>乡村</w:t>
            </w:r>
            <w:r>
              <w:rPr>
                <w:rFonts w:ascii="宋体" w:hAnsi="宋体" w:eastAsia="宋体"/>
                <w:sz w:val="16"/>
              </w:rPr>
              <w:t>公共文化服务体系，保障</w:t>
            </w:r>
            <w:r>
              <w:rPr>
                <w:rFonts w:hint="eastAsia" w:ascii="宋体" w:hAnsi="宋体"/>
                <w:sz w:val="16"/>
                <w:lang w:eastAsia="zh-CN"/>
              </w:rPr>
              <w:t>乡村</w:t>
            </w:r>
            <w:r>
              <w:rPr>
                <w:rFonts w:ascii="宋体" w:hAnsi="宋体" w:eastAsia="宋体"/>
                <w:sz w:val="16"/>
              </w:rPr>
              <w:t>综合文化对外工作正常进行，充分发挥文化事业的服务职能，创新文化发展思想，丰富乡村文化宣传活动内容，为广大农村和农民群众提供优质的文化产品和文化服务。使受益村集体满意度达到95%以上。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36899">
            <w:pPr>
              <w:jc w:val="both"/>
            </w:pPr>
            <w:r>
              <w:rPr>
                <w:rFonts w:ascii="宋体" w:hAnsi="宋体" w:eastAsia="宋体"/>
                <w:sz w:val="16"/>
              </w:rPr>
              <w:t>塔什库尔干乡文化站经费项目共投资5万元，用于设立文化活动区、体育健身区、读书活动区以及办公场地区3.5万元（装修、放置展览柜）；文化标识及其展板0.5万元；活动保障经费1万元。该项目的实施能够健全</w:t>
            </w:r>
            <w:r>
              <w:rPr>
                <w:rFonts w:hint="eastAsia" w:ascii="宋体" w:hAnsi="宋体"/>
                <w:sz w:val="16"/>
                <w:lang w:eastAsia="zh-CN"/>
              </w:rPr>
              <w:t>乡村</w:t>
            </w:r>
            <w:r>
              <w:rPr>
                <w:rFonts w:ascii="宋体" w:hAnsi="宋体" w:eastAsia="宋体"/>
                <w:sz w:val="16"/>
              </w:rPr>
              <w:t>公共文化服务体系，保障</w:t>
            </w:r>
            <w:r>
              <w:rPr>
                <w:rFonts w:hint="eastAsia" w:ascii="宋体" w:hAnsi="宋体"/>
                <w:sz w:val="16"/>
                <w:lang w:eastAsia="zh-CN"/>
              </w:rPr>
              <w:t>乡村</w:t>
            </w:r>
            <w:r>
              <w:rPr>
                <w:rFonts w:ascii="宋体" w:hAnsi="宋体" w:eastAsia="宋体"/>
                <w:sz w:val="16"/>
              </w:rPr>
              <w:t>综合文化对外工作正常进行，充分发挥文化事业的服务职能，创新文化发展思想，丰富乡村文化宣传活动内容，为广大农村和农民群众提供优质的文化产品和文化服务，受益村集体满意度达到100%。</w:t>
            </w:r>
          </w:p>
        </w:tc>
      </w:tr>
      <w:tr w14:paraId="160C7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0979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85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EF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D5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EA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A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71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8D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CF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FE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51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05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5DD42">
            <w:pPr>
              <w:jc w:val="center"/>
            </w:pPr>
            <w:r>
              <w:rPr>
                <w:rFonts w:ascii="宋体" w:hAnsi="宋体" w:eastAsia="宋体"/>
                <w:sz w:val="16"/>
              </w:rPr>
              <w:t>偏差原因分析及改进措施</w:t>
            </w:r>
          </w:p>
        </w:tc>
      </w:tr>
      <w:tr w14:paraId="5E298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3A9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A57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AE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8708">
            <w:pPr>
              <w:jc w:val="center"/>
            </w:pPr>
            <w:r>
              <w:rPr>
                <w:rFonts w:ascii="宋体" w:hAnsi="宋体" w:eastAsia="宋体"/>
                <w:sz w:val="16"/>
              </w:rPr>
              <w:t>文化站经费保障乡镇数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630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C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0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2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5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3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A5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B9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9535">
            <w:pPr>
              <w:jc w:val="center"/>
            </w:pPr>
          </w:p>
        </w:tc>
      </w:tr>
      <w:tr w14:paraId="166DE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3E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5A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1A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F6B5">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6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D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45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67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4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1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3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A7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127F">
            <w:pPr>
              <w:jc w:val="center"/>
            </w:pPr>
          </w:p>
        </w:tc>
      </w:tr>
      <w:tr w14:paraId="7A315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36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EA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FE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49A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E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1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1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8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C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3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D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2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4D880">
            <w:pPr>
              <w:jc w:val="center"/>
            </w:pPr>
          </w:p>
        </w:tc>
      </w:tr>
      <w:tr w14:paraId="7015F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5C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8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99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D4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655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7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F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8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D0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8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7011">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F7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44C2D">
            <w:pPr>
              <w:jc w:val="center"/>
            </w:pPr>
          </w:p>
        </w:tc>
      </w:tr>
      <w:tr w14:paraId="1439B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57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E89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A8F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216C">
            <w:pPr>
              <w:jc w:val="center"/>
            </w:pPr>
            <w:r>
              <w:rPr>
                <w:rFonts w:ascii="宋体" w:hAnsi="宋体" w:eastAsia="宋体"/>
                <w:sz w:val="16"/>
              </w:rPr>
              <w:t>文化活动区及相关费用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9239">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0A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0E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9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3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F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9ADE">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AE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6C47">
            <w:pPr>
              <w:jc w:val="center"/>
            </w:pPr>
          </w:p>
        </w:tc>
      </w:tr>
      <w:tr w14:paraId="07C58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E4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34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84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FCB9">
            <w:pPr>
              <w:jc w:val="center"/>
            </w:pPr>
            <w:r>
              <w:rPr>
                <w:rFonts w:ascii="宋体" w:hAnsi="宋体" w:eastAsia="宋体"/>
                <w:sz w:val="16"/>
              </w:rPr>
              <w:t>文化类标识采购成本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4E6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A4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EC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F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B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08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8E1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81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C45A">
            <w:pPr>
              <w:jc w:val="center"/>
            </w:pPr>
          </w:p>
        </w:tc>
      </w:tr>
      <w:tr w14:paraId="5527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84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6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E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3296">
            <w:pPr>
              <w:jc w:val="center"/>
            </w:pPr>
            <w:r>
              <w:rPr>
                <w:rFonts w:ascii="宋体" w:hAnsi="宋体" w:eastAsia="宋体"/>
                <w:sz w:val="16"/>
              </w:rPr>
              <w:t>活动保障经费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1A1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41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0E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EC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B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9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620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C0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A801">
            <w:pPr>
              <w:jc w:val="center"/>
            </w:pPr>
          </w:p>
        </w:tc>
      </w:tr>
      <w:tr w14:paraId="3E5E6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98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F3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10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4F58">
            <w:pPr>
              <w:jc w:val="center"/>
            </w:pPr>
            <w:r>
              <w:rPr>
                <w:rFonts w:ascii="宋体" w:hAnsi="宋体" w:eastAsia="宋体"/>
                <w:sz w:val="16"/>
              </w:rPr>
              <w:t>提升乡村文化振兴氛围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64A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7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8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ED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EA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3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4A9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BF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AD7C">
            <w:pPr>
              <w:jc w:val="center"/>
            </w:pPr>
          </w:p>
        </w:tc>
      </w:tr>
      <w:tr w14:paraId="69CC1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F0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B8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E4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1237">
            <w:pPr>
              <w:jc w:val="center"/>
            </w:pPr>
            <w:r>
              <w:rPr>
                <w:rFonts w:ascii="宋体" w:hAnsi="宋体" w:eastAsia="宋体"/>
                <w:sz w:val="16"/>
              </w:rPr>
              <w:t>受益村集体满意度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18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4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B5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F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D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2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C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D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A6B5">
            <w:pPr>
              <w:jc w:val="center"/>
            </w:pPr>
            <w:r>
              <w:rPr>
                <w:rFonts w:ascii="宋体" w:hAnsi="宋体" w:eastAsia="宋体"/>
                <w:sz w:val="16"/>
              </w:rPr>
              <w:t>项目完成较好，实际受益村满意度较高，所以指标出现正偏差。</w:t>
            </w:r>
          </w:p>
        </w:tc>
      </w:tr>
      <w:tr w14:paraId="79393D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5E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CE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E8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BAB43">
            <w:pPr>
              <w:jc w:val="center"/>
            </w:pPr>
            <w:r>
              <w:rPr>
                <w:rFonts w:ascii="宋体" w:hAnsi="宋体" w:eastAsia="宋体"/>
                <w:sz w:val="16"/>
              </w:rPr>
              <w:t>100分</w:t>
            </w:r>
          </w:p>
        </w:tc>
      </w:tr>
    </w:tbl>
    <w:p w14:paraId="116E900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43DB716">
        <w:tc>
          <w:tcPr>
            <w:tcW w:w="8848" w:type="dxa"/>
            <w:gridSpan w:val="14"/>
            <w:vAlign w:val="center"/>
          </w:tcPr>
          <w:p w14:paraId="2515C8BB">
            <w:pPr>
              <w:jc w:val="center"/>
            </w:pPr>
            <w:r>
              <w:rPr>
                <w:rFonts w:ascii="宋体" w:hAnsi="宋体" w:eastAsia="宋体"/>
                <w:sz w:val="24"/>
              </w:rPr>
              <w:t>项目支出绩效自评表</w:t>
            </w:r>
          </w:p>
        </w:tc>
      </w:tr>
      <w:tr w14:paraId="2C75A8D6">
        <w:tblPrEx>
          <w:tblCellMar>
            <w:top w:w="0" w:type="dxa"/>
            <w:left w:w="108" w:type="dxa"/>
            <w:bottom w:w="0" w:type="dxa"/>
            <w:right w:w="108" w:type="dxa"/>
          </w:tblCellMar>
        </w:tblPrEx>
        <w:tc>
          <w:tcPr>
            <w:tcW w:w="8848" w:type="dxa"/>
            <w:gridSpan w:val="14"/>
            <w:vAlign w:val="center"/>
          </w:tcPr>
          <w:p w14:paraId="6668891C">
            <w:pPr>
              <w:jc w:val="center"/>
            </w:pPr>
            <w:r>
              <w:rPr>
                <w:rFonts w:ascii="宋体" w:hAnsi="宋体" w:eastAsia="宋体"/>
                <w:sz w:val="24"/>
              </w:rPr>
              <w:t>(2024年度)</w:t>
            </w:r>
          </w:p>
        </w:tc>
      </w:tr>
      <w:tr w14:paraId="31368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A6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5D9D5">
            <w:pPr>
              <w:jc w:val="center"/>
            </w:pPr>
            <w:r>
              <w:rPr>
                <w:rFonts w:ascii="宋体" w:hAnsi="宋体" w:eastAsia="宋体"/>
                <w:sz w:val="16"/>
              </w:rPr>
              <w:t>塔什库尔干乡富民村亮化项目</w:t>
            </w:r>
          </w:p>
        </w:tc>
      </w:tr>
      <w:tr w14:paraId="6C2A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2E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BE444">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91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DCCEC4">
            <w:pPr>
              <w:jc w:val="center"/>
            </w:pPr>
            <w:r>
              <w:rPr>
                <w:rFonts w:ascii="宋体" w:hAnsi="宋体" w:eastAsia="宋体"/>
                <w:sz w:val="16"/>
              </w:rPr>
              <w:t>塔什库尔干塔吉克自治县塔什库尔干乡人民政府</w:t>
            </w:r>
          </w:p>
        </w:tc>
      </w:tr>
      <w:tr w14:paraId="75DBF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7685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D9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6B1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B24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80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AE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A48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3F05">
            <w:pPr>
              <w:jc w:val="center"/>
            </w:pPr>
            <w:r>
              <w:rPr>
                <w:rFonts w:ascii="宋体" w:hAnsi="宋体" w:eastAsia="宋体"/>
                <w:sz w:val="16"/>
              </w:rPr>
              <w:t>得分</w:t>
            </w:r>
          </w:p>
        </w:tc>
      </w:tr>
      <w:tr w14:paraId="100A9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A42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7E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D44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75BF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D97A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4ED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98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819D">
            <w:pPr>
              <w:jc w:val="center"/>
            </w:pPr>
            <w:r>
              <w:rPr>
                <w:rFonts w:ascii="宋体" w:hAnsi="宋体" w:eastAsia="宋体"/>
                <w:sz w:val="16"/>
              </w:rPr>
              <w:t>10.00分</w:t>
            </w:r>
          </w:p>
        </w:tc>
      </w:tr>
      <w:tr w14:paraId="720D8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4A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05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7B9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473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11FD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5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0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E014">
            <w:pPr>
              <w:jc w:val="center"/>
            </w:pPr>
            <w:r>
              <w:rPr>
                <w:rFonts w:ascii="宋体" w:hAnsi="宋体" w:eastAsia="宋体"/>
                <w:sz w:val="16"/>
              </w:rPr>
              <w:t>—</w:t>
            </w:r>
          </w:p>
        </w:tc>
      </w:tr>
      <w:tr w14:paraId="6FC0B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39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5D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3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16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9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09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FAA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D993">
            <w:pPr>
              <w:jc w:val="center"/>
            </w:pPr>
            <w:r>
              <w:rPr>
                <w:rFonts w:ascii="宋体" w:hAnsi="宋体" w:eastAsia="宋体"/>
                <w:sz w:val="16"/>
              </w:rPr>
              <w:t>—</w:t>
            </w:r>
          </w:p>
        </w:tc>
      </w:tr>
      <w:tr w14:paraId="16B563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279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85C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094929">
            <w:pPr>
              <w:jc w:val="center"/>
            </w:pPr>
            <w:r>
              <w:rPr>
                <w:rFonts w:ascii="宋体" w:hAnsi="宋体" w:eastAsia="宋体"/>
                <w:sz w:val="16"/>
              </w:rPr>
              <w:t>实际完成情况</w:t>
            </w:r>
          </w:p>
        </w:tc>
      </w:tr>
      <w:tr w14:paraId="1DD72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78D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A4B72">
            <w:pPr>
              <w:jc w:val="both"/>
            </w:pPr>
            <w:r>
              <w:rPr>
                <w:rFonts w:ascii="宋体" w:hAnsi="宋体" w:eastAsia="宋体"/>
                <w:sz w:val="16"/>
              </w:rPr>
              <w:t>富民村位点位于塔什库尔干乡中部区域，塔什库尔干河西侧，距离县城约25公里，于2016年申请立项，2017年3月开始建设,2018开始搬入，人口总户数189户776人，全村耕地面积1390亩，人均2亩。项目实施后，提升美丽宜居环境，保障村民夜间安全出行，营造和谐社会环境，打造美丽乡村。投资50万元,为富民村购置路灯50盏（大型太阳能路灯），每盏10000元（包含人工、水泥墩）。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A32A8">
            <w:pPr>
              <w:jc w:val="both"/>
            </w:pPr>
            <w:r>
              <w:rPr>
                <w:rFonts w:ascii="宋体" w:hAnsi="宋体" w:eastAsia="宋体"/>
                <w:sz w:val="16"/>
              </w:rPr>
              <w:t>该项目实际支出50万元，为富民村购置路灯50盏（大型太阳能路灯），每盏10000元（包含人工、水泥墩）。</w:t>
            </w:r>
            <w:r>
              <w:rPr>
                <w:rFonts w:ascii="宋体" w:hAnsi="宋体" w:eastAsia="宋体"/>
                <w:sz w:val="16"/>
              </w:rPr>
              <w:tab/>
            </w:r>
            <w:r>
              <w:rPr>
                <w:rFonts w:ascii="宋体" w:hAnsi="宋体" w:eastAsia="宋体"/>
                <w:sz w:val="16"/>
              </w:rPr>
              <w:t>受益巩固拓展脱贫攻坚人口数777人，提升美丽宜居环境，保障村民夜间安全出行，营造和谐社会环境，打造美丽乡村，道路使用者满意度达到100%。</w:t>
            </w:r>
          </w:p>
        </w:tc>
      </w:tr>
      <w:tr w14:paraId="4D24B9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1AA2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F9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AE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25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94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0F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78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15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E7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78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29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42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1B58">
            <w:pPr>
              <w:jc w:val="center"/>
            </w:pPr>
            <w:r>
              <w:rPr>
                <w:rFonts w:ascii="宋体" w:hAnsi="宋体" w:eastAsia="宋体"/>
                <w:sz w:val="16"/>
              </w:rPr>
              <w:t>偏差原因分析及改进措施</w:t>
            </w:r>
          </w:p>
        </w:tc>
      </w:tr>
      <w:tr w14:paraId="017DB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AEF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F9C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58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A5B5">
            <w:pPr>
              <w:jc w:val="center"/>
            </w:pPr>
            <w:r>
              <w:rPr>
                <w:rFonts w:ascii="宋体" w:hAnsi="宋体" w:eastAsia="宋体"/>
                <w:sz w:val="16"/>
              </w:rPr>
              <w:t>购置路灯数量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009B">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A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C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F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A9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9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F89F">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5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6D1B">
            <w:pPr>
              <w:jc w:val="center"/>
            </w:pPr>
          </w:p>
        </w:tc>
      </w:tr>
      <w:tr w14:paraId="335AB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5E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3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76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24DC">
            <w:pPr>
              <w:jc w:val="center"/>
            </w:pPr>
            <w:r>
              <w:rPr>
                <w:rFonts w:ascii="宋体" w:hAnsi="宋体" w:eastAsia="宋体"/>
                <w:sz w:val="16"/>
              </w:rPr>
              <w:t>项目（工程）验收合格率100%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6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4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3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0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C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D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FE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B79E">
            <w:pPr>
              <w:jc w:val="center"/>
            </w:pPr>
          </w:p>
        </w:tc>
      </w:tr>
      <w:tr w14:paraId="019E6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E0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09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988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A8A">
            <w:pPr>
              <w:jc w:val="center"/>
            </w:pPr>
            <w:r>
              <w:rPr>
                <w:rFonts w:ascii="宋体" w:hAnsi="宋体" w:eastAsia="宋体"/>
                <w:sz w:val="16"/>
              </w:rPr>
              <w:t>项目（工程）完成及时率100%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1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20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1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11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A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5A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4AA29">
            <w:pPr>
              <w:jc w:val="center"/>
            </w:pPr>
          </w:p>
        </w:tc>
      </w:tr>
      <w:tr w14:paraId="25E14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67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86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8E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782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B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6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B2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E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2D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D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A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B0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BE6D7">
            <w:pPr>
              <w:jc w:val="center"/>
            </w:pPr>
          </w:p>
        </w:tc>
      </w:tr>
      <w:tr w14:paraId="393E0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4F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381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15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933C">
            <w:pPr>
              <w:jc w:val="center"/>
            </w:pPr>
            <w:r>
              <w:rPr>
                <w:rFonts w:ascii="宋体" w:hAnsi="宋体" w:eastAsia="宋体"/>
                <w:sz w:val="16"/>
              </w:rPr>
              <w:t>采购造价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BF3A">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7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A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27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5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402">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65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6FCF0">
            <w:pPr>
              <w:jc w:val="center"/>
            </w:pPr>
          </w:p>
        </w:tc>
      </w:tr>
      <w:tr w14:paraId="3559F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2A8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E05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61D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182E">
            <w:pPr>
              <w:jc w:val="center"/>
            </w:pPr>
            <w:r>
              <w:rPr>
                <w:rFonts w:ascii="宋体" w:hAnsi="宋体" w:eastAsia="宋体"/>
                <w:sz w:val="16"/>
              </w:rPr>
              <w:t>受益巩固拓展脱贫攻坚人口数（≥**人）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366E">
            <w:pPr>
              <w:jc w:val="center"/>
            </w:pPr>
            <w:r>
              <w:rPr>
                <w:rFonts w:ascii="宋体" w:hAnsi="宋体" w:eastAsia="宋体"/>
                <w:sz w:val="16"/>
              </w:rPr>
              <w:t>&gt;=777人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B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BC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3F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4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D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9091">
            <w:pPr>
              <w:jc w:val="center"/>
            </w:pPr>
            <w:r>
              <w:rPr>
                <w:rFonts w:ascii="宋体" w:hAnsi="宋体" w:eastAsia="宋体"/>
                <w:sz w:val="16"/>
              </w:rPr>
              <w:t>=777人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0C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8D21">
            <w:pPr>
              <w:jc w:val="center"/>
            </w:pPr>
          </w:p>
        </w:tc>
      </w:tr>
      <w:tr w14:paraId="73426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F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66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80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FB6E">
            <w:pPr>
              <w:jc w:val="center"/>
            </w:pPr>
            <w:r>
              <w:rPr>
                <w:rFonts w:ascii="宋体" w:hAnsi="宋体" w:eastAsia="宋体"/>
                <w:sz w:val="16"/>
              </w:rPr>
              <w:t>受益村个数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DE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1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A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8A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46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5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75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12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5B05">
            <w:pPr>
              <w:jc w:val="center"/>
            </w:pPr>
          </w:p>
        </w:tc>
      </w:tr>
      <w:tr w14:paraId="29F1E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AF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F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15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5764">
            <w:pPr>
              <w:jc w:val="center"/>
            </w:pPr>
            <w:r>
              <w:rPr>
                <w:rFonts w:ascii="宋体" w:hAnsi="宋体" w:eastAsia="宋体"/>
                <w:sz w:val="16"/>
              </w:rPr>
              <w:t>宜居环境条件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CF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3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0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C2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45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4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667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DE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1C1A">
            <w:pPr>
              <w:jc w:val="center"/>
            </w:pPr>
          </w:p>
        </w:tc>
      </w:tr>
      <w:tr w14:paraId="25B0A54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8B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C9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1D65">
            <w:pPr>
              <w:jc w:val="center"/>
            </w:pPr>
            <w:r>
              <w:rPr>
                <w:rFonts w:ascii="宋体" w:hAnsi="宋体" w:eastAsia="宋体"/>
                <w:sz w:val="16"/>
              </w:rPr>
              <w:t>道路使用者满意度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AF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C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17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0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90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4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6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E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7CBE">
            <w:pPr>
              <w:jc w:val="center"/>
            </w:pPr>
            <w:r>
              <w:rPr>
                <w:rFonts w:ascii="宋体" w:hAnsi="宋体" w:eastAsia="宋体"/>
                <w:sz w:val="16"/>
              </w:rPr>
              <w:t>项目完成情况较好，实际道路使用者满意度较高，所以指标出现正偏差</w:t>
            </w:r>
          </w:p>
        </w:tc>
      </w:tr>
      <w:tr w14:paraId="4FC33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56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48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C1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532A7">
            <w:pPr>
              <w:jc w:val="center"/>
            </w:pPr>
            <w:r>
              <w:rPr>
                <w:rFonts w:ascii="宋体" w:hAnsi="宋体" w:eastAsia="宋体"/>
                <w:sz w:val="16"/>
              </w:rPr>
              <w:t>100分</w:t>
            </w:r>
          </w:p>
        </w:tc>
      </w:tr>
    </w:tbl>
    <w:p w14:paraId="1B60ABD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D034F14">
        <w:tblPrEx>
          <w:tblCellMar>
            <w:top w:w="0" w:type="dxa"/>
            <w:left w:w="108" w:type="dxa"/>
            <w:bottom w:w="0" w:type="dxa"/>
            <w:right w:w="108" w:type="dxa"/>
          </w:tblCellMar>
        </w:tblPrEx>
        <w:tc>
          <w:tcPr>
            <w:tcW w:w="8848" w:type="dxa"/>
            <w:gridSpan w:val="14"/>
            <w:vAlign w:val="center"/>
          </w:tcPr>
          <w:p w14:paraId="5A3A6C3B">
            <w:pPr>
              <w:jc w:val="center"/>
            </w:pPr>
            <w:r>
              <w:rPr>
                <w:rFonts w:ascii="宋体" w:hAnsi="宋体" w:eastAsia="宋体"/>
                <w:sz w:val="24"/>
              </w:rPr>
              <w:t>项目支出绩效自评表</w:t>
            </w:r>
          </w:p>
        </w:tc>
      </w:tr>
      <w:tr w14:paraId="0CCB68A0">
        <w:tblPrEx>
          <w:tblCellMar>
            <w:top w:w="0" w:type="dxa"/>
            <w:left w:w="108" w:type="dxa"/>
            <w:bottom w:w="0" w:type="dxa"/>
            <w:right w:w="108" w:type="dxa"/>
          </w:tblCellMar>
        </w:tblPrEx>
        <w:tc>
          <w:tcPr>
            <w:tcW w:w="8848" w:type="dxa"/>
            <w:gridSpan w:val="14"/>
            <w:vAlign w:val="center"/>
          </w:tcPr>
          <w:p w14:paraId="5715CE08">
            <w:pPr>
              <w:jc w:val="center"/>
            </w:pPr>
            <w:r>
              <w:rPr>
                <w:rFonts w:ascii="宋体" w:hAnsi="宋体" w:eastAsia="宋体"/>
                <w:sz w:val="24"/>
              </w:rPr>
              <w:t>(2024年度)</w:t>
            </w:r>
          </w:p>
        </w:tc>
      </w:tr>
      <w:tr w14:paraId="4A2DF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F9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63E37C">
            <w:pPr>
              <w:jc w:val="center"/>
            </w:pPr>
            <w:r>
              <w:rPr>
                <w:rFonts w:ascii="宋体" w:hAnsi="宋体" w:eastAsia="宋体"/>
                <w:sz w:val="16"/>
              </w:rPr>
              <w:t>塔什库尔干乡爱民村亮化项目</w:t>
            </w:r>
          </w:p>
        </w:tc>
      </w:tr>
      <w:tr w14:paraId="7B04B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8D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F8366">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40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1C2D4">
            <w:pPr>
              <w:jc w:val="center"/>
            </w:pPr>
            <w:r>
              <w:rPr>
                <w:rFonts w:ascii="宋体" w:hAnsi="宋体" w:eastAsia="宋体"/>
                <w:sz w:val="16"/>
              </w:rPr>
              <w:t>塔什库尔干塔吉克自治县塔什库尔干乡人民政府</w:t>
            </w:r>
          </w:p>
        </w:tc>
      </w:tr>
      <w:tr w14:paraId="1E0E1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86A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B213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6F2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69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C2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1B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9E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8F1D">
            <w:pPr>
              <w:jc w:val="center"/>
            </w:pPr>
            <w:r>
              <w:rPr>
                <w:rFonts w:ascii="宋体" w:hAnsi="宋体" w:eastAsia="宋体"/>
                <w:sz w:val="16"/>
              </w:rPr>
              <w:t>得分</w:t>
            </w:r>
          </w:p>
        </w:tc>
      </w:tr>
      <w:tr w14:paraId="5F0F0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891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88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4D6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475E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7F3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E12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EDC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D22D">
            <w:pPr>
              <w:jc w:val="center"/>
            </w:pPr>
            <w:r>
              <w:rPr>
                <w:rFonts w:ascii="宋体" w:hAnsi="宋体" w:eastAsia="宋体"/>
                <w:sz w:val="16"/>
              </w:rPr>
              <w:t>10.00分</w:t>
            </w:r>
          </w:p>
        </w:tc>
      </w:tr>
      <w:tr w14:paraId="0201C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50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CD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AFA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B6D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A92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F1F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1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8259">
            <w:pPr>
              <w:jc w:val="center"/>
            </w:pPr>
            <w:r>
              <w:rPr>
                <w:rFonts w:ascii="宋体" w:hAnsi="宋体" w:eastAsia="宋体"/>
                <w:sz w:val="16"/>
              </w:rPr>
              <w:t>—</w:t>
            </w:r>
          </w:p>
        </w:tc>
      </w:tr>
      <w:tr w14:paraId="21730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7F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0FF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F4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4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9F1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63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AD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275B">
            <w:pPr>
              <w:jc w:val="center"/>
            </w:pPr>
            <w:r>
              <w:rPr>
                <w:rFonts w:ascii="宋体" w:hAnsi="宋体" w:eastAsia="宋体"/>
                <w:sz w:val="16"/>
              </w:rPr>
              <w:t>—</w:t>
            </w:r>
          </w:p>
        </w:tc>
      </w:tr>
      <w:tr w14:paraId="72C884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849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1F0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F6CD9">
            <w:pPr>
              <w:jc w:val="center"/>
            </w:pPr>
            <w:r>
              <w:rPr>
                <w:rFonts w:ascii="宋体" w:hAnsi="宋体" w:eastAsia="宋体"/>
                <w:sz w:val="16"/>
              </w:rPr>
              <w:t>实际完成情况</w:t>
            </w:r>
          </w:p>
        </w:tc>
      </w:tr>
      <w:tr w14:paraId="241D2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A8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DC3FB">
            <w:pPr>
              <w:jc w:val="both"/>
            </w:pPr>
            <w:r>
              <w:rPr>
                <w:rFonts w:ascii="宋体" w:hAnsi="宋体" w:eastAsia="宋体"/>
                <w:sz w:val="16"/>
              </w:rPr>
              <w:t>投资50万元,为爱民村购置路灯50盏（大型太阳能路灯），每盏10000元（包含人工、水泥墩）。提升美丽宜居环境，保障村民夜间安全出行，营造和谐社会环境，打造美丽乡村。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D386BE">
            <w:pPr>
              <w:jc w:val="both"/>
            </w:pPr>
            <w:r>
              <w:rPr>
                <w:rFonts w:ascii="宋体" w:hAnsi="宋体" w:eastAsia="宋体"/>
                <w:sz w:val="16"/>
              </w:rPr>
              <w:t>项目实际支出50万元,为爱民村购置路灯50盏（大型太阳能路灯），每盏10000元（包含人工、水泥墩）。受益巩固拓展脱贫攻坚人口数713人，提升美丽宜居环境，保障村民夜间安全出行，营造和谐社会环境，打造美丽乡村，道路使用者满意度100%。</w:t>
            </w:r>
          </w:p>
        </w:tc>
      </w:tr>
      <w:tr w14:paraId="0B8C6D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0769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AE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D8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7C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37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C5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E0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DB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6B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F7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65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1A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A11C">
            <w:pPr>
              <w:jc w:val="center"/>
            </w:pPr>
            <w:r>
              <w:rPr>
                <w:rFonts w:ascii="宋体" w:hAnsi="宋体" w:eastAsia="宋体"/>
                <w:sz w:val="16"/>
              </w:rPr>
              <w:t>偏差原因分析及改进措施</w:t>
            </w:r>
          </w:p>
        </w:tc>
      </w:tr>
      <w:tr w14:paraId="1223F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BB2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F45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03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8CB2">
            <w:pPr>
              <w:jc w:val="center"/>
            </w:pPr>
            <w:r>
              <w:rPr>
                <w:rFonts w:ascii="宋体" w:hAnsi="宋体" w:eastAsia="宋体"/>
                <w:sz w:val="16"/>
              </w:rPr>
              <w:t>购置路灯数量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BFEF">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5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9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05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B8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3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2D22">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51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7630">
            <w:pPr>
              <w:jc w:val="center"/>
            </w:pPr>
          </w:p>
        </w:tc>
      </w:tr>
      <w:tr w14:paraId="2DD25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4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C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34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7987">
            <w:pPr>
              <w:jc w:val="center"/>
            </w:pPr>
            <w:r>
              <w:rPr>
                <w:rFonts w:ascii="宋体" w:hAnsi="宋体" w:eastAsia="宋体"/>
                <w:sz w:val="16"/>
              </w:rPr>
              <w:t>项目（工程）验收合格率100%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2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A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5D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B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F7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E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9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4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5AF1">
            <w:pPr>
              <w:jc w:val="center"/>
            </w:pPr>
          </w:p>
        </w:tc>
      </w:tr>
      <w:tr w14:paraId="534FD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5E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B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1D1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92F8">
            <w:pPr>
              <w:jc w:val="center"/>
            </w:pPr>
            <w:r>
              <w:rPr>
                <w:rFonts w:ascii="宋体" w:hAnsi="宋体" w:eastAsia="宋体"/>
                <w:sz w:val="16"/>
              </w:rPr>
              <w:t>项目（工程）完成及时率100%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D5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6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5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8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1E2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8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7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8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76F8">
            <w:pPr>
              <w:jc w:val="center"/>
            </w:pPr>
          </w:p>
        </w:tc>
      </w:tr>
      <w:tr w14:paraId="400EC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7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A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4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724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E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7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CA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5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73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0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E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2C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B5A5">
            <w:pPr>
              <w:jc w:val="center"/>
            </w:pPr>
          </w:p>
        </w:tc>
      </w:tr>
      <w:tr w14:paraId="4149E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44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20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A8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63A3">
            <w:pPr>
              <w:jc w:val="center"/>
            </w:pPr>
            <w:r>
              <w:rPr>
                <w:rFonts w:ascii="宋体" w:hAnsi="宋体" w:eastAsia="宋体"/>
                <w:sz w:val="16"/>
              </w:rPr>
              <w:t>采购造价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03EC">
            <w:pPr>
              <w:jc w:val="center"/>
            </w:pPr>
            <w:r>
              <w:rPr>
                <w:rFonts w:ascii="宋体" w:hAnsi="宋体" w:eastAsia="宋体"/>
                <w:sz w:val="16"/>
              </w:rPr>
              <w:t>&gt;=10000元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9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B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96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D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D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4627">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92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EC8F">
            <w:pPr>
              <w:jc w:val="center"/>
            </w:pPr>
          </w:p>
        </w:tc>
      </w:tr>
      <w:tr w14:paraId="4E903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0ED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309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A02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5B85">
            <w:pPr>
              <w:jc w:val="center"/>
            </w:pPr>
            <w:r>
              <w:rPr>
                <w:rFonts w:ascii="宋体" w:hAnsi="宋体" w:eastAsia="宋体"/>
                <w:sz w:val="16"/>
              </w:rPr>
              <w:t>受益巩固拓展脱贫攻坚人口数（≥**人）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6C56">
            <w:pPr>
              <w:jc w:val="center"/>
            </w:pPr>
            <w:r>
              <w:rPr>
                <w:rFonts w:ascii="宋体" w:hAnsi="宋体" w:eastAsia="宋体"/>
                <w:sz w:val="16"/>
              </w:rPr>
              <w:t>&gt;=713人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1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E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91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3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A0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F110">
            <w:pPr>
              <w:jc w:val="center"/>
            </w:pPr>
            <w:r>
              <w:rPr>
                <w:rFonts w:ascii="宋体" w:hAnsi="宋体" w:eastAsia="宋体"/>
                <w:sz w:val="16"/>
              </w:rPr>
              <w:t>=713人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6C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953C">
            <w:pPr>
              <w:jc w:val="center"/>
            </w:pPr>
          </w:p>
        </w:tc>
      </w:tr>
      <w:tr w14:paraId="131C3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0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3F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2A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3011">
            <w:pPr>
              <w:jc w:val="center"/>
            </w:pPr>
            <w:r>
              <w:rPr>
                <w:rFonts w:ascii="宋体" w:hAnsi="宋体" w:eastAsia="宋体"/>
                <w:sz w:val="16"/>
              </w:rPr>
              <w:t>受益村个数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F8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9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4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99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A1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3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73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52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EFE2">
            <w:pPr>
              <w:jc w:val="center"/>
            </w:pPr>
          </w:p>
        </w:tc>
      </w:tr>
      <w:tr w14:paraId="46F3F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2F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F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2DD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6F4B">
            <w:pPr>
              <w:jc w:val="center"/>
            </w:pPr>
            <w:r>
              <w:rPr>
                <w:rFonts w:ascii="宋体" w:hAnsi="宋体" w:eastAsia="宋体"/>
                <w:sz w:val="16"/>
              </w:rPr>
              <w:t>宜居环境条件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7A13">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B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8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B0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14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0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81E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C2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6964">
            <w:pPr>
              <w:jc w:val="center"/>
            </w:pPr>
          </w:p>
        </w:tc>
      </w:tr>
      <w:tr w14:paraId="78E16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F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CA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95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5781">
            <w:pPr>
              <w:jc w:val="center"/>
            </w:pPr>
            <w:r>
              <w:rPr>
                <w:rFonts w:ascii="宋体" w:hAnsi="宋体" w:eastAsia="宋体"/>
                <w:sz w:val="16"/>
              </w:rPr>
              <w:t>道路使用者满意度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D8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3F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91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6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DC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2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C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3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58B7">
            <w:pPr>
              <w:jc w:val="center"/>
            </w:pPr>
            <w:r>
              <w:rPr>
                <w:rFonts w:ascii="宋体" w:hAnsi="宋体" w:eastAsia="宋体"/>
                <w:sz w:val="16"/>
              </w:rPr>
              <w:t>项目完成情况较好，实际道路使用者满意度较高，所以指标出现正偏差</w:t>
            </w:r>
          </w:p>
        </w:tc>
      </w:tr>
      <w:tr w14:paraId="69657C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979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38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30D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3A7812">
            <w:pPr>
              <w:jc w:val="center"/>
            </w:pPr>
            <w:r>
              <w:rPr>
                <w:rFonts w:ascii="宋体" w:hAnsi="宋体" w:eastAsia="宋体"/>
                <w:sz w:val="16"/>
              </w:rPr>
              <w:t>100分</w:t>
            </w:r>
          </w:p>
        </w:tc>
      </w:tr>
    </w:tbl>
    <w:p w14:paraId="3E2A76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C7C8CA3">
        <w:tblPrEx>
          <w:tblCellMar>
            <w:top w:w="0" w:type="dxa"/>
            <w:left w:w="108" w:type="dxa"/>
            <w:bottom w:w="0" w:type="dxa"/>
            <w:right w:w="108" w:type="dxa"/>
          </w:tblCellMar>
        </w:tblPrEx>
        <w:tc>
          <w:tcPr>
            <w:tcW w:w="8848" w:type="dxa"/>
            <w:gridSpan w:val="14"/>
            <w:vAlign w:val="center"/>
          </w:tcPr>
          <w:p w14:paraId="66D5E181">
            <w:pPr>
              <w:jc w:val="center"/>
            </w:pPr>
            <w:r>
              <w:rPr>
                <w:rFonts w:ascii="宋体" w:hAnsi="宋体" w:eastAsia="宋体"/>
                <w:sz w:val="24"/>
              </w:rPr>
              <w:t>项目支出绩效自评表</w:t>
            </w:r>
          </w:p>
        </w:tc>
      </w:tr>
      <w:tr w14:paraId="03B278EA">
        <w:tblPrEx>
          <w:tblCellMar>
            <w:top w:w="0" w:type="dxa"/>
            <w:left w:w="108" w:type="dxa"/>
            <w:bottom w:w="0" w:type="dxa"/>
            <w:right w:w="108" w:type="dxa"/>
          </w:tblCellMar>
        </w:tblPrEx>
        <w:tc>
          <w:tcPr>
            <w:tcW w:w="8848" w:type="dxa"/>
            <w:gridSpan w:val="14"/>
            <w:vAlign w:val="center"/>
          </w:tcPr>
          <w:p w14:paraId="746BA6BB">
            <w:pPr>
              <w:jc w:val="center"/>
            </w:pPr>
            <w:r>
              <w:rPr>
                <w:rFonts w:ascii="宋体" w:hAnsi="宋体" w:eastAsia="宋体"/>
                <w:sz w:val="24"/>
              </w:rPr>
              <w:t>(2024年度)</w:t>
            </w:r>
          </w:p>
        </w:tc>
      </w:tr>
      <w:tr w14:paraId="0716F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2C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C0E0F4">
            <w:pPr>
              <w:jc w:val="center"/>
            </w:pPr>
            <w:r>
              <w:rPr>
                <w:rFonts w:ascii="宋体" w:hAnsi="宋体" w:eastAsia="宋体"/>
                <w:sz w:val="16"/>
              </w:rPr>
              <w:t>塔什库尔干乡车辆采购项目</w:t>
            </w:r>
          </w:p>
        </w:tc>
      </w:tr>
      <w:tr w14:paraId="75C52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0C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2A930">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ED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D6E55">
            <w:pPr>
              <w:jc w:val="center"/>
            </w:pPr>
            <w:r>
              <w:rPr>
                <w:rFonts w:ascii="宋体" w:hAnsi="宋体" w:eastAsia="宋体"/>
                <w:sz w:val="16"/>
              </w:rPr>
              <w:t>塔什库尔干塔吉克自治县塔什库尔干乡人民政府</w:t>
            </w:r>
          </w:p>
        </w:tc>
      </w:tr>
      <w:tr w14:paraId="34B40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79C4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3439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FE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2B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A1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A2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87F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CA26">
            <w:pPr>
              <w:jc w:val="center"/>
            </w:pPr>
            <w:r>
              <w:rPr>
                <w:rFonts w:ascii="宋体" w:hAnsi="宋体" w:eastAsia="宋体"/>
                <w:sz w:val="16"/>
              </w:rPr>
              <w:t>得分</w:t>
            </w:r>
          </w:p>
        </w:tc>
      </w:tr>
      <w:tr w14:paraId="25C939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FAC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07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6144">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1F97">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6030D">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9E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5B5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AC8B">
            <w:pPr>
              <w:jc w:val="center"/>
            </w:pPr>
            <w:r>
              <w:rPr>
                <w:rFonts w:ascii="宋体" w:hAnsi="宋体" w:eastAsia="宋体"/>
                <w:sz w:val="16"/>
              </w:rPr>
              <w:t>10.00分</w:t>
            </w:r>
          </w:p>
        </w:tc>
      </w:tr>
      <w:tr w14:paraId="3B6B9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A7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8B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AF2B">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8165">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8BFD">
            <w:pPr>
              <w:jc w:val="center"/>
            </w:pPr>
            <w:r>
              <w:rPr>
                <w:rFonts w:ascii="宋体" w:hAnsi="宋体" w:eastAsia="宋体"/>
                <w:sz w:val="16"/>
              </w:rPr>
              <w:t>16.58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3AD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F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573F">
            <w:pPr>
              <w:jc w:val="center"/>
            </w:pPr>
            <w:r>
              <w:rPr>
                <w:rFonts w:ascii="宋体" w:hAnsi="宋体" w:eastAsia="宋体"/>
                <w:sz w:val="16"/>
              </w:rPr>
              <w:t>—</w:t>
            </w:r>
          </w:p>
        </w:tc>
      </w:tr>
      <w:tr w14:paraId="4A8F7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573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0F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77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B9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A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72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80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26B6">
            <w:pPr>
              <w:jc w:val="center"/>
            </w:pPr>
            <w:r>
              <w:rPr>
                <w:rFonts w:ascii="宋体" w:hAnsi="宋体" w:eastAsia="宋体"/>
                <w:sz w:val="16"/>
              </w:rPr>
              <w:t>—</w:t>
            </w:r>
          </w:p>
        </w:tc>
      </w:tr>
      <w:tr w14:paraId="6CFF37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66D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3C4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670333">
            <w:pPr>
              <w:jc w:val="center"/>
            </w:pPr>
            <w:r>
              <w:rPr>
                <w:rFonts w:ascii="宋体" w:hAnsi="宋体" w:eastAsia="宋体"/>
                <w:sz w:val="16"/>
              </w:rPr>
              <w:t>实际完成情况</w:t>
            </w:r>
          </w:p>
        </w:tc>
      </w:tr>
      <w:tr w14:paraId="55950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12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087C2">
            <w:pPr>
              <w:jc w:val="both"/>
            </w:pPr>
            <w:r>
              <w:rPr>
                <w:rFonts w:ascii="宋体" w:hAnsi="宋体" w:eastAsia="宋体"/>
                <w:sz w:val="16"/>
              </w:rPr>
              <w:t>该项目用于为塔什库尔干乡人民政府公务车辆编制内采购车辆1辆，需解决资金16.58万元。通过该项目的实施保障日常出勤、工作使用，质量合格，确保乘车人及其他人交通安全，确保行政机关交通便利。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23078">
            <w:pPr>
              <w:jc w:val="both"/>
            </w:pPr>
            <w:r>
              <w:rPr>
                <w:rFonts w:ascii="宋体" w:hAnsi="宋体" w:eastAsia="宋体"/>
                <w:sz w:val="16"/>
              </w:rPr>
              <w:t>项目实际支出16.58万元，塔什库尔干乡人民政府公务车辆编制内采购车辆1辆</w:t>
            </w:r>
            <w:r>
              <w:rPr>
                <w:rFonts w:hint="eastAsia" w:ascii="宋体" w:hAnsi="宋体"/>
                <w:sz w:val="16"/>
                <w:lang w:eastAsia="zh-CN"/>
              </w:rPr>
              <w:t>，保</w:t>
            </w:r>
            <w:r>
              <w:rPr>
                <w:rFonts w:ascii="宋体" w:hAnsi="宋体" w:eastAsia="宋体"/>
                <w:sz w:val="16"/>
              </w:rPr>
              <w:t>障日常出勤、工作使用，质量合格，确保乘车人及其他人交通安全，确保行政机关交通便利，行政人员满意度达到100%。</w:t>
            </w:r>
          </w:p>
        </w:tc>
      </w:tr>
      <w:tr w14:paraId="404662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FB1F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EF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E8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22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16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21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ED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EA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72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8C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64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45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8023">
            <w:pPr>
              <w:jc w:val="center"/>
            </w:pPr>
            <w:r>
              <w:rPr>
                <w:rFonts w:ascii="宋体" w:hAnsi="宋体" w:eastAsia="宋体"/>
                <w:sz w:val="16"/>
              </w:rPr>
              <w:t>偏差原因分析及改进措施</w:t>
            </w:r>
          </w:p>
        </w:tc>
      </w:tr>
      <w:tr w14:paraId="2EE94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76B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C99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2D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5B82">
            <w:pPr>
              <w:jc w:val="center"/>
            </w:pPr>
            <w:r>
              <w:rPr>
                <w:rFonts w:ascii="宋体" w:hAnsi="宋体" w:eastAsia="宋体"/>
                <w:sz w:val="16"/>
              </w:rPr>
              <w:t>采购车辆数量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AB46">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7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1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2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2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6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544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E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9DCD">
            <w:pPr>
              <w:jc w:val="center"/>
            </w:pPr>
          </w:p>
        </w:tc>
      </w:tr>
      <w:tr w14:paraId="2C449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6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C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44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393C">
            <w:pPr>
              <w:jc w:val="center"/>
            </w:pPr>
            <w:r>
              <w:rPr>
                <w:rFonts w:ascii="宋体" w:hAnsi="宋体" w:eastAsia="宋体"/>
                <w:sz w:val="16"/>
              </w:rPr>
              <w:t>车辆采购验收合格率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E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8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2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E6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4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D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9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A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1D34">
            <w:pPr>
              <w:jc w:val="center"/>
            </w:pPr>
          </w:p>
        </w:tc>
      </w:tr>
      <w:tr w14:paraId="22545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B0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3C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BB6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D0C6">
            <w:pPr>
              <w:jc w:val="center"/>
            </w:pPr>
            <w:r>
              <w:rPr>
                <w:rFonts w:ascii="宋体" w:hAnsi="宋体" w:eastAsia="宋体"/>
                <w:sz w:val="16"/>
              </w:rPr>
              <w:t>车辆采购完成时间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634A">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D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73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E4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D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D057">
            <w:pPr>
              <w:jc w:val="center"/>
            </w:pPr>
            <w:r>
              <w:rPr>
                <w:rFonts w:ascii="宋体" w:hAnsi="宋体" w:eastAsia="宋体"/>
                <w:sz w:val="16"/>
              </w:rPr>
              <w:t>=2024年3月31日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5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2EE7">
            <w:pPr>
              <w:jc w:val="center"/>
            </w:pPr>
          </w:p>
        </w:tc>
      </w:tr>
      <w:tr w14:paraId="401F8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A0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0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AA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5DC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B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1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9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C1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7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D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8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A4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504C">
            <w:pPr>
              <w:jc w:val="center"/>
            </w:pPr>
          </w:p>
        </w:tc>
      </w:tr>
      <w:tr w14:paraId="03851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5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6E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3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3B0E">
            <w:pPr>
              <w:jc w:val="center"/>
            </w:pPr>
            <w:r>
              <w:rPr>
                <w:rFonts w:ascii="宋体" w:hAnsi="宋体" w:eastAsia="宋体"/>
                <w:sz w:val="16"/>
              </w:rPr>
              <w:t>购买车辆成本费用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7E98">
            <w:pPr>
              <w:jc w:val="center"/>
            </w:pPr>
            <w:r>
              <w:rPr>
                <w:rFonts w:ascii="宋体" w:hAnsi="宋体" w:eastAsia="宋体"/>
                <w:sz w:val="16"/>
              </w:rPr>
              <w:t>&lt;=16.58万元/辆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4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5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BD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0B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9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1A58">
            <w:pPr>
              <w:jc w:val="center"/>
            </w:pPr>
            <w:r>
              <w:rPr>
                <w:rFonts w:ascii="宋体" w:hAnsi="宋体" w:eastAsia="宋体"/>
                <w:sz w:val="16"/>
              </w:rPr>
              <w:t>=16.58万元/辆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42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8B0EF">
            <w:pPr>
              <w:jc w:val="center"/>
            </w:pPr>
          </w:p>
        </w:tc>
      </w:tr>
      <w:tr w14:paraId="5E09A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C4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37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4F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3BB0">
            <w:pPr>
              <w:jc w:val="center"/>
            </w:pPr>
            <w:r>
              <w:rPr>
                <w:rFonts w:ascii="宋体" w:hAnsi="宋体" w:eastAsia="宋体"/>
                <w:sz w:val="16"/>
              </w:rPr>
              <w:t>确保行政机关交通便利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53E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9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EF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E7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FA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0C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4C1A">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BF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3BF05">
            <w:pPr>
              <w:jc w:val="center"/>
            </w:pPr>
          </w:p>
        </w:tc>
      </w:tr>
      <w:tr w14:paraId="62BEC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74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D4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8B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1586">
            <w:pPr>
              <w:jc w:val="center"/>
            </w:pPr>
            <w:r>
              <w:rPr>
                <w:rFonts w:ascii="宋体" w:hAnsi="宋体" w:eastAsia="宋体"/>
                <w:sz w:val="16"/>
              </w:rPr>
              <w:t>行政人员满意度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12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1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4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B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AB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5D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D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9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034E">
            <w:pPr>
              <w:jc w:val="center"/>
            </w:pPr>
            <w:r>
              <w:rPr>
                <w:rFonts w:ascii="宋体" w:hAnsi="宋体" w:eastAsia="宋体"/>
                <w:sz w:val="16"/>
              </w:rPr>
              <w:t>项目完成情况较好，实际行政人员满意度较高，所以指标出现正偏差</w:t>
            </w:r>
          </w:p>
        </w:tc>
      </w:tr>
      <w:tr w14:paraId="3C46E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50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BA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06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3BBE28">
            <w:pPr>
              <w:jc w:val="center"/>
            </w:pPr>
            <w:r>
              <w:rPr>
                <w:rFonts w:ascii="宋体" w:hAnsi="宋体" w:eastAsia="宋体"/>
                <w:sz w:val="16"/>
              </w:rPr>
              <w:t>100分</w:t>
            </w:r>
          </w:p>
        </w:tc>
      </w:tr>
    </w:tbl>
    <w:p w14:paraId="2A50A3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E05CB0">
        <w:tblPrEx>
          <w:tblCellMar>
            <w:top w:w="0" w:type="dxa"/>
            <w:left w:w="108" w:type="dxa"/>
            <w:bottom w:w="0" w:type="dxa"/>
            <w:right w:w="108" w:type="dxa"/>
          </w:tblCellMar>
        </w:tblPrEx>
        <w:tc>
          <w:tcPr>
            <w:tcW w:w="8848" w:type="dxa"/>
            <w:gridSpan w:val="14"/>
            <w:vAlign w:val="center"/>
          </w:tcPr>
          <w:p w14:paraId="4C44208D">
            <w:pPr>
              <w:jc w:val="center"/>
            </w:pPr>
            <w:r>
              <w:rPr>
                <w:rFonts w:ascii="宋体" w:hAnsi="宋体" w:eastAsia="宋体"/>
                <w:sz w:val="24"/>
              </w:rPr>
              <w:t>项目支出绩效自评表</w:t>
            </w:r>
          </w:p>
        </w:tc>
      </w:tr>
      <w:tr w14:paraId="78316C5A">
        <w:tblPrEx>
          <w:tblCellMar>
            <w:top w:w="0" w:type="dxa"/>
            <w:left w:w="108" w:type="dxa"/>
            <w:bottom w:w="0" w:type="dxa"/>
            <w:right w:w="108" w:type="dxa"/>
          </w:tblCellMar>
        </w:tblPrEx>
        <w:tc>
          <w:tcPr>
            <w:tcW w:w="8848" w:type="dxa"/>
            <w:gridSpan w:val="14"/>
            <w:vAlign w:val="center"/>
          </w:tcPr>
          <w:p w14:paraId="59F992C8">
            <w:pPr>
              <w:jc w:val="center"/>
            </w:pPr>
            <w:r>
              <w:rPr>
                <w:rFonts w:ascii="宋体" w:hAnsi="宋体" w:eastAsia="宋体"/>
                <w:sz w:val="24"/>
              </w:rPr>
              <w:t>(2024年度)</w:t>
            </w:r>
          </w:p>
        </w:tc>
      </w:tr>
      <w:tr w14:paraId="07D73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57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02142D">
            <w:pPr>
              <w:jc w:val="center"/>
            </w:pPr>
            <w:r>
              <w:rPr>
                <w:rFonts w:hint="eastAsia" w:ascii="宋体" w:hAnsi="宋体"/>
                <w:sz w:val="16"/>
                <w:lang w:eastAsia="zh-CN"/>
              </w:rPr>
              <w:t>塔什库尔干塔吉克自治县</w:t>
            </w:r>
            <w:r>
              <w:rPr>
                <w:rFonts w:ascii="宋体" w:hAnsi="宋体" w:eastAsia="宋体"/>
                <w:sz w:val="16"/>
              </w:rPr>
              <w:t>塔什库尔干乡库孜滚村村容村貌提升项目</w:t>
            </w:r>
          </w:p>
        </w:tc>
      </w:tr>
      <w:tr w14:paraId="50D75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C9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E2F05">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E2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C18E2">
            <w:pPr>
              <w:jc w:val="center"/>
            </w:pPr>
            <w:r>
              <w:rPr>
                <w:rFonts w:ascii="宋体" w:hAnsi="宋体" w:eastAsia="宋体"/>
                <w:sz w:val="16"/>
              </w:rPr>
              <w:t>塔什库尔干塔吉克自治县塔什库尔干乡人民政府</w:t>
            </w:r>
          </w:p>
        </w:tc>
      </w:tr>
      <w:tr w14:paraId="1AA71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4AE5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573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F6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92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60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98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68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CBEF">
            <w:pPr>
              <w:jc w:val="center"/>
            </w:pPr>
            <w:r>
              <w:rPr>
                <w:rFonts w:ascii="宋体" w:hAnsi="宋体" w:eastAsia="宋体"/>
                <w:sz w:val="16"/>
              </w:rPr>
              <w:t>得分</w:t>
            </w:r>
          </w:p>
        </w:tc>
      </w:tr>
      <w:tr w14:paraId="08EC0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13E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CEF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10D4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4C0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3315">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96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1A6E">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2FB2">
            <w:pPr>
              <w:jc w:val="center"/>
            </w:pPr>
            <w:r>
              <w:rPr>
                <w:rFonts w:ascii="宋体" w:hAnsi="宋体" w:eastAsia="宋体"/>
                <w:sz w:val="16"/>
              </w:rPr>
              <w:t>7.95分</w:t>
            </w:r>
          </w:p>
        </w:tc>
      </w:tr>
      <w:tr w14:paraId="53133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3C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DCD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77D0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EAE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86226">
            <w:pPr>
              <w:jc w:val="center"/>
            </w:pPr>
            <w:r>
              <w:rPr>
                <w:rFonts w:ascii="宋体" w:hAnsi="宋体" w:eastAsia="宋体"/>
                <w:sz w:val="16"/>
              </w:rPr>
              <w:t>45.90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702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B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BE49">
            <w:pPr>
              <w:jc w:val="center"/>
            </w:pPr>
            <w:r>
              <w:rPr>
                <w:rFonts w:ascii="宋体" w:hAnsi="宋体" w:eastAsia="宋体"/>
                <w:sz w:val="16"/>
              </w:rPr>
              <w:t>—</w:t>
            </w:r>
          </w:p>
        </w:tc>
      </w:tr>
      <w:tr w14:paraId="1A286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B0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9A7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C0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73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CA8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18A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C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60C7">
            <w:pPr>
              <w:jc w:val="center"/>
            </w:pPr>
            <w:r>
              <w:rPr>
                <w:rFonts w:ascii="宋体" w:hAnsi="宋体" w:eastAsia="宋体"/>
                <w:sz w:val="16"/>
              </w:rPr>
              <w:t>—</w:t>
            </w:r>
          </w:p>
        </w:tc>
      </w:tr>
      <w:tr w14:paraId="40CE8A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B37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30C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94EF07">
            <w:pPr>
              <w:jc w:val="center"/>
            </w:pPr>
            <w:r>
              <w:rPr>
                <w:rFonts w:ascii="宋体" w:hAnsi="宋体" w:eastAsia="宋体"/>
                <w:sz w:val="16"/>
              </w:rPr>
              <w:t>实际完成情况</w:t>
            </w:r>
          </w:p>
        </w:tc>
      </w:tr>
      <w:tr w14:paraId="658AB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DC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E6503">
            <w:pPr>
              <w:jc w:val="both"/>
            </w:pPr>
            <w:r>
              <w:rPr>
                <w:rFonts w:ascii="宋体" w:hAnsi="宋体" w:eastAsia="宋体"/>
                <w:sz w:val="16"/>
              </w:rPr>
              <w:t>项目计划投入50万元，用于为库孜滚村购置太阳能路灯178盏，每盏2809元（包含人工、水泥墩），将有效提升美丽宜居环境，保障村民夜间安全出行，营造和谐社会环境，打造美丽乡村。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256B57">
            <w:pPr>
              <w:jc w:val="both"/>
            </w:pPr>
            <w:r>
              <w:rPr>
                <w:rFonts w:ascii="宋体" w:hAnsi="宋体" w:eastAsia="宋体"/>
                <w:sz w:val="16"/>
              </w:rPr>
              <w:t>项目实际45.9万元，用于为库孜滚村购置太阳能路灯178盏，每盏2579元（包含人工、水泥墩），将有效提升美丽宜居环境，保障村民夜间安全出行，营造和谐社会环境，打造美丽乡村。</w:t>
            </w:r>
          </w:p>
        </w:tc>
      </w:tr>
      <w:tr w14:paraId="5BBBF5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DDB1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B8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33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C6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25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3C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36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0C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98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2B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0D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7E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A184">
            <w:pPr>
              <w:jc w:val="center"/>
            </w:pPr>
            <w:r>
              <w:rPr>
                <w:rFonts w:ascii="宋体" w:hAnsi="宋体" w:eastAsia="宋体"/>
                <w:sz w:val="16"/>
              </w:rPr>
              <w:t>偏差原因分析及改进措施</w:t>
            </w:r>
          </w:p>
        </w:tc>
      </w:tr>
      <w:tr w14:paraId="4A928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95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3446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7F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EC09">
            <w:pPr>
              <w:jc w:val="center"/>
            </w:pPr>
            <w:r>
              <w:rPr>
                <w:rFonts w:ascii="宋体" w:hAnsi="宋体" w:eastAsia="宋体"/>
                <w:sz w:val="16"/>
              </w:rPr>
              <w:t>购买路灯数量（盏）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EF3F">
            <w:pPr>
              <w:jc w:val="center"/>
            </w:pPr>
            <w:r>
              <w:rPr>
                <w:rFonts w:ascii="宋体" w:hAnsi="宋体" w:eastAsia="宋体"/>
                <w:sz w:val="16"/>
              </w:rPr>
              <w:t>&gt;=178盏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E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4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DA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5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C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5AC8">
            <w:pPr>
              <w:jc w:val="center"/>
            </w:pPr>
            <w:r>
              <w:rPr>
                <w:rFonts w:ascii="宋体" w:hAnsi="宋体" w:eastAsia="宋体"/>
                <w:sz w:val="16"/>
              </w:rPr>
              <w:t>=178盏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E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681A">
            <w:pPr>
              <w:jc w:val="center"/>
            </w:pPr>
          </w:p>
        </w:tc>
      </w:tr>
      <w:tr w14:paraId="55FF0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D7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2C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04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473F">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4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4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B6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1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02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6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1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B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5008">
            <w:pPr>
              <w:jc w:val="center"/>
            </w:pPr>
          </w:p>
        </w:tc>
      </w:tr>
      <w:tr w14:paraId="0F281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F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BB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18D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CF2C">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5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D1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2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1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1B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5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9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BA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FC7F6">
            <w:pPr>
              <w:jc w:val="center"/>
            </w:pPr>
          </w:p>
        </w:tc>
      </w:tr>
      <w:tr w14:paraId="3326F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E8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8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F6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F6F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4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A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6E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1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36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D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5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23A84">
            <w:pPr>
              <w:jc w:val="center"/>
            </w:pPr>
          </w:p>
        </w:tc>
      </w:tr>
      <w:tr w14:paraId="394DB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98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1B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68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2516">
            <w:pPr>
              <w:jc w:val="center"/>
            </w:pPr>
            <w:r>
              <w:rPr>
                <w:rFonts w:ascii="宋体" w:hAnsi="宋体" w:eastAsia="宋体"/>
                <w:sz w:val="16"/>
              </w:rPr>
              <w:t>购买路灯单位成本（元/盏）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8A07">
            <w:pPr>
              <w:jc w:val="center"/>
            </w:pPr>
            <w:r>
              <w:rPr>
                <w:rFonts w:ascii="宋体" w:hAnsi="宋体" w:eastAsia="宋体"/>
                <w:sz w:val="16"/>
              </w:rPr>
              <w:t>&lt;=2809元/盏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C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ED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E6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6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21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DE62">
            <w:pPr>
              <w:jc w:val="center"/>
            </w:pPr>
            <w:r>
              <w:rPr>
                <w:rFonts w:ascii="宋体" w:hAnsi="宋体" w:eastAsia="宋体"/>
                <w:sz w:val="16"/>
              </w:rPr>
              <w:t>=2579元/盏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6F90">
            <w:pPr>
              <w:jc w:val="center"/>
            </w:pPr>
            <w:r>
              <w:rPr>
                <w:rFonts w:ascii="宋体" w:hAnsi="宋体" w:eastAsia="宋体"/>
                <w:sz w:val="16"/>
              </w:rPr>
              <w:t>15.91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DD83">
            <w:pPr>
              <w:jc w:val="center"/>
            </w:pPr>
            <w:r>
              <w:rPr>
                <w:rFonts w:ascii="宋体" w:hAnsi="宋体" w:eastAsia="宋体"/>
                <w:sz w:val="16"/>
              </w:rPr>
              <w:t>偏差原因：项目审计审减后，每盏路灯（包含人工、水泥墩）按2579元支出；改进措施：更仔细、认真</w:t>
            </w:r>
            <w:r>
              <w:rPr>
                <w:rFonts w:hint="eastAsia" w:ascii="宋体" w:hAnsi="宋体"/>
                <w:sz w:val="16"/>
                <w:lang w:eastAsia="zh-CN"/>
              </w:rPr>
              <w:t>地</w:t>
            </w:r>
            <w:r>
              <w:rPr>
                <w:rFonts w:ascii="宋体" w:hAnsi="宋体" w:eastAsia="宋体"/>
                <w:sz w:val="16"/>
              </w:rPr>
              <w:t>审计后在设定目标</w:t>
            </w:r>
          </w:p>
        </w:tc>
      </w:tr>
      <w:tr w14:paraId="75BBF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FD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A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8C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C3F3">
            <w:pPr>
              <w:jc w:val="center"/>
            </w:pPr>
            <w:r>
              <w:rPr>
                <w:rFonts w:ascii="宋体" w:hAnsi="宋体" w:eastAsia="宋体"/>
                <w:sz w:val="16"/>
              </w:rPr>
              <w:t>保障村民夜间安全出行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90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FAE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A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4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3C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2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A2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C9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0FC6">
            <w:pPr>
              <w:jc w:val="center"/>
            </w:pPr>
          </w:p>
        </w:tc>
      </w:tr>
      <w:tr w14:paraId="64D9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E4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D7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2D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25A">
            <w:pPr>
              <w:jc w:val="center"/>
            </w:pPr>
            <w:r>
              <w:rPr>
                <w:rFonts w:ascii="宋体" w:hAnsi="宋体" w:eastAsia="宋体"/>
                <w:sz w:val="16"/>
              </w:rPr>
              <w:t>库孜滚村村民满意度（%）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14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B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5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0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A5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3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5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EB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8F7FE">
            <w:pPr>
              <w:jc w:val="center"/>
            </w:pPr>
            <w:r>
              <w:rPr>
                <w:rFonts w:ascii="宋体" w:hAnsi="宋体" w:eastAsia="宋体"/>
                <w:sz w:val="16"/>
              </w:rPr>
              <w:t>项目完成情况较好，实际库孜滚村村民满意度较高，所以指标出现正偏差</w:t>
            </w:r>
          </w:p>
        </w:tc>
      </w:tr>
      <w:tr w14:paraId="13889E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AAF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D4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D7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5DA1FB">
            <w:pPr>
              <w:jc w:val="center"/>
            </w:pPr>
            <w:r>
              <w:rPr>
                <w:rFonts w:ascii="宋体" w:hAnsi="宋体" w:eastAsia="宋体"/>
                <w:sz w:val="16"/>
              </w:rPr>
              <w:t>93.86分</w:t>
            </w:r>
          </w:p>
        </w:tc>
      </w:tr>
    </w:tbl>
    <w:p w14:paraId="65B8D1AF">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2"/>
        <w:gridCol w:w="696"/>
        <w:gridCol w:w="856"/>
        <w:gridCol w:w="602"/>
        <w:gridCol w:w="602"/>
        <w:gridCol w:w="602"/>
        <w:gridCol w:w="602"/>
        <w:gridCol w:w="602"/>
        <w:gridCol w:w="856"/>
        <w:gridCol w:w="630"/>
        <w:gridCol w:w="558"/>
        <w:gridCol w:w="630"/>
      </w:tblGrid>
      <w:tr w14:paraId="0C1CB758">
        <w:tblPrEx>
          <w:tblCellMar>
            <w:top w:w="0" w:type="dxa"/>
            <w:left w:w="108" w:type="dxa"/>
            <w:bottom w:w="0" w:type="dxa"/>
            <w:right w:w="108" w:type="dxa"/>
          </w:tblCellMar>
        </w:tblPrEx>
        <w:tc>
          <w:tcPr>
            <w:tcW w:w="8848" w:type="dxa"/>
            <w:gridSpan w:val="14"/>
            <w:vAlign w:val="center"/>
          </w:tcPr>
          <w:p w14:paraId="150A66AE">
            <w:pPr>
              <w:jc w:val="center"/>
            </w:pPr>
            <w:r>
              <w:rPr>
                <w:rFonts w:ascii="宋体" w:hAnsi="宋体" w:eastAsia="宋体"/>
                <w:sz w:val="24"/>
              </w:rPr>
              <w:t>项目支出绩效自评表</w:t>
            </w:r>
          </w:p>
        </w:tc>
      </w:tr>
      <w:tr w14:paraId="2A39B540">
        <w:tblPrEx>
          <w:tblCellMar>
            <w:top w:w="0" w:type="dxa"/>
            <w:left w:w="108" w:type="dxa"/>
            <w:bottom w:w="0" w:type="dxa"/>
            <w:right w:w="108" w:type="dxa"/>
          </w:tblCellMar>
        </w:tblPrEx>
        <w:tc>
          <w:tcPr>
            <w:tcW w:w="8848" w:type="dxa"/>
            <w:gridSpan w:val="14"/>
            <w:vAlign w:val="center"/>
          </w:tcPr>
          <w:p w14:paraId="16B83290">
            <w:pPr>
              <w:jc w:val="center"/>
            </w:pPr>
            <w:r>
              <w:rPr>
                <w:rFonts w:ascii="宋体" w:hAnsi="宋体" w:eastAsia="宋体"/>
                <w:sz w:val="24"/>
              </w:rPr>
              <w:t>(2024年度)</w:t>
            </w:r>
          </w:p>
        </w:tc>
      </w:tr>
      <w:tr w14:paraId="292094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DB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012527">
            <w:pPr>
              <w:jc w:val="center"/>
            </w:pPr>
            <w:r>
              <w:rPr>
                <w:rFonts w:hint="eastAsia" w:ascii="宋体" w:hAnsi="宋体"/>
                <w:sz w:val="16"/>
                <w:lang w:eastAsia="zh-CN"/>
              </w:rPr>
              <w:t>塔什库尔干塔吉克自治县</w:t>
            </w:r>
            <w:r>
              <w:rPr>
                <w:rFonts w:ascii="宋体" w:hAnsi="宋体" w:eastAsia="宋体"/>
                <w:sz w:val="16"/>
              </w:rPr>
              <w:t>塔什库尔干乡托格伦夏村亮化项目</w:t>
            </w:r>
          </w:p>
        </w:tc>
      </w:tr>
      <w:tr w14:paraId="7D4F4E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11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60EE9">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4F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5A1F6B">
            <w:pPr>
              <w:jc w:val="center"/>
            </w:pPr>
            <w:r>
              <w:rPr>
                <w:rFonts w:ascii="宋体" w:hAnsi="宋体" w:eastAsia="宋体"/>
                <w:sz w:val="16"/>
              </w:rPr>
              <w:t>塔什库尔干塔吉克自治县塔什库尔干乡人民政府</w:t>
            </w:r>
          </w:p>
        </w:tc>
      </w:tr>
      <w:tr w14:paraId="42CE3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30A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7A58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35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70D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BC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C4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B5D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CC6C">
            <w:pPr>
              <w:jc w:val="center"/>
            </w:pPr>
            <w:r>
              <w:rPr>
                <w:rFonts w:ascii="宋体" w:hAnsi="宋体" w:eastAsia="宋体"/>
                <w:sz w:val="16"/>
              </w:rPr>
              <w:t>得分</w:t>
            </w:r>
          </w:p>
        </w:tc>
      </w:tr>
      <w:tr w14:paraId="3C323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136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F3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6EB6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54B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3004">
            <w:pPr>
              <w:jc w:val="center"/>
            </w:pPr>
            <w:r>
              <w:rPr>
                <w:rFonts w:ascii="宋体" w:hAnsi="宋体" w:eastAsia="宋体"/>
                <w:sz w:val="16"/>
              </w:rPr>
              <w:t>48.03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45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E9F3">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2AD3">
            <w:pPr>
              <w:jc w:val="center"/>
            </w:pPr>
            <w:r>
              <w:rPr>
                <w:rFonts w:ascii="宋体" w:hAnsi="宋体" w:eastAsia="宋体"/>
                <w:sz w:val="16"/>
              </w:rPr>
              <w:t>10.00分</w:t>
            </w:r>
          </w:p>
        </w:tc>
      </w:tr>
      <w:tr w14:paraId="45737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503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09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FBB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A92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C4DC">
            <w:pPr>
              <w:jc w:val="center"/>
            </w:pPr>
            <w:r>
              <w:rPr>
                <w:rFonts w:ascii="宋体" w:hAnsi="宋体" w:eastAsia="宋体"/>
                <w:sz w:val="16"/>
              </w:rPr>
              <w:t>48.03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84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7793">
            <w:pPr>
              <w:jc w:val="center"/>
            </w:pPr>
            <w:r>
              <w:rPr>
                <w:rFonts w:ascii="宋体" w:hAnsi="宋体" w:eastAsia="宋体"/>
                <w:sz w:val="16"/>
              </w:rPr>
              <w:t>—</w:t>
            </w:r>
          </w:p>
        </w:tc>
      </w:tr>
      <w:tr w14:paraId="53067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9D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573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2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8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F0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A3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5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688C">
            <w:pPr>
              <w:jc w:val="center"/>
            </w:pPr>
            <w:r>
              <w:rPr>
                <w:rFonts w:ascii="宋体" w:hAnsi="宋体" w:eastAsia="宋体"/>
                <w:sz w:val="16"/>
              </w:rPr>
              <w:t>—</w:t>
            </w:r>
          </w:p>
        </w:tc>
      </w:tr>
      <w:tr w14:paraId="7FC540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633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F70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B789BF">
            <w:pPr>
              <w:jc w:val="center"/>
            </w:pPr>
            <w:r>
              <w:rPr>
                <w:rFonts w:ascii="宋体" w:hAnsi="宋体" w:eastAsia="宋体"/>
                <w:sz w:val="16"/>
              </w:rPr>
              <w:t>实际完成情况</w:t>
            </w:r>
          </w:p>
        </w:tc>
      </w:tr>
      <w:tr w14:paraId="6C92E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16C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698F8">
            <w:pPr>
              <w:jc w:val="both"/>
            </w:pPr>
            <w:r>
              <w:rPr>
                <w:rFonts w:ascii="宋体" w:hAnsi="宋体" w:eastAsia="宋体"/>
                <w:sz w:val="16"/>
              </w:rPr>
              <w:t>项目计划投入50万元，用于为托格伦夏村购置太阳能路灯193盏，每盏2590.7元（包含人工、水泥墩），将有效提升美丽宜居环境，保障村民夜间安全出行，营造和谐社会环境，打造美丽乡村。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0C7D2">
            <w:pPr>
              <w:jc w:val="both"/>
            </w:pPr>
            <w:r>
              <w:rPr>
                <w:rFonts w:ascii="宋体" w:hAnsi="宋体" w:eastAsia="宋体"/>
                <w:sz w:val="16"/>
              </w:rPr>
              <w:t>项目实际投入48.0258万元，用于为托格伦夏村购置太阳能路灯193盏，每盏2488.38元（包含人工、水泥墩），将有效提升美丽宜居环境，保障村民夜间安全出行，营造和谐社会环境，打造美丽乡村。</w:t>
            </w:r>
          </w:p>
        </w:tc>
      </w:tr>
      <w:tr w14:paraId="1AFA1D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D1B3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D1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F0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63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52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B4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73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EA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C9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F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89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78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8ECA">
            <w:pPr>
              <w:jc w:val="center"/>
            </w:pPr>
            <w:r>
              <w:rPr>
                <w:rFonts w:ascii="宋体" w:hAnsi="宋体" w:eastAsia="宋体"/>
                <w:sz w:val="16"/>
              </w:rPr>
              <w:t>偏差原因分析及改进措施</w:t>
            </w:r>
          </w:p>
        </w:tc>
      </w:tr>
      <w:tr w14:paraId="1FBBB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03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EC6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92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F34C">
            <w:pPr>
              <w:jc w:val="center"/>
            </w:pPr>
            <w:r>
              <w:rPr>
                <w:rFonts w:ascii="宋体" w:hAnsi="宋体" w:eastAsia="宋体"/>
                <w:sz w:val="16"/>
              </w:rPr>
              <w:t>购买路灯数量（盏）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8B24">
            <w:pPr>
              <w:jc w:val="center"/>
            </w:pPr>
            <w:r>
              <w:rPr>
                <w:rFonts w:ascii="宋体" w:hAnsi="宋体" w:eastAsia="宋体"/>
                <w:sz w:val="16"/>
              </w:rPr>
              <w:t>&gt;=193盏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2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C8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C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5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C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08E7">
            <w:pPr>
              <w:jc w:val="center"/>
            </w:pPr>
            <w:r>
              <w:rPr>
                <w:rFonts w:ascii="宋体" w:hAnsi="宋体" w:eastAsia="宋体"/>
                <w:sz w:val="16"/>
              </w:rPr>
              <w:t>=193盏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6E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9825A">
            <w:pPr>
              <w:jc w:val="center"/>
            </w:pPr>
          </w:p>
        </w:tc>
      </w:tr>
      <w:tr w14:paraId="77DF9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97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D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C0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6552">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6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0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4E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A3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F3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0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1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DB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B7EF">
            <w:pPr>
              <w:jc w:val="center"/>
            </w:pPr>
          </w:p>
        </w:tc>
      </w:tr>
      <w:tr w14:paraId="54BDC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53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86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3AF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A375">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B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E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4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F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E7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B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5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1E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36FC">
            <w:pPr>
              <w:jc w:val="center"/>
            </w:pPr>
          </w:p>
        </w:tc>
      </w:tr>
      <w:tr w14:paraId="5C1BF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50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C4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8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DA8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B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2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61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71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F5E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7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E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3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C589">
            <w:pPr>
              <w:jc w:val="center"/>
            </w:pPr>
          </w:p>
        </w:tc>
      </w:tr>
      <w:tr w14:paraId="18A55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8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61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5D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4878">
            <w:pPr>
              <w:jc w:val="center"/>
            </w:pPr>
            <w:r>
              <w:rPr>
                <w:rFonts w:ascii="宋体" w:hAnsi="宋体" w:eastAsia="宋体"/>
                <w:sz w:val="16"/>
              </w:rPr>
              <w:t>购买路灯单位成本（元/盏）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627B">
            <w:pPr>
              <w:jc w:val="center"/>
            </w:pPr>
            <w:r>
              <w:rPr>
                <w:rFonts w:ascii="宋体" w:hAnsi="宋体" w:eastAsia="宋体"/>
                <w:sz w:val="16"/>
              </w:rPr>
              <w:t>&lt;=2590.7元/盏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7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0A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AB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0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08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4FB1">
            <w:pPr>
              <w:jc w:val="center"/>
            </w:pPr>
            <w:r>
              <w:rPr>
                <w:rFonts w:ascii="宋体" w:hAnsi="宋体" w:eastAsia="宋体"/>
                <w:sz w:val="16"/>
              </w:rPr>
              <w:t>=2488.38元/盏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0B2">
            <w:pPr>
              <w:jc w:val="center"/>
            </w:pPr>
            <w:r>
              <w:rPr>
                <w:rFonts w:ascii="宋体" w:hAnsi="宋体" w:eastAsia="宋体"/>
                <w:sz w:val="16"/>
              </w:rPr>
              <w:t>18.02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E9534">
            <w:pPr>
              <w:jc w:val="center"/>
            </w:pPr>
            <w:r>
              <w:rPr>
                <w:rFonts w:ascii="宋体" w:hAnsi="宋体" w:eastAsia="宋体"/>
                <w:sz w:val="16"/>
              </w:rPr>
              <w:t>通过项目评审导致项目产生结余资金</w:t>
            </w:r>
          </w:p>
        </w:tc>
      </w:tr>
      <w:tr w14:paraId="06787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3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CE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BFF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9F12">
            <w:pPr>
              <w:jc w:val="center"/>
            </w:pPr>
            <w:r>
              <w:rPr>
                <w:rFonts w:ascii="宋体" w:hAnsi="宋体" w:eastAsia="宋体"/>
                <w:sz w:val="16"/>
              </w:rPr>
              <w:t>保障村民夜间安全出行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6A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02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1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4B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79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3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0C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8B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C539">
            <w:pPr>
              <w:jc w:val="center"/>
            </w:pPr>
          </w:p>
        </w:tc>
      </w:tr>
      <w:tr w14:paraId="26AAC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AE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C8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1B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73DC">
            <w:pPr>
              <w:jc w:val="center"/>
            </w:pPr>
            <w:r>
              <w:rPr>
                <w:rFonts w:ascii="宋体" w:hAnsi="宋体" w:eastAsia="宋体"/>
                <w:sz w:val="16"/>
              </w:rPr>
              <w:t>托格伦夏村村民满意度（%）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ED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3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B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96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4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1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76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3975">
            <w:pPr>
              <w:jc w:val="center"/>
            </w:pPr>
            <w:r>
              <w:rPr>
                <w:rFonts w:ascii="宋体" w:hAnsi="宋体" w:eastAsia="宋体"/>
                <w:sz w:val="16"/>
              </w:rPr>
              <w:t>项目完成情况较好，实际托格伦夏村村民满意度较高，所以指标出现正偏差</w:t>
            </w:r>
          </w:p>
        </w:tc>
      </w:tr>
      <w:tr w14:paraId="0BB5A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C5D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59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079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49C0E">
            <w:pPr>
              <w:jc w:val="center"/>
            </w:pPr>
            <w:r>
              <w:rPr>
                <w:rFonts w:ascii="宋体" w:hAnsi="宋体" w:eastAsia="宋体"/>
                <w:sz w:val="16"/>
              </w:rPr>
              <w:t>98.02分</w:t>
            </w:r>
          </w:p>
        </w:tc>
      </w:tr>
    </w:tbl>
    <w:p w14:paraId="3431D647">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2"/>
        <w:gridCol w:w="696"/>
        <w:gridCol w:w="856"/>
        <w:gridCol w:w="602"/>
        <w:gridCol w:w="602"/>
        <w:gridCol w:w="602"/>
        <w:gridCol w:w="602"/>
        <w:gridCol w:w="602"/>
        <w:gridCol w:w="856"/>
        <w:gridCol w:w="630"/>
        <w:gridCol w:w="562"/>
        <w:gridCol w:w="626"/>
      </w:tblGrid>
      <w:tr w14:paraId="0E38403B">
        <w:tblPrEx>
          <w:tblCellMar>
            <w:top w:w="0" w:type="dxa"/>
            <w:left w:w="108" w:type="dxa"/>
            <w:bottom w:w="0" w:type="dxa"/>
            <w:right w:w="108" w:type="dxa"/>
          </w:tblCellMar>
        </w:tblPrEx>
        <w:tc>
          <w:tcPr>
            <w:tcW w:w="8848" w:type="dxa"/>
            <w:gridSpan w:val="14"/>
            <w:vAlign w:val="center"/>
          </w:tcPr>
          <w:p w14:paraId="3FB70787">
            <w:pPr>
              <w:jc w:val="center"/>
            </w:pPr>
            <w:r>
              <w:rPr>
                <w:rFonts w:ascii="宋体" w:hAnsi="宋体" w:eastAsia="宋体"/>
                <w:sz w:val="24"/>
              </w:rPr>
              <w:t>项目支出绩效自评表</w:t>
            </w:r>
          </w:p>
        </w:tc>
      </w:tr>
      <w:tr w14:paraId="540D704F">
        <w:tblPrEx>
          <w:tblCellMar>
            <w:top w:w="0" w:type="dxa"/>
            <w:left w:w="108" w:type="dxa"/>
            <w:bottom w:w="0" w:type="dxa"/>
            <w:right w:w="108" w:type="dxa"/>
          </w:tblCellMar>
        </w:tblPrEx>
        <w:tc>
          <w:tcPr>
            <w:tcW w:w="8848" w:type="dxa"/>
            <w:gridSpan w:val="14"/>
            <w:vAlign w:val="center"/>
          </w:tcPr>
          <w:p w14:paraId="3CB8398E">
            <w:pPr>
              <w:jc w:val="center"/>
            </w:pPr>
            <w:r>
              <w:rPr>
                <w:rFonts w:ascii="宋体" w:hAnsi="宋体" w:eastAsia="宋体"/>
                <w:sz w:val="24"/>
              </w:rPr>
              <w:t>(2024年度)</w:t>
            </w:r>
          </w:p>
        </w:tc>
      </w:tr>
      <w:tr w14:paraId="39CCE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5F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8B5DB">
            <w:pPr>
              <w:jc w:val="center"/>
            </w:pPr>
            <w:r>
              <w:rPr>
                <w:rFonts w:hint="eastAsia" w:ascii="宋体" w:hAnsi="宋体"/>
                <w:sz w:val="16"/>
                <w:lang w:eastAsia="zh-CN"/>
              </w:rPr>
              <w:t>塔什库尔干塔吉克自治县</w:t>
            </w:r>
            <w:r>
              <w:rPr>
                <w:rFonts w:ascii="宋体" w:hAnsi="宋体" w:eastAsia="宋体"/>
                <w:sz w:val="16"/>
              </w:rPr>
              <w:t>塔什库尔干乡瓦尔希迭村亮化项目</w:t>
            </w:r>
          </w:p>
        </w:tc>
      </w:tr>
      <w:tr w14:paraId="0FE0F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D2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3CCEB">
            <w:pPr>
              <w:jc w:val="center"/>
            </w:pPr>
            <w:r>
              <w:rPr>
                <w:rFonts w:ascii="宋体" w:hAnsi="宋体" w:eastAsia="宋体"/>
                <w:sz w:val="16"/>
              </w:rPr>
              <w:t>塔什库尔干塔吉克自治县塔什库尔干乡人民政府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FE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7D4EC">
            <w:pPr>
              <w:jc w:val="center"/>
            </w:pPr>
            <w:r>
              <w:rPr>
                <w:rFonts w:ascii="宋体" w:hAnsi="宋体" w:eastAsia="宋体"/>
                <w:sz w:val="16"/>
              </w:rPr>
              <w:t>塔什库尔干塔吉克自治县塔什库尔干乡人民政府</w:t>
            </w:r>
          </w:p>
        </w:tc>
      </w:tr>
      <w:tr w14:paraId="3A7885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884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4A2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C9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C6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E5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C2B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D0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8325">
            <w:pPr>
              <w:jc w:val="center"/>
            </w:pPr>
            <w:r>
              <w:rPr>
                <w:rFonts w:ascii="宋体" w:hAnsi="宋体" w:eastAsia="宋体"/>
                <w:sz w:val="16"/>
              </w:rPr>
              <w:t>得分</w:t>
            </w:r>
          </w:p>
        </w:tc>
      </w:tr>
      <w:tr w14:paraId="44EED7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B3F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08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D8583">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C578">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DCB6">
            <w:pPr>
              <w:jc w:val="center"/>
            </w:pPr>
            <w:r>
              <w:rPr>
                <w:rFonts w:ascii="宋体" w:hAnsi="宋体" w:eastAsia="宋体"/>
                <w:sz w:val="16"/>
              </w:rPr>
              <w:t>58.09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0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AFAF5">
            <w:pPr>
              <w:jc w:val="center"/>
            </w:pPr>
            <w:r>
              <w:rPr>
                <w:rFonts w:ascii="宋体" w:hAnsi="宋体" w:eastAsia="宋体"/>
                <w:sz w:val="16"/>
              </w:rPr>
              <w:t>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19E3">
            <w:pPr>
              <w:jc w:val="center"/>
            </w:pPr>
            <w:r>
              <w:rPr>
                <w:rFonts w:ascii="宋体" w:hAnsi="宋体" w:eastAsia="宋体"/>
                <w:sz w:val="16"/>
              </w:rPr>
              <w:t>7.69分</w:t>
            </w:r>
          </w:p>
        </w:tc>
      </w:tr>
      <w:tr w14:paraId="4DABE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8A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EC3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1AEE0">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4C731">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E1E2">
            <w:pPr>
              <w:jc w:val="center"/>
            </w:pPr>
            <w:r>
              <w:rPr>
                <w:rFonts w:ascii="宋体" w:hAnsi="宋体" w:eastAsia="宋体"/>
                <w:sz w:val="16"/>
              </w:rPr>
              <w:t>58.09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F3A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F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C8DB">
            <w:pPr>
              <w:jc w:val="center"/>
            </w:pPr>
            <w:r>
              <w:rPr>
                <w:rFonts w:ascii="宋体" w:hAnsi="宋体" w:eastAsia="宋体"/>
                <w:sz w:val="16"/>
              </w:rPr>
              <w:t>—</w:t>
            </w:r>
          </w:p>
        </w:tc>
      </w:tr>
      <w:tr w14:paraId="263FF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DC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05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21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8C4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A0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66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85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1845">
            <w:pPr>
              <w:jc w:val="center"/>
            </w:pPr>
            <w:r>
              <w:rPr>
                <w:rFonts w:ascii="宋体" w:hAnsi="宋体" w:eastAsia="宋体"/>
                <w:sz w:val="16"/>
              </w:rPr>
              <w:t>—</w:t>
            </w:r>
          </w:p>
        </w:tc>
      </w:tr>
      <w:tr w14:paraId="419D21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6B3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EA0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FC528F">
            <w:pPr>
              <w:jc w:val="center"/>
            </w:pPr>
            <w:r>
              <w:rPr>
                <w:rFonts w:ascii="宋体" w:hAnsi="宋体" w:eastAsia="宋体"/>
                <w:sz w:val="16"/>
              </w:rPr>
              <w:t>实际完成情况</w:t>
            </w:r>
          </w:p>
        </w:tc>
      </w:tr>
      <w:tr w14:paraId="0D975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65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D770B">
            <w:pPr>
              <w:jc w:val="both"/>
            </w:pPr>
            <w:r>
              <w:rPr>
                <w:rFonts w:ascii="宋体" w:hAnsi="宋体" w:eastAsia="宋体"/>
                <w:sz w:val="16"/>
              </w:rPr>
              <w:t>项目投入64万元，用于为瓦尔希迭村购置太阳能路灯225盏，每盏2844.5元（包含人工、水泥墩），将有效提升美丽宜居环境，保障村民夜间安全出行，营造和谐社会环境，打造美丽乡村。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8B12B">
            <w:pPr>
              <w:jc w:val="both"/>
            </w:pPr>
            <w:r>
              <w:rPr>
                <w:rFonts w:ascii="宋体" w:hAnsi="宋体" w:eastAsia="宋体"/>
                <w:sz w:val="16"/>
              </w:rPr>
              <w:t>项目投入58.0876万元，用于为瓦尔希迭村购置太阳能路灯225盏，每盏2581.67元（包含人工、水泥墩），将有效提升美丽宜居环境，保障村民夜间安全出行，营造和谐社会环境，打造美丽乡村。</w:t>
            </w:r>
          </w:p>
        </w:tc>
      </w:tr>
      <w:tr w14:paraId="10DE3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2A22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23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4D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6F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CC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B2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B0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FF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F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4A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C7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55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4D08">
            <w:pPr>
              <w:jc w:val="center"/>
            </w:pPr>
            <w:r>
              <w:rPr>
                <w:rFonts w:ascii="宋体" w:hAnsi="宋体" w:eastAsia="宋体"/>
                <w:sz w:val="16"/>
              </w:rPr>
              <w:t>偏差原因分析及改进措施</w:t>
            </w:r>
          </w:p>
        </w:tc>
      </w:tr>
      <w:tr w14:paraId="58C78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910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8387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0B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A223">
            <w:pPr>
              <w:jc w:val="center"/>
            </w:pPr>
            <w:r>
              <w:rPr>
                <w:rFonts w:ascii="宋体" w:hAnsi="宋体" w:eastAsia="宋体"/>
                <w:sz w:val="16"/>
              </w:rPr>
              <w:t>购买路灯数量（盏）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A2A4">
            <w:pPr>
              <w:jc w:val="center"/>
            </w:pPr>
            <w:r>
              <w:rPr>
                <w:rFonts w:ascii="宋体" w:hAnsi="宋体" w:eastAsia="宋体"/>
                <w:sz w:val="16"/>
              </w:rPr>
              <w:t>&gt;=225盏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3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E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E3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B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8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A64F">
            <w:pPr>
              <w:jc w:val="center"/>
            </w:pPr>
            <w:r>
              <w:rPr>
                <w:rFonts w:ascii="宋体" w:hAnsi="宋体" w:eastAsia="宋体"/>
                <w:sz w:val="16"/>
              </w:rPr>
              <w:t>=225盏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A8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C13D1">
            <w:pPr>
              <w:jc w:val="center"/>
            </w:pPr>
          </w:p>
        </w:tc>
      </w:tr>
      <w:tr w14:paraId="4F601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14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7D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0F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5653">
            <w:pPr>
              <w:jc w:val="center"/>
            </w:pPr>
            <w:r>
              <w:rPr>
                <w:rFonts w:ascii="宋体" w:hAnsi="宋体" w:eastAsia="宋体"/>
                <w:sz w:val="16"/>
              </w:rPr>
              <w:t>路灯验收合格率（%）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A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9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0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2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4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2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2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17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56AC">
            <w:pPr>
              <w:jc w:val="center"/>
            </w:pPr>
          </w:p>
        </w:tc>
      </w:tr>
      <w:tr w14:paraId="5D4D4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F9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57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FA0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3188">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D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A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4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E0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56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3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2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6A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8ED94">
            <w:pPr>
              <w:jc w:val="center"/>
            </w:pPr>
          </w:p>
        </w:tc>
      </w:tr>
      <w:tr w14:paraId="4137D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5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8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3F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855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4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58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C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8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A6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3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0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EA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2B10">
            <w:pPr>
              <w:jc w:val="center"/>
            </w:pPr>
          </w:p>
        </w:tc>
      </w:tr>
      <w:tr w14:paraId="559C3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2C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6D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4F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FAEB">
            <w:pPr>
              <w:jc w:val="center"/>
            </w:pPr>
            <w:r>
              <w:rPr>
                <w:rFonts w:ascii="宋体" w:hAnsi="宋体" w:eastAsia="宋体"/>
                <w:sz w:val="16"/>
              </w:rPr>
              <w:t>购买路灯单位成本（元/盏）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CC0A">
            <w:pPr>
              <w:jc w:val="center"/>
            </w:pPr>
            <w:r>
              <w:rPr>
                <w:rFonts w:ascii="宋体" w:hAnsi="宋体" w:eastAsia="宋体"/>
                <w:sz w:val="16"/>
              </w:rPr>
              <w:t>&lt;=2844.5元/盏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D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44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D1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3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10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248E">
            <w:pPr>
              <w:jc w:val="center"/>
            </w:pPr>
            <w:r>
              <w:rPr>
                <w:rFonts w:ascii="宋体" w:hAnsi="宋体" w:eastAsia="宋体"/>
                <w:sz w:val="16"/>
              </w:rPr>
              <w:t>=2581.67元/盏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399D">
            <w:pPr>
              <w:jc w:val="center"/>
            </w:pPr>
            <w:r>
              <w:rPr>
                <w:rFonts w:ascii="宋体" w:hAnsi="宋体" w:eastAsia="宋体"/>
                <w:sz w:val="16"/>
              </w:rPr>
              <w:t>15.38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EABD">
            <w:pPr>
              <w:jc w:val="center"/>
            </w:pPr>
            <w:r>
              <w:rPr>
                <w:rFonts w:ascii="宋体" w:hAnsi="宋体" w:eastAsia="宋体"/>
                <w:sz w:val="16"/>
              </w:rPr>
              <w:t>偏差原因：本项目通过拨付资金58.09万元，已确保完成本年度工作任务，导致出现正偏差，改进措施：根据项目需求，后续合理设置绩效指标，合理规划和调配资金，保障工作按时按量进行，避免资金闲置，提高资金使用效率。</w:t>
            </w:r>
          </w:p>
        </w:tc>
      </w:tr>
      <w:tr w14:paraId="5E503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CC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F9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B9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6C00">
            <w:pPr>
              <w:jc w:val="center"/>
            </w:pPr>
            <w:r>
              <w:rPr>
                <w:rFonts w:ascii="宋体" w:hAnsi="宋体" w:eastAsia="宋体"/>
                <w:sz w:val="16"/>
              </w:rPr>
              <w:t>保障村民夜间安全出行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492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945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E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63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E8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D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BF8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C6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F9C8">
            <w:pPr>
              <w:jc w:val="center"/>
            </w:pPr>
          </w:p>
        </w:tc>
      </w:tr>
      <w:tr w14:paraId="4AE8C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7B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A4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9B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9909">
            <w:pPr>
              <w:jc w:val="center"/>
            </w:pPr>
            <w:r>
              <w:rPr>
                <w:rFonts w:ascii="宋体" w:hAnsi="宋体" w:eastAsia="宋体"/>
                <w:sz w:val="16"/>
              </w:rPr>
              <w:t>瓦尔希迭村村民满意度（%）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08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1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24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8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93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1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BB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2E66">
            <w:pPr>
              <w:jc w:val="center"/>
            </w:pPr>
            <w:r>
              <w:rPr>
                <w:rFonts w:ascii="宋体" w:hAnsi="宋体" w:eastAsia="宋体"/>
                <w:sz w:val="16"/>
              </w:rPr>
              <w:t>偏差原因：项目实施情况较好，瓦尔希迭村村民满意度高于预期，导致出现正偏差，改进措施：基于当前良好表现，重新审视绩效目标，在以后绩效目标设置时设置更具挑战性的目标，以推动业务持续发展。</w:t>
            </w:r>
          </w:p>
        </w:tc>
      </w:tr>
      <w:tr w14:paraId="74FFAA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32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20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01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E868A">
            <w:pPr>
              <w:jc w:val="center"/>
            </w:pPr>
            <w:r>
              <w:rPr>
                <w:rFonts w:ascii="宋体" w:hAnsi="宋体" w:eastAsia="宋体"/>
                <w:sz w:val="16"/>
              </w:rPr>
              <w:t>93.07分</w:t>
            </w:r>
          </w:p>
        </w:tc>
      </w:tr>
    </w:tbl>
    <w:p w14:paraId="0CC047D2">
      <w:r>
        <w:br w:type="page"/>
      </w:r>
    </w:p>
    <w:p w14:paraId="39D095F0">
      <w:pPr>
        <w:spacing w:line="640" w:lineRule="exact"/>
        <w:ind w:firstLine="640"/>
        <w:jc w:val="both"/>
        <w:outlineLvl w:val="2"/>
      </w:pPr>
      <w:r>
        <w:rPr>
          <w:rFonts w:ascii="黑体" w:hAnsi="黑体" w:eastAsia="黑体"/>
          <w:sz w:val="32"/>
        </w:rPr>
        <w:t>十二、其他需说明的事项</w:t>
      </w:r>
    </w:p>
    <w:p w14:paraId="70CE33B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7B0C305">
      <w:r>
        <w:br w:type="page"/>
      </w:r>
    </w:p>
    <w:p w14:paraId="1312DB0C">
      <w:pPr>
        <w:spacing w:line="240" w:lineRule="auto"/>
        <w:jc w:val="center"/>
        <w:outlineLvl w:val="1"/>
      </w:pPr>
      <w:r>
        <w:rPr>
          <w:rFonts w:ascii="黑体" w:hAnsi="黑体" w:eastAsia="黑体"/>
          <w:sz w:val="32"/>
        </w:rPr>
        <w:t>第三部分 专业名词解释</w:t>
      </w:r>
    </w:p>
    <w:p w14:paraId="454040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14AF3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FCF37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B18DC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BDD16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0124F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02A5E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F589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FB618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FB09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A3881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7034B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24CE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F34C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8F9296">
      <w:r>
        <w:br w:type="page"/>
      </w:r>
    </w:p>
    <w:p w14:paraId="39D4EB9F">
      <w:pPr>
        <w:spacing w:line="240" w:lineRule="auto"/>
        <w:jc w:val="center"/>
        <w:outlineLvl w:val="1"/>
      </w:pPr>
      <w:r>
        <w:rPr>
          <w:rFonts w:ascii="黑体" w:hAnsi="黑体" w:eastAsia="黑体"/>
          <w:sz w:val="32"/>
        </w:rPr>
        <w:t>第四部分 部门决算报表（见附表）</w:t>
      </w:r>
    </w:p>
    <w:p w14:paraId="50F4978A">
      <w:pPr>
        <w:spacing w:line="240" w:lineRule="auto"/>
        <w:ind w:firstLine="640"/>
        <w:jc w:val="both"/>
      </w:pPr>
      <w:r>
        <w:rPr>
          <w:rFonts w:ascii="仿宋_GB2312" w:hAnsi="仿宋_GB2312" w:eastAsia="仿宋_GB2312"/>
          <w:b w:val="0"/>
          <w:sz w:val="32"/>
        </w:rPr>
        <w:t>一、《收入支出决算总表》</w:t>
      </w:r>
    </w:p>
    <w:p w14:paraId="59E55E67">
      <w:pPr>
        <w:spacing w:line="240" w:lineRule="auto"/>
        <w:ind w:firstLine="640"/>
        <w:jc w:val="both"/>
      </w:pPr>
      <w:r>
        <w:rPr>
          <w:rFonts w:ascii="仿宋_GB2312" w:hAnsi="仿宋_GB2312" w:eastAsia="仿宋_GB2312"/>
          <w:b w:val="0"/>
          <w:sz w:val="32"/>
        </w:rPr>
        <w:t>二、《收入决算表》</w:t>
      </w:r>
    </w:p>
    <w:p w14:paraId="20AF9D74">
      <w:pPr>
        <w:spacing w:line="240" w:lineRule="auto"/>
        <w:ind w:firstLine="640"/>
        <w:jc w:val="both"/>
      </w:pPr>
      <w:r>
        <w:rPr>
          <w:rFonts w:ascii="仿宋_GB2312" w:hAnsi="仿宋_GB2312" w:eastAsia="仿宋_GB2312"/>
          <w:b w:val="0"/>
          <w:sz w:val="32"/>
        </w:rPr>
        <w:t>三、《支出决算表》</w:t>
      </w:r>
    </w:p>
    <w:p w14:paraId="2245F525">
      <w:pPr>
        <w:spacing w:line="240" w:lineRule="auto"/>
        <w:ind w:firstLine="640"/>
        <w:jc w:val="both"/>
      </w:pPr>
      <w:r>
        <w:rPr>
          <w:rFonts w:ascii="仿宋_GB2312" w:hAnsi="仿宋_GB2312" w:eastAsia="仿宋_GB2312"/>
          <w:b w:val="0"/>
          <w:sz w:val="32"/>
        </w:rPr>
        <w:t>四、《财政拨款收入支出决算总表》</w:t>
      </w:r>
    </w:p>
    <w:p w14:paraId="3FB77446">
      <w:pPr>
        <w:spacing w:line="240" w:lineRule="auto"/>
        <w:ind w:firstLine="640"/>
        <w:jc w:val="both"/>
      </w:pPr>
      <w:r>
        <w:rPr>
          <w:rFonts w:ascii="仿宋_GB2312" w:hAnsi="仿宋_GB2312" w:eastAsia="仿宋_GB2312"/>
          <w:b w:val="0"/>
          <w:sz w:val="32"/>
        </w:rPr>
        <w:t>五、《一般公共预算财政拨款支出决算表》</w:t>
      </w:r>
    </w:p>
    <w:p w14:paraId="249A7A51">
      <w:pPr>
        <w:spacing w:line="240" w:lineRule="auto"/>
        <w:ind w:firstLine="640"/>
        <w:jc w:val="both"/>
      </w:pPr>
      <w:r>
        <w:rPr>
          <w:rFonts w:ascii="仿宋_GB2312" w:hAnsi="仿宋_GB2312" w:eastAsia="仿宋_GB2312"/>
          <w:b w:val="0"/>
          <w:sz w:val="32"/>
        </w:rPr>
        <w:t>六、《一般公共预算财政拨款基本支出决算表》</w:t>
      </w:r>
    </w:p>
    <w:p w14:paraId="1332FD86">
      <w:pPr>
        <w:spacing w:line="240" w:lineRule="auto"/>
        <w:ind w:firstLine="640"/>
        <w:jc w:val="both"/>
      </w:pPr>
      <w:r>
        <w:rPr>
          <w:rFonts w:ascii="仿宋_GB2312" w:hAnsi="仿宋_GB2312" w:eastAsia="仿宋_GB2312"/>
          <w:b w:val="0"/>
          <w:sz w:val="32"/>
        </w:rPr>
        <w:t>七、《政府性基金预算财政拨款收入支出决算表》</w:t>
      </w:r>
    </w:p>
    <w:p w14:paraId="010D9CBE">
      <w:pPr>
        <w:spacing w:line="240" w:lineRule="auto"/>
        <w:ind w:firstLine="640"/>
        <w:jc w:val="both"/>
      </w:pPr>
      <w:r>
        <w:rPr>
          <w:rFonts w:ascii="仿宋_GB2312" w:hAnsi="仿宋_GB2312" w:eastAsia="仿宋_GB2312"/>
          <w:b w:val="0"/>
          <w:sz w:val="32"/>
        </w:rPr>
        <w:t>八、《国有资本经营预算财政拨款收入支出决算表》</w:t>
      </w:r>
    </w:p>
    <w:p w14:paraId="30ECD082">
      <w:pPr>
        <w:spacing w:line="240" w:lineRule="auto"/>
        <w:ind w:firstLine="640"/>
        <w:jc w:val="both"/>
      </w:pPr>
      <w:r>
        <w:rPr>
          <w:rFonts w:ascii="仿宋_GB2312" w:hAnsi="仿宋_GB2312" w:eastAsia="仿宋_GB2312"/>
          <w:b w:val="0"/>
          <w:sz w:val="32"/>
        </w:rPr>
        <w:t>九、《财政拨款“三公”经费支出决算表》</w:t>
      </w:r>
    </w:p>
    <w:p w14:paraId="14B7680A">
      <w:pPr>
        <w:spacing w:line="240" w:lineRule="auto"/>
        <w:ind w:firstLine="640"/>
        <w:jc w:val="both"/>
      </w:pPr>
    </w:p>
    <w:p w14:paraId="52F55856">
      <w:pPr>
        <w:spacing w:line="240" w:lineRule="auto"/>
        <w:ind w:firstLine="640"/>
        <w:jc w:val="both"/>
      </w:pPr>
    </w:p>
    <w:p w14:paraId="6E0EA34F">
      <w:pPr>
        <w:spacing w:line="240" w:lineRule="auto"/>
        <w:ind w:firstLine="640"/>
        <w:jc w:val="both"/>
      </w:pPr>
    </w:p>
    <w:p w14:paraId="62933417">
      <w:pPr>
        <w:spacing w:line="240" w:lineRule="auto"/>
        <w:ind w:firstLine="640"/>
        <w:jc w:val="both"/>
      </w:pPr>
    </w:p>
    <w:p w14:paraId="3879630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DB12BE"/>
    <w:rsid w:val="0F9811B3"/>
    <w:rsid w:val="11E15093"/>
    <w:rsid w:val="120E0809"/>
    <w:rsid w:val="19071D6C"/>
    <w:rsid w:val="19B5554D"/>
    <w:rsid w:val="19EF196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413157"/>
    <w:rsid w:val="27CE017C"/>
    <w:rsid w:val="27CF2642"/>
    <w:rsid w:val="27E87B6C"/>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361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5439</Words>
  <Characters>6303</Characters>
  <Lines>0</Lines>
  <Paragraphs>0</Paragraphs>
  <TotalTime>10</TotalTime>
  <ScaleCrop>false</ScaleCrop>
  <LinksUpToDate>false</LinksUpToDate>
  <CharactersWithSpaces>6311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