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塔什库尔干塔吉克自治县达布达尔乡人民政府2024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B6F5A0">
      <w:r>
        <w:br w:type="page"/>
      </w:r>
    </w:p>
    <w:p w14:paraId="6124B560">
      <w:pPr>
        <w:spacing w:line="640" w:lineRule="exact"/>
        <w:jc w:val="center"/>
        <w:outlineLvl w:val="1"/>
      </w:pPr>
      <w:r>
        <w:rPr>
          <w:rFonts w:ascii="黑体" w:hAnsi="黑体" w:eastAsia="黑体"/>
          <w:sz w:val="32"/>
        </w:rPr>
        <w:t>第一部分 单位概况</w:t>
      </w:r>
    </w:p>
    <w:p w14:paraId="3548FC76">
      <w:pPr>
        <w:spacing w:line="640" w:lineRule="exact"/>
        <w:ind w:firstLine="640"/>
        <w:jc w:val="both"/>
        <w:outlineLvl w:val="2"/>
      </w:pPr>
      <w:r>
        <w:rPr>
          <w:rFonts w:ascii="黑体" w:hAnsi="黑体" w:eastAsia="黑体"/>
          <w:sz w:val="32"/>
        </w:rPr>
        <w:t>一、主要职能</w:t>
      </w:r>
    </w:p>
    <w:p w14:paraId="6202EE44">
      <w:pPr>
        <w:spacing w:line="580" w:lineRule="exact"/>
        <w:ind w:firstLine="640"/>
        <w:jc w:val="both"/>
        <w:rPr>
          <w:rFonts w:hint="eastAsia" w:eastAsia="仿宋_GB2312"/>
          <w:lang w:eastAsia="zh-CN"/>
        </w:rPr>
      </w:pP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一</w:t>
      </w:r>
      <w:r>
        <w:rPr>
          <w:rFonts w:hint="eastAsia" w:ascii="仿宋_GB2312" w:hAnsi="仿宋_GB2312" w:eastAsia="仿宋_GB2312"/>
          <w:sz w:val="32"/>
          <w:lang w:eastAsia="zh-CN"/>
        </w:rPr>
        <w:t>）</w:t>
      </w:r>
      <w:r>
        <w:rPr>
          <w:rFonts w:ascii="仿宋_GB2312" w:hAnsi="仿宋_GB2312" w:eastAsia="仿宋_GB2312"/>
          <w:sz w:val="32"/>
        </w:rPr>
        <w:t>乡党委要充分发挥党委的核心领导作用。其主要职责是</w:t>
      </w:r>
      <w:r>
        <w:rPr>
          <w:rFonts w:hint="eastAsia" w:ascii="仿宋_GB2312" w:hAnsi="仿宋_GB2312" w:eastAsia="仿宋_GB2312"/>
          <w:sz w:val="32"/>
          <w:lang w:eastAsia="zh-CN"/>
        </w:rPr>
        <w:t>：</w:t>
      </w:r>
    </w:p>
    <w:p w14:paraId="37A50DC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38CD9B4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7EAD55F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27913ED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val="en-US"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val="en-US"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7054606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强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3E3A8006">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负责本行政区域内党的政治理论和文化思想宣传教育工作；负责精神文明建设及各项创建活动的组织与实施；负责</w:t>
      </w:r>
      <w:r>
        <w:rPr>
          <w:rFonts w:hint="eastAsia" w:ascii="仿宋_GB2312" w:hAnsi="仿宋_GB2312" w:eastAsia="仿宋_GB2312"/>
          <w:sz w:val="32"/>
          <w:lang w:eastAsia="zh-CN"/>
        </w:rPr>
        <w:t>拥军优属</w:t>
      </w:r>
      <w:r>
        <w:rPr>
          <w:rFonts w:ascii="仿宋_GB2312" w:hAnsi="仿宋_GB2312" w:eastAsia="仿宋_GB2312"/>
          <w:sz w:val="32"/>
        </w:rPr>
        <w:t>工作的组织实施。</w:t>
      </w:r>
    </w:p>
    <w:p w14:paraId="61B4200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领导乡政权机关和群团组织，支持和保证这些机关和组织依照国家法律法规及各自章程充分行使职权。</w:t>
      </w:r>
    </w:p>
    <w:p w14:paraId="22231AED">
      <w:pPr>
        <w:spacing w:line="580" w:lineRule="exact"/>
        <w:ind w:firstLine="640"/>
        <w:jc w:val="both"/>
        <w:rPr>
          <w:rFonts w:hint="eastAsia" w:eastAsia="仿宋_GB2312"/>
          <w:lang w:eastAsia="zh-CN"/>
        </w:rPr>
      </w:pP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二</w:t>
      </w:r>
      <w:r>
        <w:rPr>
          <w:rFonts w:hint="eastAsia" w:ascii="仿宋_GB2312" w:hAnsi="仿宋_GB2312" w:eastAsia="仿宋_GB2312"/>
          <w:sz w:val="32"/>
          <w:lang w:eastAsia="zh-CN"/>
        </w:rPr>
        <w:t>）</w:t>
      </w:r>
      <w:r>
        <w:rPr>
          <w:rFonts w:ascii="仿宋_GB2312" w:hAnsi="仿宋_GB2312" w:eastAsia="仿宋_GB2312"/>
          <w:sz w:val="32"/>
        </w:rPr>
        <w:t>乡人民政府主要职责是</w:t>
      </w:r>
      <w:r>
        <w:rPr>
          <w:rFonts w:hint="eastAsia" w:ascii="仿宋_GB2312" w:hAnsi="仿宋_GB2312" w:eastAsia="仿宋_GB2312"/>
          <w:sz w:val="32"/>
          <w:lang w:eastAsia="zh-CN"/>
        </w:rPr>
        <w:t>：</w:t>
      </w:r>
    </w:p>
    <w:p w14:paraId="2B95B54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在乡党委的领导下，健全和完善乡政府的各项职能，依照法律和有关规定，全面行使管理本行政区域内的政治、经济、文化和社会事务的职权。</w:t>
      </w:r>
    </w:p>
    <w:p w14:paraId="3B06EBB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促进经济发展、增加农牧民收入。认真贯彻落实党在农村的方针政策和强农惠农措施，坚持科学发展，积极转变经济发展方式，推动庭院经济和引导工作，结合实际制定发展规划，培育特色优势产业和特色经济、扶持壮大龙头企业，促进现代化农牧业发展。稳定和完善农村基本经营制度，支持农牧民专业合作社等经济组织发展，健全农村市场</w:t>
      </w:r>
      <w:r>
        <w:rPr>
          <w:rFonts w:hint="eastAsia" w:ascii="仿宋_GB2312" w:hAnsi="仿宋_GB2312" w:eastAsia="仿宋_GB2312"/>
          <w:sz w:val="32"/>
          <w:lang w:eastAsia="zh-CN"/>
        </w:rPr>
        <w:t>和农</w:t>
      </w:r>
      <w:r>
        <w:rPr>
          <w:rFonts w:ascii="仿宋_GB2312" w:hAnsi="仿宋_GB2312" w:eastAsia="仿宋_GB2312"/>
          <w:sz w:val="32"/>
        </w:rPr>
        <w:t>牧业服务体系。大力推广先进科学技术，强化劳动力技能培训，做好农村劳务输出，促进农牧民增产增收，负责扶贫政策宣传、项目开发、协调信贷扶贫工作。</w:t>
      </w:r>
    </w:p>
    <w:p w14:paraId="0690DC1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1ECBC36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强化公共服务、着力改善民生。完善农村医疗、养老、负责组织实施社会救助救济、养老、优抚、残疾人等管理服务及社会保障制度；加快新型农村公共服务体系建设，负责实施城乡居民医疗保障、卫生防疫和妇幼保健等工作，推动农村公共卫生体系和基本医疗体系建设；着力解决广大农牧民群众最关心、最直接、最现代的利益问题。按照建设社会主义新农村的“十六字方针”加快社会主义新农村建设步伐，不断完善公益设施和基础设施，加强教育、科技、卫生和精神文明建设，繁荣发展农村文化，提高农村人口素质，负责本行政区域内的人口和</w:t>
      </w:r>
      <w:r>
        <w:rPr>
          <w:rFonts w:hint="eastAsia" w:ascii="仿宋_GB2312" w:hAnsi="仿宋_GB2312" w:eastAsia="仿宋_GB2312"/>
          <w:sz w:val="32"/>
          <w:lang w:eastAsia="zh-CN"/>
        </w:rPr>
        <w:t>JHSY</w:t>
      </w:r>
      <w:r>
        <w:rPr>
          <w:rFonts w:ascii="仿宋_GB2312" w:hAnsi="仿宋_GB2312" w:eastAsia="仿宋_GB2312"/>
          <w:sz w:val="32"/>
        </w:rPr>
        <w:t>工作，推进优生优育，稳定农村低生育水平；配合教育行政部门做好幼儿教育、九年制义务教育、成人教育等工作促进农村义务教育发展；组织开展文化体育活动；加强生态建设和环境保护，努力改善农村人居环境，不断提高农牧民生活质量。构造和谐稳定，健康文明、积极向上的社会主义新农村。</w:t>
      </w:r>
    </w:p>
    <w:p w14:paraId="599E2784">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负责指导村民自治、完善民主议事制度，推进村务公开、财务公开，引导农民有序</w:t>
      </w:r>
      <w:r>
        <w:rPr>
          <w:rFonts w:hint="eastAsia" w:ascii="仿宋_GB2312" w:hAnsi="仿宋_GB2312" w:eastAsia="仿宋_GB2312"/>
          <w:sz w:val="32"/>
          <w:lang w:eastAsia="zh-CN"/>
        </w:rPr>
        <w:t>参与</w:t>
      </w:r>
      <w:r>
        <w:rPr>
          <w:rFonts w:ascii="仿宋_GB2312" w:hAnsi="仿宋_GB2312" w:eastAsia="仿宋_GB2312"/>
          <w:sz w:val="32"/>
        </w:rPr>
        <w:t>村级事务管理，促进社会组织健康发展，增强社会自治功能。</w:t>
      </w:r>
    </w:p>
    <w:p w14:paraId="496648BF">
      <w:pPr>
        <w:spacing w:line="580" w:lineRule="exact"/>
        <w:ind w:firstLine="640"/>
        <w:jc w:val="both"/>
        <w:rPr>
          <w:rFonts w:hint="eastAsia" w:eastAsia="仿宋_GB2312"/>
          <w:lang w:eastAsia="zh-CN"/>
        </w:rPr>
      </w:pP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三</w:t>
      </w:r>
      <w:r>
        <w:rPr>
          <w:rFonts w:hint="eastAsia" w:ascii="仿宋_GB2312" w:hAnsi="仿宋_GB2312" w:eastAsia="仿宋_GB2312"/>
          <w:sz w:val="32"/>
          <w:lang w:eastAsia="zh-CN"/>
        </w:rPr>
        <w:t>）</w:t>
      </w:r>
      <w:r>
        <w:rPr>
          <w:rFonts w:ascii="仿宋_GB2312" w:hAnsi="仿宋_GB2312" w:eastAsia="仿宋_GB2312"/>
          <w:sz w:val="32"/>
        </w:rPr>
        <w:t>乡人大主席团的主要职责是</w:t>
      </w:r>
      <w:r>
        <w:rPr>
          <w:rFonts w:hint="eastAsia" w:ascii="仿宋_GB2312" w:hAnsi="仿宋_GB2312" w:eastAsia="仿宋_GB2312"/>
          <w:sz w:val="32"/>
          <w:lang w:eastAsia="zh-CN"/>
        </w:rPr>
        <w:t>：</w:t>
      </w:r>
    </w:p>
    <w:p w14:paraId="63EF46EE">
      <w:pPr>
        <w:spacing w:line="580" w:lineRule="exact"/>
        <w:ind w:firstLine="640"/>
        <w:jc w:val="both"/>
      </w:pPr>
      <w:r>
        <w:rPr>
          <w:rFonts w:ascii="仿宋_GB2312" w:hAnsi="仿宋_GB2312" w:eastAsia="仿宋_GB2312"/>
          <w:sz w:val="32"/>
        </w:rPr>
        <w:t>检查、督促宪法、法律、法规和上级人民代表大会及其常务委员会的决议、决定在本乡的遵守和执行；接受县人大常委会的指导，听取和审议本级人民政府的工作报告，监督本级人民政府的工作；督促、检查本级人民代表大会代表议案和建议、批评、意见的办理情况；负责对各代表组的领导，督促各代表组按照有关制度开展代表活动；办理本级人民代表大会和上级人民代表大会常务委员会交办和委托的工作。</w:t>
      </w:r>
    </w:p>
    <w:p w14:paraId="1DC1AE68">
      <w:pPr>
        <w:spacing w:line="640" w:lineRule="exact"/>
        <w:ind w:firstLine="640"/>
        <w:jc w:val="both"/>
        <w:outlineLvl w:val="2"/>
      </w:pPr>
      <w:r>
        <w:rPr>
          <w:rFonts w:ascii="黑体" w:hAnsi="黑体" w:eastAsia="黑体"/>
          <w:sz w:val="32"/>
        </w:rPr>
        <w:t>二、机构设置及人员情况</w:t>
      </w:r>
    </w:p>
    <w:p w14:paraId="7C1F83E1">
      <w:pPr>
        <w:spacing w:line="580" w:lineRule="exact"/>
        <w:ind w:firstLine="640"/>
        <w:jc w:val="both"/>
      </w:pPr>
      <w:r>
        <w:rPr>
          <w:rFonts w:ascii="仿宋_GB2312" w:hAnsi="仿宋_GB2312" w:eastAsia="仿宋_GB2312"/>
          <w:sz w:val="32"/>
        </w:rPr>
        <w:t>塔什库尔干塔吉克自治县达布达尔乡人民政府2024年度，实有人数103人，其中：在职人员72人，增加2人；离休人员0人，增加0人；退休人员31人,增加0人。</w:t>
      </w:r>
    </w:p>
    <w:p w14:paraId="318A45B0">
      <w:pPr>
        <w:spacing w:line="580" w:lineRule="exact"/>
        <w:ind w:firstLine="640"/>
        <w:jc w:val="both"/>
      </w:pPr>
      <w:r>
        <w:rPr>
          <w:rFonts w:ascii="仿宋_GB2312" w:hAnsi="仿宋_GB2312" w:eastAsia="仿宋_GB2312"/>
          <w:sz w:val="32"/>
        </w:rPr>
        <w:t>单位无下属预算单位，下设11个科室，分别是：党建办公室、党政办公室、社会事务办公室、经济发展办公室、综合治理办公室、文体广电旅游服务中心、社会保障服务中心、经济发展中心、规划建设发展中心、综治中心、财政所。</w:t>
      </w:r>
    </w:p>
    <w:p w14:paraId="6D11FB62">
      <w:r>
        <w:br w:type="page"/>
      </w:r>
    </w:p>
    <w:p w14:paraId="2E41CAFA">
      <w:pPr>
        <w:spacing w:line="240" w:lineRule="auto"/>
        <w:jc w:val="center"/>
        <w:outlineLvl w:val="1"/>
      </w:pPr>
      <w:r>
        <w:rPr>
          <w:rFonts w:ascii="黑体" w:hAnsi="黑体" w:eastAsia="黑体"/>
          <w:sz w:val="32"/>
        </w:rPr>
        <w:t>第二部分 部门决算情况说明</w:t>
      </w:r>
    </w:p>
    <w:p w14:paraId="6914A121">
      <w:pPr>
        <w:spacing w:line="640" w:lineRule="exact"/>
        <w:ind w:firstLine="640"/>
        <w:jc w:val="both"/>
        <w:outlineLvl w:val="2"/>
      </w:pPr>
      <w:r>
        <w:rPr>
          <w:rFonts w:ascii="黑体" w:hAnsi="黑体" w:eastAsia="黑体"/>
          <w:sz w:val="32"/>
        </w:rPr>
        <w:t>一、收入支出决算总体情况说明</w:t>
      </w:r>
    </w:p>
    <w:p w14:paraId="5EB3B90C">
      <w:pPr>
        <w:spacing w:line="580" w:lineRule="exact"/>
        <w:ind w:firstLine="640"/>
        <w:jc w:val="both"/>
      </w:pPr>
      <w:r>
        <w:rPr>
          <w:rFonts w:ascii="仿宋_GB2312" w:hAnsi="仿宋_GB2312" w:eastAsia="仿宋_GB2312"/>
          <w:b/>
          <w:sz w:val="32"/>
        </w:rPr>
        <w:t>2024年度收入总计6,330.33万元，</w:t>
      </w:r>
      <w:r>
        <w:rPr>
          <w:rFonts w:ascii="仿宋_GB2312" w:hAnsi="仿宋_GB2312" w:eastAsia="仿宋_GB2312"/>
          <w:b w:val="0"/>
          <w:sz w:val="32"/>
        </w:rPr>
        <w:t>其中：本年收入合计6,330.33万元，使用非财政拨款结余（含专用结余）0.00万元，年初结转和结余0.00万元。</w:t>
      </w:r>
    </w:p>
    <w:p w14:paraId="72CC49FF">
      <w:pPr>
        <w:spacing w:line="580" w:lineRule="exact"/>
        <w:ind w:firstLine="640"/>
        <w:jc w:val="both"/>
      </w:pPr>
      <w:r>
        <w:rPr>
          <w:rFonts w:ascii="仿宋_GB2312" w:hAnsi="仿宋_GB2312" w:eastAsia="仿宋_GB2312"/>
          <w:b/>
          <w:sz w:val="32"/>
        </w:rPr>
        <w:t>2024年度支出总计6,330.33万元，</w:t>
      </w:r>
      <w:r>
        <w:rPr>
          <w:rFonts w:ascii="仿宋_GB2312" w:hAnsi="仿宋_GB2312" w:eastAsia="仿宋_GB2312"/>
          <w:b w:val="0"/>
          <w:sz w:val="32"/>
        </w:rPr>
        <w:t>其中：本年支出合计6,330.33万元，结余分配0.00万元，年末结转和结余0.00万元。</w:t>
      </w:r>
    </w:p>
    <w:p w14:paraId="7ABADA5A">
      <w:pPr>
        <w:spacing w:line="580" w:lineRule="exact"/>
        <w:ind w:firstLine="640"/>
        <w:jc w:val="both"/>
      </w:pPr>
      <w:r>
        <w:rPr>
          <w:rFonts w:ascii="仿宋_GB2312" w:hAnsi="仿宋_GB2312" w:eastAsia="仿宋_GB2312"/>
          <w:b w:val="0"/>
          <w:sz w:val="32"/>
        </w:rPr>
        <w:t>收入支出总体与上年相比，增加2,431.54万元，增长62.37%，主要原因是：本年在职人员工资调薪，工资、社保、公积金等相关人员经费增加；本年增加达布达尔乡达布达尔村污水处理项目、达布达尔乡示范村旅游市场建设项目、达布达尔乡达布达尔村旅游发展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达布达尔乡塔吐鲁沟棚圈建设项目、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乡村综合民生实事项目-达布达尔乡煤改电建设项目，导致经费较上年增加。</w:t>
      </w:r>
    </w:p>
    <w:p w14:paraId="1AE3D81E">
      <w:pPr>
        <w:spacing w:line="640" w:lineRule="exact"/>
        <w:ind w:firstLine="640"/>
        <w:jc w:val="both"/>
        <w:outlineLvl w:val="2"/>
      </w:pPr>
      <w:r>
        <w:rPr>
          <w:rFonts w:ascii="黑体" w:hAnsi="黑体" w:eastAsia="黑体"/>
          <w:sz w:val="32"/>
        </w:rPr>
        <w:t>二、收入决算情况说明</w:t>
      </w:r>
    </w:p>
    <w:p w14:paraId="3880F594">
      <w:pPr>
        <w:spacing w:line="580" w:lineRule="exact"/>
        <w:ind w:firstLine="640"/>
        <w:jc w:val="both"/>
      </w:pPr>
      <w:r>
        <w:rPr>
          <w:rFonts w:ascii="仿宋_GB2312" w:hAnsi="仿宋_GB2312" w:eastAsia="仿宋_GB2312"/>
          <w:b/>
          <w:sz w:val="32"/>
        </w:rPr>
        <w:t>本年收入6,330.33万元，</w:t>
      </w:r>
      <w:r>
        <w:rPr>
          <w:rFonts w:ascii="仿宋_GB2312" w:hAnsi="仿宋_GB2312" w:eastAsia="仿宋_GB2312"/>
          <w:b w:val="0"/>
          <w:sz w:val="32"/>
        </w:rPr>
        <w:t>其中：财政拨款收入6,115.96万元，占96.61%；上级补助收入0.00万元，占0.00%；事业收入0.00万元，占0.00%；经营收入0.00万元，占0.00%；附属单位上缴收入0.00万元，占0.00%；其他收入214.37万元，占3.39%。</w:t>
      </w:r>
    </w:p>
    <w:p w14:paraId="39E14D49">
      <w:pPr>
        <w:spacing w:line="640" w:lineRule="exact"/>
        <w:ind w:firstLine="640"/>
        <w:jc w:val="both"/>
        <w:outlineLvl w:val="2"/>
      </w:pPr>
      <w:r>
        <w:rPr>
          <w:rFonts w:ascii="黑体" w:hAnsi="黑体" w:eastAsia="黑体"/>
          <w:sz w:val="32"/>
        </w:rPr>
        <w:t>三、支出决算情况说明</w:t>
      </w:r>
    </w:p>
    <w:p w14:paraId="3E116A6C">
      <w:pPr>
        <w:spacing w:line="580" w:lineRule="exact"/>
        <w:ind w:firstLine="640"/>
        <w:jc w:val="both"/>
      </w:pPr>
      <w:r>
        <w:rPr>
          <w:rFonts w:ascii="仿宋_GB2312" w:hAnsi="仿宋_GB2312" w:eastAsia="仿宋_GB2312"/>
          <w:b/>
          <w:sz w:val="32"/>
        </w:rPr>
        <w:t>本年支出6,330.33万元，</w:t>
      </w:r>
      <w:r>
        <w:rPr>
          <w:rFonts w:ascii="仿宋_GB2312" w:hAnsi="仿宋_GB2312" w:eastAsia="仿宋_GB2312"/>
          <w:b w:val="0"/>
          <w:sz w:val="32"/>
        </w:rPr>
        <w:t>其中：基本支出1,856.57万元，占29.33%；项目支出4,473.76万元，占70.67%；上缴上级支出0.00万元，占0.00%；经营支出0.00万元，占0.00%；对附属单位补助支出0.00万元，占0.00%。</w:t>
      </w:r>
    </w:p>
    <w:p w14:paraId="15416E1B">
      <w:pPr>
        <w:spacing w:line="640" w:lineRule="exact"/>
        <w:ind w:firstLine="640"/>
        <w:jc w:val="both"/>
        <w:outlineLvl w:val="2"/>
      </w:pPr>
      <w:r>
        <w:rPr>
          <w:rFonts w:ascii="黑体" w:hAnsi="黑体" w:eastAsia="黑体"/>
          <w:sz w:val="32"/>
        </w:rPr>
        <w:t>四、财政拨款收入支出决算总体情况说明</w:t>
      </w:r>
    </w:p>
    <w:p w14:paraId="7917294D">
      <w:pPr>
        <w:spacing w:line="580" w:lineRule="exact"/>
        <w:ind w:firstLine="640"/>
        <w:jc w:val="both"/>
      </w:pPr>
      <w:r>
        <w:rPr>
          <w:rFonts w:ascii="仿宋_GB2312" w:hAnsi="仿宋_GB2312" w:eastAsia="仿宋_GB2312"/>
          <w:b/>
          <w:sz w:val="32"/>
        </w:rPr>
        <w:t>2024年度财政拨款收入总计6,115.96万元，</w:t>
      </w:r>
      <w:r>
        <w:rPr>
          <w:rFonts w:ascii="仿宋_GB2312" w:hAnsi="仿宋_GB2312" w:eastAsia="仿宋_GB2312"/>
          <w:b w:val="0"/>
          <w:sz w:val="32"/>
        </w:rPr>
        <w:t>其中：年初财政拨款结转和结余0.00万元，本年财政拨款收入6,115.96万元。</w:t>
      </w:r>
      <w:r>
        <w:rPr>
          <w:rFonts w:ascii="仿宋_GB2312" w:hAnsi="仿宋_GB2312" w:eastAsia="仿宋_GB2312"/>
          <w:b/>
          <w:sz w:val="32"/>
        </w:rPr>
        <w:t>财政拨款支出总计6,115.96万元，</w:t>
      </w:r>
      <w:r>
        <w:rPr>
          <w:rFonts w:ascii="仿宋_GB2312" w:hAnsi="仿宋_GB2312" w:eastAsia="仿宋_GB2312"/>
          <w:b w:val="0"/>
          <w:sz w:val="32"/>
        </w:rPr>
        <w:t>其中：年末财政拨款结转和结余0.00万元，本年财政拨款支出6,115.96万元。</w:t>
      </w:r>
    </w:p>
    <w:p w14:paraId="77CD82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2,217.17万元，增长56.87%，主要原因是：本年在职人员工资调薪，工资、社保、公积金等相关人员经费增加；本年增加达布达尔乡达布达尔村污水处理项目、达布达尔乡示范村旅游市场建设项目、达布达尔乡达布达尔村旅游发展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达布达尔乡塔吐鲁沟棚圈建设项目、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乡村综合民生实事项目-达布达尔乡煤改电建设项目，导致经费较上年增加。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1,622.39万元，决算数6,115.96万元，预决算差异率276.97%，主要原因是：年中追加人员工资、社保、公积金基数调增部分资金及达布达尔乡达布达尔村污水处理项目、达布达尔乡示范村旅游市场建设项目、达布达尔乡达布达尔村旅游发展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达布达尔乡塔吐鲁沟棚圈建设项目、达布达尔乡热斯喀木村温室大棚建设项目、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乡村综合民生实事项目-达布达尔乡煤改电建设项目等。</w:t>
      </w:r>
    </w:p>
    <w:p w14:paraId="5FC0BA85">
      <w:pPr>
        <w:spacing w:line="640" w:lineRule="exact"/>
        <w:ind w:firstLine="640"/>
        <w:jc w:val="both"/>
        <w:outlineLvl w:val="2"/>
      </w:pPr>
      <w:r>
        <w:rPr>
          <w:rFonts w:ascii="黑体" w:hAnsi="黑体" w:eastAsia="黑体"/>
          <w:sz w:val="32"/>
        </w:rPr>
        <w:t>五、一般公共预算财政拨款支出决算情况说明</w:t>
      </w:r>
    </w:p>
    <w:p w14:paraId="3919E05B">
      <w:pPr>
        <w:spacing w:line="640" w:lineRule="exact"/>
        <w:ind w:firstLine="640"/>
        <w:jc w:val="both"/>
        <w:outlineLvl w:val="3"/>
      </w:pPr>
      <w:r>
        <w:rPr>
          <w:rFonts w:ascii="楷体_GB2312" w:hAnsi="楷体_GB2312" w:eastAsia="楷体_GB2312"/>
          <w:b/>
          <w:sz w:val="32"/>
        </w:rPr>
        <w:t>（一）一般公共预算财政拨款支出决算总体情况</w:t>
      </w:r>
    </w:p>
    <w:p w14:paraId="2717BA42">
      <w:pPr>
        <w:spacing w:line="580" w:lineRule="exact"/>
        <w:ind w:firstLine="640"/>
        <w:jc w:val="both"/>
      </w:pPr>
      <w:r>
        <w:rPr>
          <w:rFonts w:ascii="仿宋_GB2312" w:hAnsi="仿宋_GB2312" w:eastAsia="仿宋_GB2312"/>
          <w:b/>
          <w:sz w:val="32"/>
        </w:rPr>
        <w:t>2024年度一般公共预算财政拨款支出6,099.96万元，</w:t>
      </w:r>
      <w:r>
        <w:rPr>
          <w:rFonts w:ascii="仿宋_GB2312" w:hAnsi="仿宋_GB2312" w:eastAsia="仿宋_GB2312"/>
          <w:b w:val="0"/>
          <w:sz w:val="32"/>
        </w:rPr>
        <w:t>占本年支出合计的96.36%。</w:t>
      </w:r>
      <w:r>
        <w:rPr>
          <w:rFonts w:ascii="仿宋_GB2312" w:hAnsi="仿宋_GB2312" w:eastAsia="仿宋_GB2312"/>
          <w:b/>
          <w:sz w:val="32"/>
        </w:rPr>
        <w:t>与上年相比，</w:t>
      </w:r>
      <w:r>
        <w:rPr>
          <w:rFonts w:ascii="仿宋_GB2312" w:hAnsi="仿宋_GB2312" w:eastAsia="仿宋_GB2312"/>
          <w:b w:val="0"/>
          <w:sz w:val="32"/>
        </w:rPr>
        <w:t>增加2,201.17万元，增长56.46%，主要原因是：本年在职人员工资调薪，工资、社保、公积金等相关人员经费增加；本年增加达布达尔乡达布达尔村污水处理项目、达布达尔乡示范村旅游市场建设项目、达布达尔乡达布达尔村旅游发展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达布达尔乡塔吐鲁沟棚圈建设项目、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乡村综合民生实事项目-达布达尔乡煤改电建设项目，导致经费较上年增加。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1,622.39万元，决算数6,099.96万元，预决算差异率275.99%，主要原因是：年中追加人员工资、社保、公积金基数调增部分资金及达布达尔乡达布达尔村污水处理项目、达布达尔乡示范村旅游市场建设项目、达布达尔乡达布达尔村旅游发展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达布达尔乡塔吐鲁沟棚圈建设项目、达布达尔乡热斯喀木村温室大棚建设项目、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乡村综合民生实事项目-达布达尔乡煤改电建设项目等。</w:t>
      </w:r>
    </w:p>
    <w:p w14:paraId="3CE02EFA">
      <w:pPr>
        <w:spacing w:line="640" w:lineRule="exact"/>
        <w:ind w:firstLine="640"/>
        <w:jc w:val="both"/>
        <w:outlineLvl w:val="3"/>
      </w:pPr>
      <w:r>
        <w:rPr>
          <w:rFonts w:ascii="楷体_GB2312" w:hAnsi="楷体_GB2312" w:eastAsia="楷体_GB2312"/>
          <w:b/>
          <w:sz w:val="32"/>
        </w:rPr>
        <w:t>（二）一般公共预算财政拨款支出决算结构情况</w:t>
      </w:r>
    </w:p>
    <w:p w14:paraId="6EEDFB67">
      <w:pPr>
        <w:spacing w:line="580" w:lineRule="exact"/>
        <w:ind w:firstLine="640"/>
        <w:jc w:val="both"/>
      </w:pPr>
      <w:r>
        <w:rPr>
          <w:rFonts w:ascii="仿宋_GB2312" w:hAnsi="仿宋_GB2312" w:eastAsia="仿宋_GB2312"/>
          <w:b w:val="0"/>
          <w:sz w:val="32"/>
        </w:rPr>
        <w:t>1.一般公共服务支出(类)1,130.25万元,占18.53%。</w:t>
      </w:r>
    </w:p>
    <w:p w14:paraId="283CBACB">
      <w:pPr>
        <w:spacing w:line="580" w:lineRule="exact"/>
        <w:ind w:firstLine="640"/>
        <w:jc w:val="both"/>
      </w:pPr>
      <w:r>
        <w:rPr>
          <w:rFonts w:ascii="仿宋_GB2312" w:hAnsi="仿宋_GB2312" w:eastAsia="仿宋_GB2312"/>
          <w:b w:val="0"/>
          <w:sz w:val="32"/>
        </w:rPr>
        <w:t>2.文化旅游体育与传媒支出(类)8.40万元,占0.14%。</w:t>
      </w:r>
    </w:p>
    <w:p w14:paraId="383538AD">
      <w:pPr>
        <w:spacing w:line="580" w:lineRule="exact"/>
        <w:ind w:firstLine="640"/>
        <w:jc w:val="both"/>
      </w:pPr>
      <w:r>
        <w:rPr>
          <w:rFonts w:ascii="仿宋_GB2312" w:hAnsi="仿宋_GB2312" w:eastAsia="仿宋_GB2312"/>
          <w:b w:val="0"/>
          <w:sz w:val="32"/>
        </w:rPr>
        <w:t>3.社会保障和就业支出(类)851.97万元,占13.97%。</w:t>
      </w:r>
    </w:p>
    <w:p w14:paraId="6ADEEC09">
      <w:pPr>
        <w:spacing w:line="580" w:lineRule="exact"/>
        <w:ind w:firstLine="640"/>
        <w:jc w:val="both"/>
      </w:pPr>
      <w:r>
        <w:rPr>
          <w:rFonts w:ascii="仿宋_GB2312" w:hAnsi="仿宋_GB2312" w:eastAsia="仿宋_GB2312"/>
          <w:b w:val="0"/>
          <w:sz w:val="32"/>
        </w:rPr>
        <w:t>4.卫生健康支出(类)83.23万元,占1.36%。</w:t>
      </w:r>
    </w:p>
    <w:p w14:paraId="795FAB34">
      <w:pPr>
        <w:spacing w:line="580" w:lineRule="exact"/>
        <w:ind w:firstLine="640"/>
        <w:jc w:val="both"/>
      </w:pPr>
      <w:r>
        <w:rPr>
          <w:rFonts w:ascii="仿宋_GB2312" w:hAnsi="仿宋_GB2312" w:eastAsia="仿宋_GB2312"/>
          <w:b w:val="0"/>
          <w:sz w:val="32"/>
        </w:rPr>
        <w:t>5.农林水支出(类)3,851.94万元,占63.15%。</w:t>
      </w:r>
    </w:p>
    <w:p w14:paraId="76D2047C">
      <w:pPr>
        <w:spacing w:line="580" w:lineRule="exact"/>
        <w:ind w:firstLine="640"/>
        <w:jc w:val="both"/>
      </w:pPr>
      <w:r>
        <w:rPr>
          <w:rFonts w:ascii="仿宋_GB2312" w:hAnsi="仿宋_GB2312" w:eastAsia="仿宋_GB2312"/>
          <w:b w:val="0"/>
          <w:sz w:val="32"/>
        </w:rPr>
        <w:t>6.住房保障支出(类)126.52万元,占2.07%。</w:t>
      </w:r>
    </w:p>
    <w:p w14:paraId="76769E82">
      <w:pPr>
        <w:spacing w:line="580" w:lineRule="exact"/>
        <w:ind w:firstLine="640"/>
        <w:jc w:val="both"/>
      </w:pPr>
      <w:r>
        <w:rPr>
          <w:rFonts w:ascii="仿宋_GB2312" w:hAnsi="仿宋_GB2312" w:eastAsia="仿宋_GB2312"/>
          <w:b w:val="0"/>
          <w:sz w:val="32"/>
        </w:rPr>
        <w:t>7.其他支出(类)47.65万元,占0.78%。</w:t>
      </w:r>
    </w:p>
    <w:p w14:paraId="643AFED7">
      <w:pPr>
        <w:spacing w:line="640" w:lineRule="exact"/>
        <w:ind w:firstLine="640"/>
        <w:jc w:val="both"/>
        <w:outlineLvl w:val="3"/>
      </w:pPr>
      <w:r>
        <w:rPr>
          <w:rFonts w:ascii="楷体_GB2312" w:hAnsi="楷体_GB2312" w:eastAsia="楷体_GB2312"/>
          <w:b/>
          <w:sz w:val="32"/>
        </w:rPr>
        <w:t>（三）一般公共预算财政拨款支出决算具体情况</w:t>
      </w:r>
    </w:p>
    <w:p w14:paraId="4FD369DE">
      <w:pPr>
        <w:spacing w:line="580" w:lineRule="exact"/>
        <w:ind w:firstLine="640"/>
        <w:jc w:val="both"/>
      </w:pPr>
      <w:r>
        <w:rPr>
          <w:rFonts w:ascii="仿宋_GB2312" w:hAnsi="仿宋_GB2312" w:eastAsia="仿宋_GB2312"/>
          <w:b w:val="0"/>
          <w:sz w:val="32"/>
        </w:rPr>
        <w:t>1.一般公共服务支出(类)人大事务(款)人大会议(项):支出决算数为0.20万元，比上年决算增加0.20万元，增长100.00%,主要原因是：本年度增加达布达尔乡2024年人大会议第二次会议经费。</w:t>
      </w:r>
    </w:p>
    <w:p w14:paraId="64029936">
      <w:pPr>
        <w:spacing w:line="580" w:lineRule="exact"/>
        <w:ind w:firstLine="640"/>
        <w:jc w:val="both"/>
      </w:pPr>
      <w:r>
        <w:rPr>
          <w:rFonts w:ascii="仿宋_GB2312" w:hAnsi="仿宋_GB2312" w:eastAsia="仿宋_GB2312"/>
          <w:b w:val="0"/>
          <w:sz w:val="32"/>
        </w:rPr>
        <w:t>2.一般公共服务支出(类)人大事务(款)代表工作(项):支出决算数为9.35万元，比上年决算增加0.07万元，增长0.75%,主要原因是：本年度增加2024年达布达尔乡人大联络站工作经费，达布达尔乡2024年县乡两级人大经费。</w:t>
      </w:r>
    </w:p>
    <w:p w14:paraId="0D07BDBF">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3.一般公共服务支出(类)政协事务(款)其他政协事务支出(项):支出决算数为0.40万元，比上年决算增加0.40万元，增长100.00%,主要原因是：本年度增加达布达尔乡2024年政协工作联络站经费。</w:t>
      </w:r>
    </w:p>
    <w:p w14:paraId="359BA2E8">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1,079.27万元，比上年决算减少43.49万元，下降3.87%,主要原因是：本年在职人员调入调出，人员职级不同，工资基数不同，导致人员经费较上年减少。</w:t>
      </w:r>
    </w:p>
    <w:p w14:paraId="229B697C">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21.07万元，比上年决算减少102.40万元，下降82.94%,主要原因是：减少达布达尔乡高原弥散VSA供养采购项目。</w:t>
      </w:r>
    </w:p>
    <w:p w14:paraId="55101FF9">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6.一般公共服务支出(类)纪检监察事务(款)其他纪检监察事务支出(项):支出决算数为2.00万元，比上年决算增加0.50万元，增长33.33%,主要原因是：2024年达布达尔乡办案经费较上年增加。</w:t>
      </w:r>
    </w:p>
    <w:p w14:paraId="016DB99F">
      <w:pPr>
        <w:spacing w:line="580" w:lineRule="exact"/>
        <w:ind w:firstLine="640"/>
        <w:jc w:val="both"/>
      </w:pPr>
      <w:r>
        <w:rPr>
          <w:rFonts w:ascii="仿宋_GB2312" w:hAnsi="仿宋_GB2312" w:eastAsia="仿宋_GB2312"/>
          <w:b w:val="0"/>
          <w:sz w:val="32"/>
        </w:rPr>
        <w:t>7.一般公共服务支出(类)党委办公厅（室）及相关机构事务(款)行政运行(项):支出决算数为13.71万元，比上年决算增加13.71万元，增长100.00%,主要原因是：增加2024年7月到12月行政工资调标补发经费。</w:t>
      </w:r>
    </w:p>
    <w:p w14:paraId="3607DE6C">
      <w:pPr>
        <w:spacing w:line="580" w:lineRule="exact"/>
        <w:ind w:firstLine="640"/>
        <w:jc w:val="both"/>
      </w:pPr>
      <w:r>
        <w:rPr>
          <w:rFonts w:ascii="仿宋_GB2312" w:hAnsi="仿宋_GB2312" w:eastAsia="仿宋_GB2312"/>
          <w:b w:val="0"/>
          <w:sz w:val="32"/>
        </w:rPr>
        <w:t>8.一般公共服务支出(类)党委办公厅（室）及相关机构事务(款)事业运行(项):支出决算数为3.87万元，比上年决算增加3.87万元，增长100.00%,主要原因是：增加2024年7月到12月事业工资调标补发经费。</w:t>
      </w:r>
    </w:p>
    <w:p w14:paraId="3A6EC6B4">
      <w:pPr>
        <w:spacing w:line="580" w:lineRule="exact"/>
        <w:ind w:firstLine="640"/>
        <w:jc w:val="both"/>
      </w:pPr>
      <w:r>
        <w:rPr>
          <w:rFonts w:ascii="仿宋_GB2312" w:hAnsi="仿宋_GB2312" w:eastAsia="仿宋_GB2312"/>
          <w:b w:val="0"/>
          <w:sz w:val="32"/>
        </w:rPr>
        <w:t>9.一般公共服务支出(类)组织事务(款)其他组织事务支出(项):支出决算数为0.00万元，比上年决算减少57.03万元，下降100.00%,主要原因是：科目调整，村级运转经费从其他组织事务支出科目调整至其他农林水支出科目，无此科目支出。</w:t>
      </w:r>
    </w:p>
    <w:p w14:paraId="7DD007F9">
      <w:pPr>
        <w:spacing w:line="580" w:lineRule="exact"/>
        <w:ind w:firstLine="640"/>
        <w:jc w:val="both"/>
      </w:pPr>
      <w:r>
        <w:rPr>
          <w:rFonts w:ascii="仿宋_GB2312" w:hAnsi="仿宋_GB2312" w:eastAsia="仿宋_GB2312"/>
          <w:b w:val="0"/>
          <w:sz w:val="32"/>
        </w:rPr>
        <w:t>10.一般公共服务支出(类)其他一般公共服务支出(款)其他一般公共服务支出(项):支出决算数为0.38万元，比上年决算增加0.38万元，增长100.00%,主要原因是：本年增加达布达尔乡示范村旅游市场建设项目水土补偿金。</w:t>
      </w:r>
    </w:p>
    <w:p w14:paraId="79496BC3">
      <w:pPr>
        <w:spacing w:line="580" w:lineRule="exact"/>
        <w:ind w:firstLine="640"/>
        <w:jc w:val="both"/>
      </w:pPr>
      <w:r>
        <w:rPr>
          <w:rFonts w:ascii="仿宋_GB2312" w:hAnsi="仿宋_GB2312" w:eastAsia="仿宋_GB2312"/>
          <w:b w:val="0"/>
          <w:sz w:val="32"/>
        </w:rPr>
        <w:t>11.文化旅游体育与传媒支出(类)文化和旅游(款)文化创作与保护(项):支出决算数为0.90万元，比上年决算增加0.90万元，增长100.00%,主要原因是：本年度增加文化站联络经费。</w:t>
      </w:r>
    </w:p>
    <w:p w14:paraId="5438B58C">
      <w:pPr>
        <w:spacing w:line="580" w:lineRule="exact"/>
        <w:ind w:firstLine="640"/>
        <w:jc w:val="both"/>
      </w:pPr>
      <w:r>
        <w:rPr>
          <w:rFonts w:ascii="仿宋_GB2312" w:hAnsi="仿宋_GB2312" w:eastAsia="仿宋_GB2312"/>
          <w:b w:val="0"/>
          <w:sz w:val="32"/>
        </w:rPr>
        <w:t>12.文化旅游体育与传媒支出(类)文化和旅游(款)其他文化和旅游支出(项):支出决算数为5.00万元，比上年决算减少2.50万元，下降33.33%,主要原因是：本年减少相关文化和旅游相关经费。</w:t>
      </w:r>
    </w:p>
    <w:p w14:paraId="623B0A98">
      <w:pPr>
        <w:spacing w:line="580" w:lineRule="exact"/>
        <w:ind w:firstLine="640"/>
        <w:jc w:val="both"/>
      </w:pPr>
      <w:r>
        <w:rPr>
          <w:rFonts w:ascii="仿宋_GB2312" w:hAnsi="仿宋_GB2312" w:eastAsia="仿宋_GB2312"/>
          <w:b w:val="0"/>
          <w:sz w:val="32"/>
        </w:rPr>
        <w:t>13.文化旅游体育与传媒支出(类)其他文化旅游体育与传媒支出(款)其他文化旅游体育与传媒支出(项):支出决算数为2.50万元，比上年决算增加2.50万元，增长100.00%,主要原因是：增加2024公共文化体系建设经费。</w:t>
      </w:r>
    </w:p>
    <w:p w14:paraId="0EF2757A">
      <w:pPr>
        <w:spacing w:line="580" w:lineRule="exact"/>
        <w:ind w:firstLine="640"/>
        <w:jc w:val="both"/>
      </w:pPr>
      <w:r>
        <w:rPr>
          <w:rFonts w:ascii="仿宋_GB2312" w:hAnsi="仿宋_GB2312" w:eastAsia="仿宋_GB2312"/>
          <w:b w:val="0"/>
          <w:sz w:val="32"/>
        </w:rPr>
        <w:t>14.社会保障和就业支出(类)行政事业单位养老支出(款)行政单位离退休(项):支出决算数为40.12万元，比上年决算减少9.14万元，下降18.55%,主要原因是：较上年减少退休人员补发绩效，故经费支出减少。</w:t>
      </w:r>
    </w:p>
    <w:p w14:paraId="08300BD6">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141.57万元，比上年决算增加12.86万元，增长9.99%,主要原因是：人员工资基数调增，养老缴费基数上涨，相应支出增加。</w:t>
      </w:r>
    </w:p>
    <w:p w14:paraId="31658D7C">
      <w:pPr>
        <w:spacing w:line="580" w:lineRule="exact"/>
        <w:ind w:firstLine="640"/>
        <w:jc w:val="both"/>
      </w:pPr>
      <w:r>
        <w:rPr>
          <w:rFonts w:ascii="仿宋_GB2312" w:hAnsi="仿宋_GB2312" w:eastAsia="仿宋_GB2312"/>
          <w:b w:val="0"/>
          <w:sz w:val="32"/>
        </w:rPr>
        <w:t>16.社会保障和就业支出(类)行政事业单位养老支出(款)机关事业单位职业年金缴费支出(项):支出决算数为16.02万元，比上年决算增加16.02万元，增长100.00%,主要原因是：本年新增退休人员，职业年金缴费支出增加。</w:t>
      </w:r>
    </w:p>
    <w:p w14:paraId="5F07CE36">
      <w:pPr>
        <w:spacing w:line="580" w:lineRule="exact"/>
        <w:ind w:firstLine="640"/>
        <w:jc w:val="both"/>
      </w:pPr>
      <w:r>
        <w:rPr>
          <w:rFonts w:ascii="仿宋_GB2312" w:hAnsi="仿宋_GB2312" w:eastAsia="仿宋_GB2312"/>
          <w:b w:val="0"/>
          <w:sz w:val="32"/>
        </w:rPr>
        <w:t>17.社会保障和就业支出(类)抚恤(款)死亡抚恤(项):支出决算数为8.72万元，比上年决算增加8.72万元，增长100.00%,主要原因是：本年新增</w:t>
      </w:r>
      <w:r>
        <w:rPr>
          <w:rFonts w:hint="eastAsia" w:ascii="仿宋_GB2312" w:hAnsi="仿宋_GB2312" w:eastAsia="仿宋_GB2312"/>
          <w:b w:val="0"/>
          <w:sz w:val="32"/>
          <w:lang w:val="en-US" w:eastAsia="zh-CN"/>
        </w:rPr>
        <w:t>退休</w:t>
      </w:r>
      <w:r>
        <w:rPr>
          <w:rFonts w:ascii="仿宋_GB2312" w:hAnsi="仿宋_GB2312" w:eastAsia="仿宋_GB2312"/>
          <w:b w:val="0"/>
          <w:sz w:val="32"/>
        </w:rPr>
        <w:t>死亡人员，死亡抚恤支出增加。</w:t>
      </w:r>
    </w:p>
    <w:p w14:paraId="214713F0">
      <w:pPr>
        <w:spacing w:line="580" w:lineRule="exact"/>
        <w:ind w:firstLine="640"/>
        <w:jc w:val="both"/>
      </w:pPr>
      <w:r>
        <w:rPr>
          <w:rFonts w:ascii="仿宋_GB2312" w:hAnsi="仿宋_GB2312" w:eastAsia="仿宋_GB2312"/>
          <w:b w:val="0"/>
          <w:sz w:val="32"/>
        </w:rPr>
        <w:t>18.社会保障和就业支出(类)社会福利(款)殡葬(项):支出决算数为0.00万元，比上年决算减少11.29万元，下降100.00%,主要原因是：本单位无在职人员死亡情况，减少殡葬经费。</w:t>
      </w:r>
    </w:p>
    <w:p w14:paraId="699567A6">
      <w:pPr>
        <w:spacing w:line="580" w:lineRule="exact"/>
        <w:ind w:firstLine="640"/>
        <w:jc w:val="both"/>
      </w:pPr>
      <w:r>
        <w:rPr>
          <w:rFonts w:ascii="仿宋_GB2312" w:hAnsi="仿宋_GB2312" w:eastAsia="仿宋_GB2312"/>
          <w:b w:val="0"/>
          <w:sz w:val="32"/>
        </w:rPr>
        <w:t>19.社会保障和就业支出(类)其他社会保障和就业支出(款)其他社会保障和就业支出(项):支出决算数为645.54万元，比上年决算减少487.13万元，下降43.01%,主要原因是：本年度减少达布达尔乡2024年1月到6月边民补贴。</w:t>
      </w:r>
    </w:p>
    <w:p w14:paraId="57A838C9">
      <w:pPr>
        <w:spacing w:line="580" w:lineRule="exact"/>
        <w:ind w:firstLine="640"/>
        <w:jc w:val="both"/>
      </w:pPr>
      <w:r>
        <w:rPr>
          <w:rFonts w:ascii="仿宋_GB2312" w:hAnsi="仿宋_GB2312" w:eastAsia="仿宋_GB2312"/>
          <w:b w:val="0"/>
          <w:sz w:val="32"/>
        </w:rPr>
        <w:t>20.卫生健康支出(类)行政事业单位医疗(款)行政单位医疗(项):支出决算数为67.26万元，比上年决算增加6.45万元，增长10.61%,主要原因是：本年在职人员工资基数调增，医疗缴费基数上涨，相应支出增加。</w:t>
      </w:r>
    </w:p>
    <w:p w14:paraId="52C35900">
      <w:pPr>
        <w:spacing w:line="580" w:lineRule="exact"/>
        <w:ind w:firstLine="640"/>
        <w:jc w:val="both"/>
      </w:pPr>
      <w:r>
        <w:rPr>
          <w:rFonts w:ascii="仿宋_GB2312" w:hAnsi="仿宋_GB2312" w:eastAsia="仿宋_GB2312"/>
          <w:b w:val="0"/>
          <w:sz w:val="32"/>
        </w:rPr>
        <w:t>21.卫生健康支出(类)行政事业单位医疗(款)事业单位医疗(项):支出决算数为1.07万元，比上年决算增加1.07万元，增长100.00%,主要原因是：本年功能科目调整，事业单位医疗上年度在主科目列支，本年单独列支，导致经费较上年增加。</w:t>
      </w:r>
    </w:p>
    <w:p w14:paraId="00380A50">
      <w:pPr>
        <w:spacing w:line="580" w:lineRule="exact"/>
        <w:ind w:firstLine="640"/>
        <w:jc w:val="both"/>
      </w:pPr>
      <w:r>
        <w:rPr>
          <w:rFonts w:ascii="仿宋_GB2312" w:hAnsi="仿宋_GB2312" w:eastAsia="仿宋_GB2312"/>
          <w:b w:val="0"/>
          <w:sz w:val="32"/>
        </w:rPr>
        <w:t>22.卫生健康支出(类)行政事业单位医疗(款)公务员医疗补助(项):支出决算数为14.90万元，比上年决算增加0.18万元，增长1.22%,主要原因是：本年在职人员工资基数调增，公务员医疗补助上涨，相应支出增加。</w:t>
      </w:r>
    </w:p>
    <w:p w14:paraId="4832307B">
      <w:pPr>
        <w:spacing w:line="580" w:lineRule="exact"/>
        <w:ind w:firstLine="640"/>
        <w:jc w:val="both"/>
      </w:pPr>
      <w:r>
        <w:rPr>
          <w:rFonts w:ascii="仿宋_GB2312" w:hAnsi="仿宋_GB2312" w:eastAsia="仿宋_GB2312"/>
          <w:b w:val="0"/>
          <w:sz w:val="32"/>
        </w:rPr>
        <w:t>23.城乡社区支出(类)城乡社区公共设施(款)其他城乡社区公共设施支出(项):支出决算数为0.00万元，比上年决算减少73.94万元，下降100.00%,主要原因是：减少2023年村组织活动场所建设项目。</w:t>
      </w:r>
    </w:p>
    <w:p w14:paraId="53F44397">
      <w:pPr>
        <w:spacing w:line="580" w:lineRule="exact"/>
        <w:ind w:firstLine="640"/>
        <w:jc w:val="both"/>
      </w:pPr>
      <w:r>
        <w:rPr>
          <w:rFonts w:ascii="仿宋_GB2312" w:hAnsi="仿宋_GB2312" w:eastAsia="仿宋_GB2312"/>
          <w:b w:val="0"/>
          <w:sz w:val="32"/>
        </w:rPr>
        <w:t>24.农林水支出(类)农业农村(款)事业运行(项):支出决算数为343.55万元，比上年决算增加30.66万元，增长9.80%,主要原因是：本年新增在职人员，人员经费增加，导致经费较上年有所增加。</w:t>
      </w:r>
    </w:p>
    <w:p w14:paraId="73BC4FC8">
      <w:pPr>
        <w:spacing w:line="580" w:lineRule="exact"/>
        <w:ind w:firstLine="640"/>
        <w:jc w:val="both"/>
      </w:pPr>
      <w:r>
        <w:rPr>
          <w:rFonts w:ascii="仿宋_GB2312" w:hAnsi="仿宋_GB2312" w:eastAsia="仿宋_GB2312"/>
          <w:b w:val="0"/>
          <w:sz w:val="32"/>
        </w:rPr>
        <w:t>25.农林水支出(类)林业和草原(款)森林资源培育(项):支出决算数为0.00万元，比上年决算减少19.24万元，下降100.00%,主要原因是：减少2023年中央财政林业草原生态保护恢复资金森林资源培育补助项目经费。</w:t>
      </w:r>
    </w:p>
    <w:p w14:paraId="7E16540B">
      <w:pPr>
        <w:spacing w:line="580" w:lineRule="exact"/>
        <w:ind w:firstLine="640"/>
        <w:jc w:val="both"/>
      </w:pPr>
      <w:r>
        <w:rPr>
          <w:rFonts w:ascii="仿宋_GB2312" w:hAnsi="仿宋_GB2312" w:eastAsia="仿宋_GB2312"/>
          <w:b w:val="0"/>
          <w:sz w:val="32"/>
        </w:rPr>
        <w:t>26.农林水支出(类)巩固脱贫攻坚成果衔接乡村振兴(款)农村基础设施建设(项):支出决算数为848.18万元，比上年决算增加848.18万元，增长100.00%,主要原因是：本年度增加达布达尔乡达布达尔村农村生活污水处理项目。</w:t>
      </w:r>
    </w:p>
    <w:p w14:paraId="0E19C2D7">
      <w:pPr>
        <w:spacing w:line="580" w:lineRule="exact"/>
        <w:ind w:firstLine="640"/>
        <w:jc w:val="both"/>
      </w:pPr>
      <w:r>
        <w:rPr>
          <w:rFonts w:ascii="仿宋_GB2312" w:hAnsi="仿宋_GB2312" w:eastAsia="仿宋_GB2312"/>
          <w:b w:val="0"/>
          <w:sz w:val="32"/>
        </w:rPr>
        <w:t>27.农林水支出(类)巩固脱贫攻坚成果衔接乡村振兴(款)生产发展(项):支出决算数为2,588.19万元，比上年决算增加2,177.37万元，增长530.01%,主要原因是：本年度增加达布达尔乡示范村旅游市场建设项目，达布达尔乡达布达尔村旅游发展项目，阿特加依里村污水处理2024年中央财政以工代赈项目，热斯喀木村游道建设。2024年中央财政以工代赈项目。</w:t>
      </w:r>
    </w:p>
    <w:p w14:paraId="6851490D">
      <w:pPr>
        <w:spacing w:line="580" w:lineRule="exact"/>
        <w:ind w:firstLine="640"/>
        <w:jc w:val="both"/>
      </w:pPr>
      <w:r>
        <w:rPr>
          <w:rFonts w:ascii="仿宋_GB2312" w:hAnsi="仿宋_GB2312" w:eastAsia="仿宋_GB2312"/>
          <w:b w:val="0"/>
          <w:sz w:val="32"/>
        </w:rPr>
        <w:t>28.农林水支出(类)农村综合改革(款)对村级公益事业建设的补助(项):支出决算数为0.00万元，比上年决算减少53.70万元，下降100.00%,主要原因是：本年减少达布达尔乡达布达尔村文化体育设施采购项目、达布达尔乡红其拉甫村文化体育设施采购项目、红其拉甫村民宿项目、达布达尔村商品用房建设项目等经费。</w:t>
      </w:r>
    </w:p>
    <w:p w14:paraId="74B02549">
      <w:pPr>
        <w:spacing w:line="580" w:lineRule="exact"/>
        <w:ind w:firstLine="640"/>
        <w:jc w:val="both"/>
      </w:pPr>
      <w:r>
        <w:rPr>
          <w:rFonts w:ascii="仿宋_GB2312" w:hAnsi="仿宋_GB2312" w:eastAsia="仿宋_GB2312"/>
          <w:b w:val="0"/>
          <w:sz w:val="32"/>
        </w:rPr>
        <w:t>29.农林水支出(类)农村综合改革(款)对村民委员会和村党支部的补助(项):支出决算数为0.00万元，比上年决算减少20.75万元，下降100.00%,主要原因是：本年减少达布达尔村商品用房建设项目等经费。</w:t>
      </w:r>
    </w:p>
    <w:p w14:paraId="46A9E352">
      <w:pPr>
        <w:spacing w:line="580" w:lineRule="exact"/>
        <w:ind w:firstLine="640"/>
        <w:jc w:val="both"/>
      </w:pPr>
      <w:r>
        <w:rPr>
          <w:rFonts w:ascii="仿宋_GB2312" w:hAnsi="仿宋_GB2312" w:eastAsia="仿宋_GB2312"/>
          <w:b w:val="0"/>
          <w:sz w:val="32"/>
        </w:rPr>
        <w:t>30.农林水支出(类)农村综合改革(款)其他农村综合改革支出(项):支出决算数为0.00万元，比上年决算减少60.00万元，下降100.00%,主要原因是：本年减少达布达尔乡高原弥散VSA供氧采购项目经费。</w:t>
      </w:r>
    </w:p>
    <w:p w14:paraId="294CFEA9">
      <w:pPr>
        <w:spacing w:line="580" w:lineRule="exact"/>
        <w:ind w:firstLine="640"/>
        <w:jc w:val="both"/>
      </w:pPr>
      <w:r>
        <w:rPr>
          <w:rFonts w:ascii="仿宋_GB2312" w:hAnsi="仿宋_GB2312" w:eastAsia="仿宋_GB2312"/>
          <w:b w:val="0"/>
          <w:sz w:val="32"/>
        </w:rPr>
        <w:t>31.农林水支出(类)其他农林水支出(款)其他农林水支出(项):支出决算数为72.02万元，比上年决算减少25.71万元，下降26.31%,主要原因是：本年度减少2023年第一批农村三项建设用地项目、2016年喀什地区国有垦区危房改造及配套基础设施建设项目。</w:t>
      </w:r>
    </w:p>
    <w:p w14:paraId="59F10FBF">
      <w:pPr>
        <w:spacing w:line="580" w:lineRule="exact"/>
        <w:ind w:firstLine="640"/>
        <w:jc w:val="both"/>
      </w:pPr>
      <w:r>
        <w:rPr>
          <w:rFonts w:ascii="仿宋_GB2312" w:hAnsi="仿宋_GB2312" w:eastAsia="仿宋_GB2312"/>
          <w:b w:val="0"/>
          <w:sz w:val="32"/>
        </w:rPr>
        <w:t>32.住房保障支出(类)住房改革支出(款)住房公积金(项):支出决算数为126.52万元，比上年决算增加11.38万元，增长9.88%,主要原因是：本年在职人员工资基数调增，公积金缴费基数上涨，相应支出增加。</w:t>
      </w:r>
    </w:p>
    <w:p w14:paraId="5B910C94">
      <w:pPr>
        <w:spacing w:line="580" w:lineRule="exact"/>
        <w:ind w:firstLine="640"/>
        <w:jc w:val="both"/>
      </w:pPr>
      <w:r>
        <w:rPr>
          <w:rFonts w:ascii="仿宋_GB2312" w:hAnsi="仿宋_GB2312" w:eastAsia="仿宋_GB2312"/>
          <w:b w:val="0"/>
          <w:sz w:val="32"/>
        </w:rPr>
        <w:t>33.其他支出(类)其他支出(款)其他支出(项):支出决算数为47.65万元，比上年决算增加32.07万元，增长205.84%,主要原因是：本年度增加乡镇综合治理，村级运转经费等。</w:t>
      </w:r>
    </w:p>
    <w:p w14:paraId="44D6E083">
      <w:pPr>
        <w:spacing w:line="640" w:lineRule="exact"/>
        <w:ind w:firstLine="640"/>
        <w:jc w:val="both"/>
        <w:outlineLvl w:val="2"/>
      </w:pPr>
      <w:r>
        <w:rPr>
          <w:rFonts w:ascii="黑体" w:hAnsi="黑体" w:eastAsia="黑体"/>
          <w:sz w:val="32"/>
        </w:rPr>
        <w:t>六、一般公共预算财政拨款基本支出决算情况说明</w:t>
      </w:r>
    </w:p>
    <w:p w14:paraId="5D9BB45C">
      <w:pPr>
        <w:spacing w:line="580" w:lineRule="exact"/>
        <w:ind w:firstLine="640"/>
        <w:jc w:val="both"/>
      </w:pPr>
      <w:r>
        <w:rPr>
          <w:rFonts w:ascii="仿宋_GB2312" w:hAnsi="仿宋_GB2312" w:eastAsia="仿宋_GB2312"/>
          <w:b w:val="0"/>
          <w:sz w:val="32"/>
        </w:rPr>
        <w:t>2024年度一般公共预算财政拨款基本支出1,856.57万元，其中：</w:t>
      </w:r>
      <w:r>
        <w:rPr>
          <w:rFonts w:ascii="仿宋_GB2312" w:hAnsi="仿宋_GB2312" w:eastAsia="仿宋_GB2312"/>
          <w:b/>
          <w:sz w:val="32"/>
        </w:rPr>
        <w:t>人员经费1,802.23万元，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2E642C71">
      <w:pPr>
        <w:spacing w:line="580" w:lineRule="exact"/>
        <w:ind w:firstLine="640"/>
        <w:jc w:val="both"/>
      </w:pPr>
      <w:r>
        <w:rPr>
          <w:rFonts w:ascii="仿宋_GB2312" w:hAnsi="仿宋_GB2312" w:eastAsia="仿宋_GB2312"/>
          <w:b/>
          <w:sz w:val="32"/>
        </w:rPr>
        <w:t>公用经费54.35万元，</w:t>
      </w:r>
      <w:r>
        <w:rPr>
          <w:rFonts w:ascii="仿宋_GB2312" w:hAnsi="仿宋_GB2312" w:eastAsia="仿宋_GB2312"/>
          <w:b w:val="0"/>
          <w:sz w:val="32"/>
        </w:rPr>
        <w:t>包括：办公费、水费、电费、邮电费、取暖费、差旅费、公务用车运行维护费。</w:t>
      </w:r>
    </w:p>
    <w:p w14:paraId="0D0C93CE">
      <w:pPr>
        <w:spacing w:line="640" w:lineRule="exact"/>
        <w:ind w:firstLine="640"/>
        <w:jc w:val="both"/>
        <w:outlineLvl w:val="2"/>
      </w:pPr>
      <w:r>
        <w:rPr>
          <w:rFonts w:ascii="黑体" w:hAnsi="黑体" w:eastAsia="黑体"/>
          <w:sz w:val="32"/>
        </w:rPr>
        <w:t>七、政府性基金预算财政拨款收入支出决算情况说明</w:t>
      </w:r>
    </w:p>
    <w:p w14:paraId="35EE3CD7">
      <w:pPr>
        <w:spacing w:line="580" w:lineRule="exact"/>
        <w:ind w:firstLine="640"/>
        <w:jc w:val="both"/>
      </w:pPr>
      <w:r>
        <w:rPr>
          <w:rFonts w:ascii="仿宋_GB2312" w:hAnsi="仿宋_GB2312" w:eastAsia="仿宋_GB2312"/>
          <w:b/>
          <w:sz w:val="32"/>
        </w:rPr>
        <w:t>2024年度政府性基金预算财政拨款收入总计16.00万元，</w:t>
      </w:r>
      <w:r>
        <w:rPr>
          <w:rFonts w:ascii="仿宋_GB2312" w:hAnsi="仿宋_GB2312" w:eastAsia="仿宋_GB2312"/>
          <w:b w:val="0"/>
          <w:sz w:val="32"/>
        </w:rPr>
        <w:t>其中：年初结转和结余0.00万元，本年收入16.00万元。</w:t>
      </w:r>
      <w:r>
        <w:rPr>
          <w:rFonts w:ascii="仿宋_GB2312" w:hAnsi="仿宋_GB2312" w:eastAsia="仿宋_GB2312"/>
          <w:b/>
          <w:sz w:val="32"/>
        </w:rPr>
        <w:t>政府性基金预算财政拨款支出总计16.00万元，</w:t>
      </w:r>
      <w:r>
        <w:rPr>
          <w:rFonts w:ascii="仿宋_GB2312" w:hAnsi="仿宋_GB2312" w:eastAsia="仿宋_GB2312"/>
          <w:b w:val="0"/>
          <w:sz w:val="32"/>
        </w:rPr>
        <w:t>其中：年末结转和结余0.00万元，本年支出16.00万元。</w:t>
      </w:r>
    </w:p>
    <w:p w14:paraId="3F89880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增加16.00万元，增长100.00%，主要原因是：增加达布达尔乡2024年福彩公益金支持社会组织参与基础治理项目资金。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年初预算数0.00万元，决算数16.00万元，预决算差异率100.00%，主要原因是：年中追加达布达尔乡2024年福彩公益金支持社会组织参与基础治理项目资金。</w:t>
      </w:r>
    </w:p>
    <w:p w14:paraId="63C72E9E">
      <w:pPr>
        <w:spacing w:line="580" w:lineRule="exact"/>
        <w:ind w:firstLine="640"/>
        <w:jc w:val="both"/>
      </w:pPr>
      <w:r>
        <w:rPr>
          <w:rFonts w:ascii="仿宋_GB2312" w:hAnsi="仿宋_GB2312" w:eastAsia="仿宋_GB2312"/>
          <w:b w:val="0"/>
          <w:sz w:val="32"/>
        </w:rPr>
        <w:t>政府性基金预算财政拨款支出16.00万元。</w:t>
      </w:r>
    </w:p>
    <w:p w14:paraId="4BD2C7A7">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16.00万元，比上年决算增加16.00万元，增长100.00%,主要原因是：增加达布达尔乡2024年福彩公益金支持社会组织参与基础治理项目资金。</w:t>
      </w:r>
    </w:p>
    <w:p w14:paraId="46E32E89">
      <w:pPr>
        <w:spacing w:line="640" w:lineRule="exact"/>
        <w:ind w:firstLine="640"/>
        <w:jc w:val="both"/>
        <w:outlineLvl w:val="2"/>
      </w:pPr>
      <w:r>
        <w:rPr>
          <w:rFonts w:ascii="黑体" w:hAnsi="黑体" w:eastAsia="黑体"/>
          <w:sz w:val="32"/>
        </w:rPr>
        <w:t>八、国有资本经营预算财政拨款收入支出决算情况说明</w:t>
      </w:r>
    </w:p>
    <w:p w14:paraId="0B2B358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B67226">
      <w:pPr>
        <w:spacing w:line="640" w:lineRule="exact"/>
        <w:ind w:firstLine="640"/>
        <w:jc w:val="both"/>
        <w:outlineLvl w:val="2"/>
      </w:pPr>
      <w:r>
        <w:rPr>
          <w:rFonts w:ascii="黑体" w:hAnsi="黑体" w:eastAsia="黑体"/>
          <w:sz w:val="32"/>
        </w:rPr>
        <w:t>九、财政拨款“三公”经费支出决算情况说明</w:t>
      </w:r>
    </w:p>
    <w:p w14:paraId="29DEF82A">
      <w:pPr>
        <w:spacing w:line="580" w:lineRule="exact"/>
        <w:ind w:firstLine="640"/>
        <w:jc w:val="both"/>
      </w:pPr>
      <w:r>
        <w:rPr>
          <w:rFonts w:ascii="仿宋_GB2312" w:hAnsi="仿宋_GB2312" w:eastAsia="仿宋_GB2312"/>
          <w:b/>
          <w:sz w:val="32"/>
        </w:rPr>
        <w:t>2024年度财政拨款“三公”经费支出29.13万元，</w:t>
      </w:r>
      <w:r>
        <w:rPr>
          <w:rFonts w:ascii="仿宋_GB2312" w:hAnsi="仿宋_GB2312" w:eastAsia="仿宋_GB2312"/>
          <w:b w:val="0"/>
          <w:sz w:val="32"/>
        </w:rPr>
        <w:t>比上年增加20.13万元，增长223.67%，主要原因是：本年度购置一辆车，车辆购置费及车辆保养、燃油、保险等费用增加。其中：因公出国（境）费支出0.00万元，占0.00%，比上年增加0.00万元，增长0.00%，主要原因是：2023年与2024年均未安排因公出国（境）费支出。公务用车购置及运行维护费支出29.13万元，占100.00%，比上年增加20.13万元，增长223.67%，主要原因是：本年度购置一辆车，车辆购置费及车辆保养、燃油、保险等费用增加。公务接待费支出0.00万元，占0.00%，比上年增加0.00万元，增长0.00%，主要原因是：2023年与2024年均未安排公务接待费支出。</w:t>
      </w:r>
    </w:p>
    <w:p w14:paraId="53E4518E">
      <w:pPr>
        <w:spacing w:line="580" w:lineRule="exact"/>
        <w:ind w:firstLine="640"/>
        <w:jc w:val="both"/>
      </w:pPr>
      <w:r>
        <w:rPr>
          <w:rFonts w:ascii="仿宋_GB2312" w:hAnsi="仿宋_GB2312" w:eastAsia="仿宋_GB2312"/>
          <w:b/>
          <w:sz w:val="32"/>
        </w:rPr>
        <w:t>具体情况如下：</w:t>
      </w:r>
    </w:p>
    <w:p w14:paraId="416E437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0A6E7F8">
      <w:pPr>
        <w:spacing w:line="580" w:lineRule="exact"/>
        <w:ind w:firstLine="640"/>
        <w:jc w:val="both"/>
      </w:pPr>
      <w:r>
        <w:rPr>
          <w:rFonts w:ascii="仿宋_GB2312" w:hAnsi="仿宋_GB2312" w:eastAsia="仿宋_GB2312"/>
          <w:b w:val="0"/>
          <w:sz w:val="32"/>
        </w:rPr>
        <w:t>公务用车购置及运行维护费29.13万元，其中：公务用车购置费16.53万元，公务用车运行维护费12.60万元。公务用车运行维护费开支内容包括车辆加油费、维修费、保险费。公务用车购置数1辆，公务用车保有量6辆。国有资产占用情况中固定资产车辆6辆，与公务用车保有量差异原因是：本单位固定资产车辆与公务用车保有量一致无差异。</w:t>
      </w:r>
    </w:p>
    <w:p w14:paraId="02B06A9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DDFF8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29.13万元，决算数29.13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12.60万元，决算数12.60万元，预决算差异率0.00%，主要原因是：严格按照预算执行，预决算无差异。公务接待费全年预算数0.00万元，决算数0.00万元，预决算差异率0.00%，主要原因是：本单位无公务接待费。</w:t>
      </w:r>
    </w:p>
    <w:p w14:paraId="3FD4AC40">
      <w:pPr>
        <w:spacing w:line="640" w:lineRule="exact"/>
        <w:ind w:firstLine="640"/>
        <w:jc w:val="both"/>
        <w:outlineLvl w:val="2"/>
      </w:pPr>
      <w:r>
        <w:rPr>
          <w:rFonts w:ascii="黑体" w:hAnsi="黑体" w:eastAsia="黑体"/>
          <w:sz w:val="32"/>
        </w:rPr>
        <w:t>十、其他重要事项的情况说明</w:t>
      </w:r>
    </w:p>
    <w:p w14:paraId="6121AB78">
      <w:pPr>
        <w:spacing w:line="640" w:lineRule="exact"/>
        <w:ind w:firstLine="640"/>
        <w:jc w:val="both"/>
        <w:outlineLvl w:val="3"/>
      </w:pPr>
      <w:r>
        <w:rPr>
          <w:rFonts w:ascii="楷体_GB2312" w:hAnsi="楷体_GB2312" w:eastAsia="楷体_GB2312"/>
          <w:b/>
          <w:sz w:val="32"/>
        </w:rPr>
        <w:t>（一）机关运行经费及公用经费支出情况</w:t>
      </w:r>
    </w:p>
    <w:p w14:paraId="70CD502B">
      <w:pPr>
        <w:spacing w:line="580" w:lineRule="exact"/>
        <w:ind w:firstLine="640"/>
        <w:jc w:val="both"/>
      </w:pPr>
      <w:r>
        <w:rPr>
          <w:rFonts w:ascii="仿宋_GB2312" w:hAnsi="仿宋_GB2312" w:eastAsia="仿宋_GB2312"/>
          <w:b w:val="0"/>
          <w:sz w:val="32"/>
        </w:rPr>
        <w:t>2024年度塔什库尔干塔吉克自治县达布达尔乡人民政府（行政单位和参照公务员法管理事业单位）机关运行经费支出54.35万元，比上年减少121.04万元，下降69.01%，主要原因是：</w:t>
      </w:r>
      <w:r>
        <w:rPr>
          <w:rFonts w:hint="eastAsia" w:ascii="仿宋_GB2312" w:hAnsi="仿宋_GB2312" w:eastAsia="仿宋_GB2312"/>
          <w:b w:val="0"/>
          <w:sz w:val="32"/>
          <w:lang w:val="en-US" w:eastAsia="zh-CN"/>
        </w:rPr>
        <w:t>本年</w:t>
      </w:r>
      <w:r>
        <w:rPr>
          <w:rFonts w:hint="eastAsia" w:ascii="仿宋_GB2312" w:hAnsi="仿宋_GB2312" w:eastAsia="仿宋_GB2312"/>
          <w:b w:val="0"/>
          <w:sz w:val="32"/>
        </w:rPr>
        <w:t>委托业务费</w:t>
      </w:r>
      <w:r>
        <w:rPr>
          <w:rFonts w:hint="eastAsia" w:ascii="仿宋_GB2312" w:hAnsi="仿宋_GB2312" w:eastAsia="仿宋_GB2312"/>
          <w:b w:val="0"/>
          <w:sz w:val="32"/>
          <w:lang w:val="en-US" w:eastAsia="zh-CN"/>
        </w:rPr>
        <w:t>等经费减少</w:t>
      </w:r>
      <w:r>
        <w:rPr>
          <w:rFonts w:ascii="仿宋_GB2312" w:hAnsi="仿宋_GB2312" w:eastAsia="仿宋_GB2312"/>
          <w:b w:val="0"/>
          <w:sz w:val="32"/>
        </w:rPr>
        <w:t>，机关运行经费支出</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3E5FA474">
      <w:pPr>
        <w:spacing w:line="640" w:lineRule="exact"/>
        <w:ind w:firstLine="640"/>
        <w:jc w:val="both"/>
        <w:outlineLvl w:val="3"/>
      </w:pPr>
      <w:r>
        <w:rPr>
          <w:rFonts w:ascii="楷体_GB2312" w:hAnsi="楷体_GB2312" w:eastAsia="楷体_GB2312"/>
          <w:b/>
          <w:sz w:val="32"/>
        </w:rPr>
        <w:t>（二）政府采购情况</w:t>
      </w:r>
    </w:p>
    <w:p w14:paraId="38823D6A">
      <w:pPr>
        <w:spacing w:line="580" w:lineRule="exact"/>
        <w:ind w:firstLine="640"/>
        <w:jc w:val="both"/>
      </w:pPr>
      <w:r>
        <w:rPr>
          <w:rFonts w:ascii="仿宋_GB2312" w:hAnsi="仿宋_GB2312" w:eastAsia="仿宋_GB2312"/>
          <w:b w:val="0"/>
          <w:sz w:val="32"/>
        </w:rPr>
        <w:t>2024年度政府采购支出总额167.07万元，其中：政府采购货物支出152.47万元、政府采购工程支出0.00万元、政府采购服务支出14.60万元。</w:t>
      </w:r>
    </w:p>
    <w:p w14:paraId="2BD23613">
      <w:pPr>
        <w:spacing w:line="580" w:lineRule="exact"/>
        <w:ind w:firstLine="640"/>
        <w:jc w:val="both"/>
      </w:pPr>
      <w:r>
        <w:rPr>
          <w:rFonts w:ascii="仿宋_GB2312" w:hAnsi="仿宋_GB2312" w:eastAsia="仿宋_GB2312"/>
          <w:b w:val="0"/>
          <w:sz w:val="32"/>
        </w:rPr>
        <w:t>授予中小企业合同金额165.95万元，占政府采购支出总额的99.33%，其中：授予小微企业合同金额164.49万元，占政府采购支出总额的98.46%。</w:t>
      </w:r>
    </w:p>
    <w:p w14:paraId="2940AA1A">
      <w:pPr>
        <w:spacing w:line="640" w:lineRule="exact"/>
        <w:ind w:firstLine="640"/>
        <w:jc w:val="both"/>
        <w:outlineLvl w:val="3"/>
      </w:pPr>
      <w:r>
        <w:rPr>
          <w:rFonts w:ascii="楷体_GB2312" w:hAnsi="楷体_GB2312" w:eastAsia="楷体_GB2312"/>
          <w:b/>
          <w:sz w:val="32"/>
        </w:rPr>
        <w:t>（三）国有资产占用情况说明</w:t>
      </w:r>
    </w:p>
    <w:p w14:paraId="644CF922">
      <w:pPr>
        <w:spacing w:line="580" w:lineRule="exact"/>
        <w:ind w:firstLine="640"/>
        <w:jc w:val="both"/>
      </w:pPr>
      <w:r>
        <w:rPr>
          <w:rFonts w:ascii="仿宋_GB2312" w:hAnsi="仿宋_GB2312" w:eastAsia="仿宋_GB2312"/>
          <w:b w:val="0"/>
          <w:sz w:val="32"/>
        </w:rPr>
        <w:t>截至2024年12月31日，房屋5,710.80平方米，价值1,000.16万元。车辆6辆，价值111.26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1台（套）。</w:t>
      </w:r>
    </w:p>
    <w:p w14:paraId="15387582">
      <w:pPr>
        <w:spacing w:line="640" w:lineRule="exact"/>
        <w:ind w:firstLine="640"/>
        <w:jc w:val="both"/>
        <w:outlineLvl w:val="2"/>
      </w:pPr>
      <w:r>
        <w:rPr>
          <w:rFonts w:ascii="黑体" w:hAnsi="黑体" w:eastAsia="黑体"/>
          <w:sz w:val="32"/>
        </w:rPr>
        <w:t>十一、预算绩效的情况说明</w:t>
      </w:r>
    </w:p>
    <w:p w14:paraId="63E2A1B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6,887.68万元，实际执行总额6,330.33万元；预算绩效评价项目6个，全年预算数90.57万元，全年执行数90.57万元。预算绩效管理取得的成效：一是提高了绩效工作管理水平，科学制定目标，促进了绩效目标顺利实现，二是提高了项目资金使用的绩效意识，以便项目实施完成，进行跟踪问效评价，三是对下一年此类项目预算编制提供参考。发现的问题及原因：1.预算绩效目标及绩效指标填报质量有待加强。一是绩效目标不完整。二是绩效目标不全面。三是设置的绩效指标值与目标值不匹配。四是设置的绩效指标不全面；2.预算绩效管理制度健全性不足。下一步改进措施：一是多样化数据收集方法:我们应该借助各种可行的数据收集方法来获取全面准确的信息。除了传统的</w:t>
      </w:r>
      <w:r>
        <w:rPr>
          <w:rFonts w:hint="eastAsia" w:ascii="仿宋_GB2312" w:hAnsi="仿宋_GB2312" w:eastAsia="仿宋_GB2312"/>
          <w:b w:val="0"/>
          <w:sz w:val="32"/>
          <w:lang w:eastAsia="zh-CN"/>
        </w:rPr>
        <w:t>问卷调查法</w:t>
      </w:r>
      <w:r>
        <w:rPr>
          <w:rFonts w:ascii="仿宋_GB2312" w:hAnsi="仿宋_GB2312" w:eastAsia="仿宋_GB2312"/>
          <w:b w:val="0"/>
          <w:sz w:val="32"/>
        </w:rPr>
        <w:t>，可以利用采访、观察、案例研究等方式来收集更多直观且真实的数据。这样能够增加评估结果的准确性和客观性。二是制定明确量化指标:为了更好地进行绩效自评，我们需要制定明确而有力度量化的指标，并根据项目目标确定合适的参数和权重。通过定义清晰明确具体数量目标值，并将其与实际情况做对比，在自评过程中能使通盘考虑到所有重要因素。三是引入专业第三方机构:为了避免主观判断和团队内部利益影响自评结果，可以引入独立第三方机构参与项目绩效自评。他们可以提供中立意见并通过专业方法来分析和验证项目的绩效情况。</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1BE72CE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76FDD0">
        <w:tblPrEx>
          <w:tblCellMar>
            <w:top w:w="0" w:type="dxa"/>
            <w:left w:w="108" w:type="dxa"/>
            <w:bottom w:w="0" w:type="dxa"/>
            <w:right w:w="108" w:type="dxa"/>
          </w:tblCellMar>
        </w:tblPrEx>
        <w:tc>
          <w:tcPr>
            <w:tcW w:w="8847" w:type="dxa"/>
            <w:gridSpan w:val="9"/>
            <w:vAlign w:val="center"/>
          </w:tcPr>
          <w:p w14:paraId="3465C80E">
            <w:pPr>
              <w:jc w:val="center"/>
            </w:pPr>
            <w:r>
              <w:rPr>
                <w:rFonts w:ascii="宋体" w:hAnsi="宋体" w:eastAsia="宋体"/>
                <w:sz w:val="24"/>
              </w:rPr>
              <w:t>单位整体支出绩效自评表</w:t>
            </w:r>
          </w:p>
        </w:tc>
      </w:tr>
      <w:tr w14:paraId="605E8042">
        <w:tblPrEx>
          <w:tblCellMar>
            <w:top w:w="0" w:type="dxa"/>
            <w:left w:w="108" w:type="dxa"/>
            <w:bottom w:w="0" w:type="dxa"/>
            <w:right w:w="108" w:type="dxa"/>
          </w:tblCellMar>
        </w:tblPrEx>
        <w:tc>
          <w:tcPr>
            <w:tcW w:w="8847" w:type="dxa"/>
            <w:gridSpan w:val="9"/>
            <w:vAlign w:val="center"/>
          </w:tcPr>
          <w:p w14:paraId="16A35B36">
            <w:pPr>
              <w:jc w:val="center"/>
            </w:pPr>
            <w:r>
              <w:rPr>
                <w:rFonts w:ascii="宋体" w:hAnsi="宋体" w:eastAsia="宋体"/>
                <w:sz w:val="24"/>
              </w:rPr>
              <w:t>（2024年度）</w:t>
            </w:r>
          </w:p>
        </w:tc>
      </w:tr>
      <w:tr w14:paraId="668FB0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92E1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165811">
            <w:pPr>
              <w:jc w:val="center"/>
            </w:pPr>
            <w:r>
              <w:rPr>
                <w:rFonts w:ascii="宋体" w:hAnsi="宋体" w:eastAsia="宋体"/>
                <w:sz w:val="16"/>
              </w:rPr>
              <w:t>塔什库尔干塔吉克自治县达布达尔乡人民政府</w:t>
            </w:r>
          </w:p>
        </w:tc>
      </w:tr>
      <w:tr w14:paraId="10C2B7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2FBC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3643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EC0E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A747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7B7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769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8155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2B1AF">
            <w:pPr>
              <w:jc w:val="center"/>
            </w:pPr>
            <w:r>
              <w:rPr>
                <w:rFonts w:ascii="宋体" w:hAnsi="宋体" w:eastAsia="宋体"/>
                <w:sz w:val="16"/>
              </w:rPr>
              <w:t>得分</w:t>
            </w:r>
          </w:p>
        </w:tc>
      </w:tr>
      <w:tr w14:paraId="2DD25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8BD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D346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D47BB">
            <w:pPr>
              <w:jc w:val="center"/>
            </w:pPr>
            <w:r>
              <w:rPr>
                <w:rFonts w:ascii="宋体" w:hAnsi="宋体" w:eastAsia="宋体"/>
                <w:sz w:val="16"/>
              </w:rPr>
              <w:t>1,622.38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BFB8B">
            <w:pPr>
              <w:jc w:val="center"/>
            </w:pPr>
            <w:r>
              <w:rPr>
                <w:rFonts w:ascii="宋体" w:hAnsi="宋体" w:eastAsia="宋体"/>
                <w:sz w:val="16"/>
              </w:rPr>
              <w:t>6,887.68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1346A">
            <w:pPr>
              <w:jc w:val="center"/>
            </w:pPr>
            <w:r>
              <w:rPr>
                <w:rFonts w:ascii="宋体" w:hAnsi="宋体" w:eastAsia="宋体"/>
                <w:sz w:val="16"/>
              </w:rPr>
              <w:t>6,330.33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D4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3661">
            <w:pPr>
              <w:jc w:val="center"/>
            </w:pPr>
            <w:r>
              <w:rPr>
                <w:rFonts w:ascii="宋体" w:hAnsi="宋体" w:eastAsia="宋体"/>
                <w:sz w:val="16"/>
              </w:rPr>
              <w:t>91.91%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1D83">
            <w:pPr>
              <w:jc w:val="center"/>
            </w:pPr>
            <w:r>
              <w:rPr>
                <w:rFonts w:ascii="宋体" w:hAnsi="宋体" w:eastAsia="宋体"/>
                <w:sz w:val="16"/>
              </w:rPr>
              <w:t>10</w:t>
            </w:r>
          </w:p>
        </w:tc>
      </w:tr>
      <w:tr w14:paraId="504CA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AED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3559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C3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2E6F7">
            <w:pPr>
              <w:jc w:val="center"/>
            </w:pPr>
            <w:r>
              <w:rPr>
                <w:rFonts w:ascii="宋体" w:hAnsi="宋体" w:eastAsia="宋体"/>
                <w:sz w:val="16"/>
              </w:rPr>
              <w:t>4,337.66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A7F5B">
            <w:pPr>
              <w:jc w:val="center"/>
            </w:pPr>
            <w:r>
              <w:rPr>
                <w:rFonts w:ascii="宋体" w:hAnsi="宋体" w:eastAsia="宋体"/>
                <w:sz w:val="16"/>
              </w:rPr>
              <w:t>3,993.26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21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84EE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D8E0">
            <w:pPr>
              <w:jc w:val="center"/>
            </w:pPr>
            <w:r>
              <w:rPr>
                <w:rFonts w:ascii="宋体" w:hAnsi="宋体" w:eastAsia="宋体"/>
                <w:sz w:val="16"/>
              </w:rPr>
              <w:t>—</w:t>
            </w:r>
          </w:p>
        </w:tc>
      </w:tr>
      <w:tr w14:paraId="52E77B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FC7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F0CC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C35F1">
            <w:pPr>
              <w:jc w:val="center"/>
            </w:pPr>
            <w:r>
              <w:rPr>
                <w:rFonts w:ascii="宋体" w:hAnsi="宋体" w:eastAsia="宋体"/>
                <w:sz w:val="16"/>
              </w:rPr>
              <w:t>1,622.38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8AFA1">
            <w:pPr>
              <w:jc w:val="center"/>
            </w:pPr>
            <w:r>
              <w:rPr>
                <w:rFonts w:ascii="宋体" w:hAnsi="宋体" w:eastAsia="宋体"/>
                <w:sz w:val="16"/>
              </w:rPr>
              <w:t>2,388.80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96BF0">
            <w:pPr>
              <w:jc w:val="center"/>
            </w:pPr>
            <w:r>
              <w:rPr>
                <w:rFonts w:ascii="宋体" w:hAnsi="宋体" w:eastAsia="宋体"/>
                <w:sz w:val="16"/>
              </w:rPr>
              <w:t>2,175.85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7A7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9B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7EF4">
            <w:pPr>
              <w:jc w:val="center"/>
            </w:pPr>
            <w:r>
              <w:rPr>
                <w:rFonts w:ascii="宋体" w:hAnsi="宋体" w:eastAsia="宋体"/>
                <w:sz w:val="16"/>
              </w:rPr>
              <w:t>—</w:t>
            </w:r>
          </w:p>
        </w:tc>
      </w:tr>
      <w:tr w14:paraId="02B19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7A6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E306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F03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38F73">
            <w:pPr>
              <w:jc w:val="center"/>
            </w:pPr>
            <w:r>
              <w:rPr>
                <w:rFonts w:ascii="宋体" w:hAnsi="宋体" w:eastAsia="宋体"/>
                <w:sz w:val="16"/>
              </w:rPr>
              <w:t>161.22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DDA58">
            <w:pPr>
              <w:jc w:val="center"/>
            </w:pPr>
            <w:r>
              <w:rPr>
                <w:rFonts w:ascii="宋体" w:hAnsi="宋体" w:eastAsia="宋体"/>
                <w:sz w:val="16"/>
              </w:rPr>
              <w:t>161.22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2E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1429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F583">
            <w:pPr>
              <w:jc w:val="center"/>
            </w:pPr>
            <w:r>
              <w:rPr>
                <w:rFonts w:ascii="宋体" w:hAnsi="宋体" w:eastAsia="宋体"/>
                <w:sz w:val="16"/>
              </w:rPr>
              <w:t>—</w:t>
            </w:r>
          </w:p>
        </w:tc>
      </w:tr>
      <w:tr w14:paraId="31B714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7BC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867F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82939E">
            <w:pPr>
              <w:jc w:val="center"/>
            </w:pPr>
            <w:r>
              <w:rPr>
                <w:rFonts w:ascii="宋体" w:hAnsi="宋体" w:eastAsia="宋体"/>
                <w:sz w:val="16"/>
              </w:rPr>
              <w:t>实际完成目标</w:t>
            </w:r>
          </w:p>
        </w:tc>
      </w:tr>
      <w:tr w14:paraId="7E1A8E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371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3C18BE">
            <w:pPr>
              <w:jc w:val="both"/>
            </w:pPr>
            <w:r>
              <w:rPr>
                <w:rFonts w:ascii="宋体" w:hAnsi="宋体" w:eastAsia="宋体"/>
                <w:sz w:val="16"/>
              </w:rPr>
              <w:t>2024年是全面贯彻落实党的二十大精神的关键之年，是深入实施“十四五”规划目标任务的关键一年，也是实现达布达尔乡各项事业取得新突破的重要之年，意义特殊、责任重大。全乡上下要胸怀“两个大局”、牢记“国之大者”，保持“拼”的精神、“闯”的劲头、“实”的干劲，以实际行动推动工作再上新台阶，确保不辜负组织所托、不辜负群众期盼、不辜负自己的初心。社会大局持续稳定，以铸牢中华民族共同体意识为主线，抓好边境管控、意识形态领域、防范化解重大风险、法治建设等工作，丰富、完善各项反恐</w:t>
            </w:r>
            <w:r>
              <w:rPr>
                <w:rFonts w:hint="eastAsia" w:ascii="宋体" w:hAnsi="宋体"/>
                <w:sz w:val="16"/>
                <w:lang w:eastAsia="zh-CN"/>
              </w:rPr>
              <w:t>WW</w:t>
            </w:r>
            <w:r>
              <w:rPr>
                <w:rFonts w:ascii="宋体" w:hAnsi="宋体" w:eastAsia="宋体"/>
                <w:sz w:val="16"/>
              </w:rPr>
              <w:t>工作机制，推动反恐</w:t>
            </w:r>
            <w:r>
              <w:rPr>
                <w:rFonts w:hint="eastAsia" w:ascii="宋体" w:hAnsi="宋体"/>
                <w:sz w:val="16"/>
                <w:lang w:eastAsia="zh-CN"/>
              </w:rPr>
              <w:t>WW</w:t>
            </w:r>
            <w:r>
              <w:rPr>
                <w:rFonts w:ascii="宋体" w:hAnsi="宋体" w:eastAsia="宋体"/>
                <w:sz w:val="16"/>
              </w:rPr>
              <w:t>从“管住”向“管好”转变，全力构建“大稳定、大安全”工作格局。经济发展稳中有进，2024年度预计实现农村经济净收入5281万元，</w:t>
            </w:r>
            <w:r>
              <w:rPr>
                <w:rFonts w:hint="eastAsia" w:ascii="宋体" w:hAnsi="宋体"/>
                <w:sz w:val="16"/>
                <w:lang w:eastAsia="zh-CN"/>
              </w:rPr>
              <w:t>较</w:t>
            </w:r>
            <w:r>
              <w:rPr>
                <w:rFonts w:ascii="宋体" w:hAnsi="宋体" w:eastAsia="宋体"/>
                <w:sz w:val="16"/>
              </w:rPr>
              <w:t>2023年增长10%。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3F7D7">
            <w:pPr>
              <w:jc w:val="both"/>
            </w:pPr>
            <w:r>
              <w:rPr>
                <w:rFonts w:ascii="宋体" w:hAnsi="宋体" w:eastAsia="宋体"/>
                <w:sz w:val="16"/>
              </w:rPr>
              <w:t>2024年是全面贯彻落实党的二十大精神的关键之年，是深入实施“十四五”规划目标任务的关键一年，也是实现达布达尔乡各项事业取得新突破的重要之年，意义特殊、责任重大。全乡上下胸怀“两个大局”、牢记“国之大者”，保持“拼”的精神、“闯”的劲头、“实”的干劲，以实际行动推动工作再上新台阶，确保不辜负组织所托、不辜负群众期盼、不辜负自己的初心。社会大局持续稳定，以铸牢中华民族共同体意识为主线，抓好边境管控、意识形态领域、防范化解重大风险、法治建设等工作，丰富、完善各项反恐</w:t>
            </w:r>
            <w:r>
              <w:rPr>
                <w:rFonts w:hint="eastAsia" w:ascii="宋体" w:hAnsi="宋体"/>
                <w:sz w:val="16"/>
                <w:lang w:eastAsia="zh-CN"/>
              </w:rPr>
              <w:t>WW</w:t>
            </w:r>
            <w:r>
              <w:rPr>
                <w:rFonts w:ascii="宋体" w:hAnsi="宋体" w:eastAsia="宋体"/>
                <w:sz w:val="16"/>
              </w:rPr>
              <w:t>工作机制，推动反恐</w:t>
            </w:r>
            <w:r>
              <w:rPr>
                <w:rFonts w:hint="eastAsia" w:ascii="宋体" w:hAnsi="宋体"/>
                <w:sz w:val="16"/>
                <w:lang w:eastAsia="zh-CN"/>
              </w:rPr>
              <w:t>WW</w:t>
            </w:r>
            <w:r>
              <w:rPr>
                <w:rFonts w:ascii="宋体" w:hAnsi="宋体" w:eastAsia="宋体"/>
                <w:sz w:val="16"/>
              </w:rPr>
              <w:t>从“管住”向“管好”转变，全力构建“大稳定、大安全”工作格局。经济发展稳中有进。2024年具体完成的重要工作有：实现粮食产量达到了1572.13吨，实现全年商品畜销售达到了1.3万只，新建厕所数量达到了43座，完成全乡农作物种植达到了8191亩，实现农村经济净收入达到了5737.71万元。</w:t>
            </w:r>
          </w:p>
        </w:tc>
      </w:tr>
      <w:tr w14:paraId="27F9B9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406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EF79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66C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9348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ADD2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B33D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B2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0B2C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70426">
            <w:pPr>
              <w:jc w:val="center"/>
            </w:pPr>
            <w:r>
              <w:rPr>
                <w:rFonts w:ascii="宋体" w:hAnsi="宋体" w:eastAsia="宋体"/>
                <w:sz w:val="16"/>
              </w:rPr>
              <w:t>得分</w:t>
            </w:r>
          </w:p>
        </w:tc>
      </w:tr>
      <w:tr w14:paraId="487B98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118A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19F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FCE8">
            <w:pPr>
              <w:jc w:val="center"/>
            </w:pPr>
            <w:r>
              <w:rPr>
                <w:rFonts w:ascii="宋体" w:hAnsi="宋体" w:eastAsia="宋体"/>
                <w:sz w:val="16"/>
              </w:rPr>
              <w:t>实现粮食产量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DC45">
            <w:pPr>
              <w:jc w:val="center"/>
            </w:pPr>
            <w:r>
              <w:rPr>
                <w:rFonts w:ascii="宋体" w:hAnsi="宋体" w:eastAsia="宋体"/>
                <w:sz w:val="16"/>
              </w:rPr>
              <w:t>&gt;=2223吨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18D5D">
            <w:pPr>
              <w:jc w:val="center"/>
            </w:pPr>
            <w:r>
              <w:rPr>
                <w:rFonts w:ascii="宋体" w:hAnsi="宋体" w:eastAsia="宋体"/>
                <w:sz w:val="16"/>
              </w:rPr>
              <w:t>达布达尔乡2024年工作计划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3FA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C586E">
            <w:pPr>
              <w:jc w:val="center"/>
            </w:pPr>
            <w:r>
              <w:rPr>
                <w:rFonts w:ascii="宋体" w:hAnsi="宋体" w:eastAsia="宋体"/>
                <w:sz w:val="16"/>
              </w:rPr>
              <w:t>1572.13吨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9685">
            <w:pPr>
              <w:jc w:val="center"/>
            </w:pPr>
            <w:r>
              <w:rPr>
                <w:rFonts w:ascii="宋体" w:hAnsi="宋体" w:eastAsia="宋体"/>
                <w:sz w:val="16"/>
              </w:rPr>
              <w:t>70.72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16EFB">
            <w:pPr>
              <w:jc w:val="center"/>
            </w:pPr>
            <w:r>
              <w:rPr>
                <w:rFonts w:ascii="宋体" w:hAnsi="宋体" w:eastAsia="宋体"/>
                <w:sz w:val="16"/>
              </w:rPr>
              <w:t>14.14</w:t>
            </w:r>
          </w:p>
        </w:tc>
      </w:tr>
      <w:tr w14:paraId="6E6E7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041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ABC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3B5C0">
            <w:pPr>
              <w:jc w:val="center"/>
            </w:pPr>
            <w:r>
              <w:rPr>
                <w:rFonts w:ascii="宋体" w:hAnsi="宋体" w:eastAsia="宋体"/>
                <w:sz w:val="16"/>
              </w:rPr>
              <w:t>实现全年商品畜销售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D77CF">
            <w:pPr>
              <w:jc w:val="center"/>
            </w:pPr>
            <w:r>
              <w:rPr>
                <w:rFonts w:ascii="宋体" w:hAnsi="宋体" w:eastAsia="宋体"/>
                <w:sz w:val="16"/>
              </w:rPr>
              <w:t>&gt;=1.60万只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0BB16">
            <w:pPr>
              <w:jc w:val="center"/>
            </w:pPr>
            <w:r>
              <w:rPr>
                <w:rFonts w:ascii="宋体" w:hAnsi="宋体" w:eastAsia="宋体"/>
                <w:sz w:val="16"/>
              </w:rPr>
              <w:t>达布达尔乡2024年工作计划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4A5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77FCC">
            <w:pPr>
              <w:jc w:val="center"/>
            </w:pPr>
            <w:r>
              <w:rPr>
                <w:rFonts w:ascii="宋体" w:hAnsi="宋体" w:eastAsia="宋体"/>
                <w:sz w:val="16"/>
              </w:rPr>
              <w:t>1.3万只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DD14F">
            <w:pPr>
              <w:jc w:val="center"/>
            </w:pPr>
            <w:r>
              <w:rPr>
                <w:rFonts w:ascii="宋体" w:hAnsi="宋体" w:eastAsia="宋体"/>
                <w:sz w:val="16"/>
              </w:rPr>
              <w:t>81.71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688A">
            <w:pPr>
              <w:jc w:val="center"/>
            </w:pPr>
            <w:r>
              <w:rPr>
                <w:rFonts w:ascii="宋体" w:hAnsi="宋体" w:eastAsia="宋体"/>
                <w:sz w:val="16"/>
              </w:rPr>
              <w:t>16.34</w:t>
            </w:r>
          </w:p>
        </w:tc>
      </w:tr>
      <w:tr w14:paraId="384F76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A94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EE7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6E7FD">
            <w:pPr>
              <w:jc w:val="center"/>
            </w:pPr>
            <w:r>
              <w:rPr>
                <w:rFonts w:ascii="宋体" w:hAnsi="宋体" w:eastAsia="宋体"/>
                <w:sz w:val="16"/>
              </w:rPr>
              <w:t>新建厕所数量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9EEB7">
            <w:pPr>
              <w:jc w:val="center"/>
            </w:pPr>
            <w:r>
              <w:rPr>
                <w:rFonts w:ascii="宋体" w:hAnsi="宋体" w:eastAsia="宋体"/>
                <w:sz w:val="16"/>
              </w:rPr>
              <w:t>&gt;=43座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34865">
            <w:pPr>
              <w:jc w:val="center"/>
            </w:pPr>
            <w:r>
              <w:rPr>
                <w:rFonts w:ascii="宋体" w:hAnsi="宋体" w:eastAsia="宋体"/>
                <w:sz w:val="16"/>
              </w:rPr>
              <w:t>达布达尔乡2024年工作计划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986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44111">
            <w:pPr>
              <w:jc w:val="center"/>
            </w:pPr>
            <w:r>
              <w:rPr>
                <w:rFonts w:ascii="宋体" w:hAnsi="宋体" w:eastAsia="宋体"/>
                <w:sz w:val="16"/>
              </w:rPr>
              <w:t>43座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2BA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8CCB">
            <w:pPr>
              <w:jc w:val="center"/>
            </w:pPr>
            <w:r>
              <w:rPr>
                <w:rFonts w:ascii="宋体" w:hAnsi="宋体" w:eastAsia="宋体"/>
                <w:sz w:val="16"/>
              </w:rPr>
              <w:t>20</w:t>
            </w:r>
          </w:p>
        </w:tc>
      </w:tr>
      <w:tr w14:paraId="0F6477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BB4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36E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8E96">
            <w:pPr>
              <w:jc w:val="center"/>
            </w:pPr>
            <w:r>
              <w:rPr>
                <w:rFonts w:ascii="宋体" w:hAnsi="宋体" w:eastAsia="宋体"/>
                <w:sz w:val="16"/>
              </w:rPr>
              <w:t>完成全乡农作物种植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B5D9">
            <w:pPr>
              <w:jc w:val="center"/>
            </w:pPr>
            <w:r>
              <w:rPr>
                <w:rFonts w:ascii="宋体" w:hAnsi="宋体" w:eastAsia="宋体"/>
                <w:sz w:val="16"/>
              </w:rPr>
              <w:t>&gt;=7581.20亩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F6FCE">
            <w:pPr>
              <w:jc w:val="center"/>
            </w:pPr>
            <w:r>
              <w:rPr>
                <w:rFonts w:ascii="宋体" w:hAnsi="宋体" w:eastAsia="宋体"/>
                <w:sz w:val="16"/>
              </w:rPr>
              <w:t>达布达尔乡2024年工作计划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09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5C330">
            <w:pPr>
              <w:jc w:val="center"/>
            </w:pPr>
            <w:r>
              <w:rPr>
                <w:rFonts w:ascii="宋体" w:hAnsi="宋体" w:eastAsia="宋体"/>
                <w:sz w:val="16"/>
              </w:rPr>
              <w:t>8191亩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9B11">
            <w:pPr>
              <w:jc w:val="center"/>
            </w:pPr>
            <w:r>
              <w:rPr>
                <w:rFonts w:ascii="宋体" w:hAnsi="宋体" w:eastAsia="宋体"/>
                <w:sz w:val="16"/>
              </w:rPr>
              <w:t>108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E233">
            <w:pPr>
              <w:jc w:val="center"/>
            </w:pPr>
            <w:r>
              <w:rPr>
                <w:rFonts w:ascii="宋体" w:hAnsi="宋体" w:eastAsia="宋体"/>
                <w:sz w:val="16"/>
              </w:rPr>
              <w:t>10</w:t>
            </w:r>
          </w:p>
        </w:tc>
      </w:tr>
      <w:tr w14:paraId="02EC72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5B0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902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EB4E3">
            <w:pPr>
              <w:jc w:val="center"/>
            </w:pPr>
            <w:r>
              <w:rPr>
                <w:rFonts w:ascii="宋体" w:hAnsi="宋体" w:eastAsia="宋体"/>
                <w:sz w:val="16"/>
              </w:rPr>
              <w:t>实现农村经济净收入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F8D4">
            <w:pPr>
              <w:jc w:val="center"/>
            </w:pPr>
            <w:r>
              <w:rPr>
                <w:rFonts w:ascii="宋体" w:hAnsi="宋体" w:eastAsia="宋体"/>
                <w:sz w:val="16"/>
              </w:rPr>
              <w:t>&gt;=5281万元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9BF23">
            <w:pPr>
              <w:jc w:val="center"/>
            </w:pPr>
            <w:r>
              <w:rPr>
                <w:rFonts w:ascii="宋体" w:hAnsi="宋体" w:eastAsia="宋体"/>
                <w:sz w:val="16"/>
              </w:rPr>
              <w:t>达布达尔乡2024年工作计划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12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F6A1">
            <w:pPr>
              <w:jc w:val="center"/>
            </w:pPr>
            <w:r>
              <w:rPr>
                <w:rFonts w:ascii="宋体" w:hAnsi="宋体" w:eastAsia="宋体"/>
                <w:sz w:val="16"/>
              </w:rPr>
              <w:t>5737.71万元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8DC2">
            <w:pPr>
              <w:jc w:val="center"/>
            </w:pPr>
            <w:r>
              <w:rPr>
                <w:rFonts w:ascii="宋体" w:hAnsi="宋体" w:eastAsia="宋体"/>
                <w:sz w:val="16"/>
              </w:rPr>
              <w:t>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2EE2">
            <w:pPr>
              <w:jc w:val="center"/>
            </w:pPr>
            <w:r>
              <w:rPr>
                <w:rFonts w:ascii="宋体" w:hAnsi="宋体" w:eastAsia="宋体"/>
                <w:sz w:val="16"/>
              </w:rPr>
              <w:t>20</w:t>
            </w:r>
          </w:p>
        </w:tc>
      </w:tr>
    </w:tbl>
    <w:p w14:paraId="4050C7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332453C">
        <w:tblPrEx>
          <w:tblCellMar>
            <w:top w:w="0" w:type="dxa"/>
            <w:left w:w="108" w:type="dxa"/>
            <w:bottom w:w="0" w:type="dxa"/>
            <w:right w:w="108" w:type="dxa"/>
          </w:tblCellMar>
        </w:tblPrEx>
        <w:tc>
          <w:tcPr>
            <w:tcW w:w="8848" w:type="dxa"/>
            <w:gridSpan w:val="14"/>
            <w:vAlign w:val="center"/>
          </w:tcPr>
          <w:p w14:paraId="2CFB6C31">
            <w:pPr>
              <w:jc w:val="center"/>
            </w:pPr>
            <w:r>
              <w:rPr>
                <w:rFonts w:ascii="宋体" w:hAnsi="宋体" w:eastAsia="宋体"/>
                <w:sz w:val="24"/>
              </w:rPr>
              <w:t>项目支出绩效自评表</w:t>
            </w:r>
          </w:p>
        </w:tc>
      </w:tr>
      <w:tr w14:paraId="3E129310">
        <w:tblPrEx>
          <w:tblCellMar>
            <w:top w:w="0" w:type="dxa"/>
            <w:left w:w="108" w:type="dxa"/>
            <w:bottom w:w="0" w:type="dxa"/>
            <w:right w:w="108" w:type="dxa"/>
          </w:tblCellMar>
        </w:tblPrEx>
        <w:tc>
          <w:tcPr>
            <w:tcW w:w="8848" w:type="dxa"/>
            <w:gridSpan w:val="14"/>
            <w:vAlign w:val="center"/>
          </w:tcPr>
          <w:p w14:paraId="381168C0">
            <w:pPr>
              <w:jc w:val="center"/>
            </w:pPr>
            <w:r>
              <w:rPr>
                <w:rFonts w:ascii="宋体" w:hAnsi="宋体" w:eastAsia="宋体"/>
                <w:sz w:val="24"/>
              </w:rPr>
              <w:t>(2024年度)</w:t>
            </w:r>
          </w:p>
        </w:tc>
      </w:tr>
      <w:tr w14:paraId="45E93A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B5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1BE13B">
            <w:pPr>
              <w:jc w:val="center"/>
            </w:pPr>
            <w:r>
              <w:rPr>
                <w:rFonts w:ascii="宋体" w:hAnsi="宋体" w:eastAsia="宋体"/>
                <w:sz w:val="16"/>
              </w:rPr>
              <w:t>2024年达布达尔乡文化站经费</w:t>
            </w:r>
          </w:p>
        </w:tc>
      </w:tr>
      <w:tr w14:paraId="1F356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BC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5DA08">
            <w:pPr>
              <w:jc w:val="center"/>
            </w:pPr>
            <w:r>
              <w:rPr>
                <w:rFonts w:ascii="宋体" w:hAnsi="宋体" w:eastAsia="宋体"/>
                <w:sz w:val="16"/>
              </w:rPr>
              <w:t>塔什库尔干塔吉克自治县达布达尔乡人民政府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23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A5AAF0">
            <w:pPr>
              <w:jc w:val="center"/>
            </w:pPr>
            <w:r>
              <w:rPr>
                <w:rFonts w:ascii="宋体" w:hAnsi="宋体" w:eastAsia="宋体"/>
                <w:sz w:val="16"/>
              </w:rPr>
              <w:t>塔什库尔干塔吉克自治县达布达尔乡人民政府</w:t>
            </w:r>
          </w:p>
        </w:tc>
      </w:tr>
      <w:tr w14:paraId="5AE812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9C8D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82B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62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E0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289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B5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1D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9519">
            <w:pPr>
              <w:jc w:val="center"/>
            </w:pPr>
            <w:r>
              <w:rPr>
                <w:rFonts w:ascii="宋体" w:hAnsi="宋体" w:eastAsia="宋体"/>
                <w:sz w:val="16"/>
              </w:rPr>
              <w:t>得分</w:t>
            </w:r>
          </w:p>
        </w:tc>
      </w:tr>
      <w:tr w14:paraId="183E8A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D64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FA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BE0E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A9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767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F6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CDC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20D2">
            <w:pPr>
              <w:jc w:val="center"/>
            </w:pPr>
            <w:r>
              <w:rPr>
                <w:rFonts w:ascii="宋体" w:hAnsi="宋体" w:eastAsia="宋体"/>
                <w:sz w:val="16"/>
              </w:rPr>
              <w:t>10.00分</w:t>
            </w:r>
          </w:p>
        </w:tc>
      </w:tr>
      <w:tr w14:paraId="2A079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8C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490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7E78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CB9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719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59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2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AED">
            <w:pPr>
              <w:jc w:val="center"/>
            </w:pPr>
            <w:r>
              <w:rPr>
                <w:rFonts w:ascii="宋体" w:hAnsi="宋体" w:eastAsia="宋体"/>
                <w:sz w:val="16"/>
              </w:rPr>
              <w:t>—</w:t>
            </w:r>
          </w:p>
        </w:tc>
      </w:tr>
      <w:tr w14:paraId="26429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8A4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B8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FE2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FE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C1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C63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0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CC1A">
            <w:pPr>
              <w:jc w:val="center"/>
            </w:pPr>
            <w:r>
              <w:rPr>
                <w:rFonts w:ascii="宋体" w:hAnsi="宋体" w:eastAsia="宋体"/>
                <w:sz w:val="16"/>
              </w:rPr>
              <w:t>—</w:t>
            </w:r>
          </w:p>
        </w:tc>
      </w:tr>
      <w:tr w14:paraId="1E1F6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99D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38B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4B4E2">
            <w:pPr>
              <w:jc w:val="center"/>
            </w:pPr>
            <w:r>
              <w:rPr>
                <w:rFonts w:ascii="宋体" w:hAnsi="宋体" w:eastAsia="宋体"/>
                <w:sz w:val="16"/>
              </w:rPr>
              <w:t>实际完成情况</w:t>
            </w:r>
          </w:p>
        </w:tc>
      </w:tr>
      <w:tr w14:paraId="7CAAA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4C7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DF009">
            <w:pPr>
              <w:jc w:val="both"/>
            </w:pPr>
            <w:r>
              <w:rPr>
                <w:rFonts w:ascii="宋体" w:hAnsi="宋体" w:eastAsia="宋体"/>
                <w:sz w:val="16"/>
              </w:rPr>
              <w:t>文化站经费共5万元，主要用于：我乡组织公益性群众文化活动2次，村级文化骨干辅导，设备运行维护，采购广告装饰牌、发放奖品等，计划采购办公用品，预计5万元。通过该项目的实施可为本镇农牧民开展丰富多彩、健康向上的文化活动提供了场所和阵地，有利于丰富他们的精神文化生活，营造良好文化氛围，使受益群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4F6CB">
            <w:pPr>
              <w:jc w:val="both"/>
            </w:pPr>
            <w:r>
              <w:rPr>
                <w:rFonts w:hint="eastAsia" w:ascii="宋体" w:hAnsi="宋体"/>
                <w:sz w:val="16"/>
                <w:lang w:eastAsia="zh-CN"/>
              </w:rPr>
              <w:t>截至</w:t>
            </w:r>
            <w:r>
              <w:rPr>
                <w:rFonts w:ascii="宋体" w:hAnsi="宋体" w:eastAsia="宋体"/>
                <w:sz w:val="16"/>
              </w:rPr>
              <w:t>2024年6月13日，该项目资金严格按照项目资金管理办法执行全额拨付5万元。用于达布达尔乡新时代文明实践所门窗翻新装修。通过该项目的实施可为本乡农牧民开展丰富多彩、健康向上的文化活动提供了更好的场所和阵地，有利于丰富他们的精神文化生活，营造良好文化氛围，使受益群众满意度达到95%。</w:t>
            </w:r>
          </w:p>
        </w:tc>
      </w:tr>
      <w:tr w14:paraId="303ACC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80AB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80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9F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16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27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98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9A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34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D4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4A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12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C8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4DC3">
            <w:pPr>
              <w:jc w:val="center"/>
            </w:pPr>
            <w:r>
              <w:rPr>
                <w:rFonts w:ascii="宋体" w:hAnsi="宋体" w:eastAsia="宋体"/>
                <w:sz w:val="16"/>
              </w:rPr>
              <w:t>偏差原因分析及改进措施</w:t>
            </w:r>
          </w:p>
        </w:tc>
      </w:tr>
      <w:tr w14:paraId="12AB1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570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58E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1B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4C90">
            <w:pPr>
              <w:jc w:val="center"/>
            </w:pPr>
            <w:r>
              <w:rPr>
                <w:rFonts w:ascii="宋体" w:hAnsi="宋体" w:eastAsia="宋体"/>
                <w:sz w:val="16"/>
              </w:rPr>
              <w:t>举办文化活动次数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BF4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F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5F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57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1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8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5FE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C5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FFDB9">
            <w:pPr>
              <w:jc w:val="center"/>
            </w:pPr>
          </w:p>
        </w:tc>
      </w:tr>
      <w:tr w14:paraId="5FBB3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0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2D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25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D337">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9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6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B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C0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7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68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D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06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C4B9">
            <w:pPr>
              <w:jc w:val="center"/>
            </w:pPr>
          </w:p>
        </w:tc>
      </w:tr>
      <w:tr w14:paraId="2B1C5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8D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07B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F03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532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3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8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8F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A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B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4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F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9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D9F51">
            <w:pPr>
              <w:jc w:val="center"/>
            </w:pPr>
          </w:p>
        </w:tc>
      </w:tr>
      <w:tr w14:paraId="65F06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0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02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F6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C40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0C7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3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6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4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C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A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0199">
            <w:pPr>
              <w:jc w:val="center"/>
            </w:pPr>
            <w:r>
              <w:rPr>
                <w:rFonts w:ascii="宋体" w:hAnsi="宋体" w:eastAsia="宋体"/>
                <w:sz w:val="16"/>
              </w:rPr>
              <w:t>2024年6月13日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FA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95BCF">
            <w:pPr>
              <w:jc w:val="center"/>
            </w:pPr>
          </w:p>
        </w:tc>
      </w:tr>
      <w:tr w14:paraId="14FC0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7E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280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D30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57F5">
            <w:pPr>
              <w:jc w:val="center"/>
            </w:pPr>
            <w:r>
              <w:rPr>
                <w:rFonts w:ascii="宋体" w:hAnsi="宋体" w:eastAsia="宋体"/>
                <w:sz w:val="16"/>
              </w:rPr>
              <w:t>活动发放奖品费用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1E3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B9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AC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40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0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FE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090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8B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DB3E">
            <w:pPr>
              <w:jc w:val="center"/>
            </w:pPr>
          </w:p>
        </w:tc>
      </w:tr>
      <w:tr w14:paraId="429AA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EF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65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2A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2B6F">
            <w:pPr>
              <w:jc w:val="center"/>
            </w:pPr>
            <w:r>
              <w:rPr>
                <w:rFonts w:ascii="宋体" w:hAnsi="宋体" w:eastAsia="宋体"/>
                <w:sz w:val="16"/>
              </w:rPr>
              <w:t>采购广告装饰牌费用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C7D3">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01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6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F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1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3D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5500">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74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345A">
            <w:pPr>
              <w:jc w:val="center"/>
            </w:pPr>
          </w:p>
        </w:tc>
      </w:tr>
      <w:tr w14:paraId="403BB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30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02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1D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45FB">
            <w:pPr>
              <w:jc w:val="center"/>
            </w:pPr>
            <w:r>
              <w:rPr>
                <w:rFonts w:ascii="宋体" w:hAnsi="宋体" w:eastAsia="宋体"/>
                <w:sz w:val="16"/>
              </w:rPr>
              <w:t>采购办公用品费用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57A6">
            <w:pPr>
              <w:jc w:val="center"/>
            </w:pPr>
            <w:r>
              <w:rPr>
                <w:rFonts w:ascii="宋体" w:hAnsi="宋体" w:eastAsia="宋体"/>
                <w:sz w:val="16"/>
              </w:rPr>
              <w:t>&lt;=1.5万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BB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FE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35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9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7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BD2A">
            <w:pPr>
              <w:jc w:val="center"/>
            </w:pPr>
            <w:r>
              <w:rPr>
                <w:rFonts w:ascii="宋体" w:hAnsi="宋体" w:eastAsia="宋体"/>
                <w:sz w:val="16"/>
              </w:rPr>
              <w:t>=1.5万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B3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815DB">
            <w:pPr>
              <w:jc w:val="center"/>
            </w:pPr>
          </w:p>
        </w:tc>
      </w:tr>
      <w:tr w14:paraId="4A5DF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5C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FB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D2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6FA5">
            <w:pPr>
              <w:jc w:val="center"/>
            </w:pPr>
            <w:r>
              <w:rPr>
                <w:rFonts w:ascii="宋体" w:hAnsi="宋体" w:eastAsia="宋体"/>
                <w:sz w:val="16"/>
              </w:rPr>
              <w:t>提升乡村文化振兴氛围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B6E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3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D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9C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43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1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E14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D8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8FD52">
            <w:pPr>
              <w:jc w:val="center"/>
            </w:pPr>
          </w:p>
        </w:tc>
      </w:tr>
      <w:tr w14:paraId="3FF82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FF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46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72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D2FB">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2C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9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9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3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6E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2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33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3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0DC74">
            <w:pPr>
              <w:jc w:val="center"/>
            </w:pPr>
          </w:p>
        </w:tc>
      </w:tr>
      <w:tr w14:paraId="6EE6C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419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BD5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63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5B5463">
            <w:pPr>
              <w:jc w:val="center"/>
            </w:pPr>
            <w:r>
              <w:rPr>
                <w:rFonts w:ascii="宋体" w:hAnsi="宋体" w:eastAsia="宋体"/>
                <w:sz w:val="16"/>
              </w:rPr>
              <w:t>100分</w:t>
            </w:r>
          </w:p>
        </w:tc>
      </w:tr>
    </w:tbl>
    <w:p w14:paraId="556B9E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42D69B">
        <w:tblPrEx>
          <w:tblCellMar>
            <w:top w:w="0" w:type="dxa"/>
            <w:left w:w="108" w:type="dxa"/>
            <w:bottom w:w="0" w:type="dxa"/>
            <w:right w:w="108" w:type="dxa"/>
          </w:tblCellMar>
        </w:tblPrEx>
        <w:tc>
          <w:tcPr>
            <w:tcW w:w="8848" w:type="dxa"/>
            <w:gridSpan w:val="14"/>
            <w:vAlign w:val="center"/>
          </w:tcPr>
          <w:p w14:paraId="0365065E">
            <w:pPr>
              <w:jc w:val="center"/>
            </w:pPr>
            <w:r>
              <w:rPr>
                <w:rFonts w:ascii="宋体" w:hAnsi="宋体" w:eastAsia="宋体"/>
                <w:sz w:val="24"/>
              </w:rPr>
              <w:t>项目支出绩效自评表</w:t>
            </w:r>
          </w:p>
        </w:tc>
      </w:tr>
      <w:tr w14:paraId="4EF5DF4D">
        <w:tblPrEx>
          <w:tblCellMar>
            <w:top w:w="0" w:type="dxa"/>
            <w:left w:w="108" w:type="dxa"/>
            <w:bottom w:w="0" w:type="dxa"/>
            <w:right w:w="108" w:type="dxa"/>
          </w:tblCellMar>
        </w:tblPrEx>
        <w:tc>
          <w:tcPr>
            <w:tcW w:w="8848" w:type="dxa"/>
            <w:gridSpan w:val="14"/>
            <w:vAlign w:val="center"/>
          </w:tcPr>
          <w:p w14:paraId="13A0ABFB">
            <w:pPr>
              <w:jc w:val="center"/>
            </w:pPr>
            <w:r>
              <w:rPr>
                <w:rFonts w:ascii="宋体" w:hAnsi="宋体" w:eastAsia="宋体"/>
                <w:sz w:val="24"/>
              </w:rPr>
              <w:t>(2024年度)</w:t>
            </w:r>
          </w:p>
        </w:tc>
      </w:tr>
      <w:tr w14:paraId="456B45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A5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3C6590">
            <w:pPr>
              <w:jc w:val="center"/>
            </w:pPr>
            <w:r>
              <w:rPr>
                <w:rFonts w:ascii="宋体" w:hAnsi="宋体" w:eastAsia="宋体"/>
                <w:sz w:val="16"/>
              </w:rPr>
              <w:t>2024年达布达尔乡第十七届第四次会议乡级</w:t>
            </w:r>
            <w:r>
              <w:rPr>
                <w:rFonts w:hint="eastAsia" w:ascii="宋体" w:hAnsi="宋体"/>
                <w:sz w:val="16"/>
                <w:lang w:eastAsia="zh-CN"/>
              </w:rPr>
              <w:t>人大</w:t>
            </w:r>
            <w:r>
              <w:rPr>
                <w:rFonts w:ascii="宋体" w:hAnsi="宋体" w:eastAsia="宋体"/>
                <w:sz w:val="16"/>
              </w:rPr>
              <w:t>经费使用项目</w:t>
            </w:r>
          </w:p>
        </w:tc>
      </w:tr>
      <w:tr w14:paraId="0EE367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D0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B07EF">
            <w:pPr>
              <w:jc w:val="center"/>
            </w:pPr>
            <w:r>
              <w:rPr>
                <w:rFonts w:ascii="宋体" w:hAnsi="宋体" w:eastAsia="宋体"/>
                <w:sz w:val="16"/>
              </w:rPr>
              <w:t>塔什库尔干塔吉克自治县达布达尔乡人民政府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A5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AA6A0">
            <w:pPr>
              <w:jc w:val="center"/>
            </w:pPr>
            <w:r>
              <w:rPr>
                <w:rFonts w:ascii="宋体" w:hAnsi="宋体" w:eastAsia="宋体"/>
                <w:sz w:val="16"/>
              </w:rPr>
              <w:t>塔什库尔干塔吉克自治县达布达尔乡人民政府</w:t>
            </w:r>
          </w:p>
        </w:tc>
      </w:tr>
      <w:tr w14:paraId="53B05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CA6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63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87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B0F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1E7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78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47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2738">
            <w:pPr>
              <w:jc w:val="center"/>
            </w:pPr>
            <w:r>
              <w:rPr>
                <w:rFonts w:ascii="宋体" w:hAnsi="宋体" w:eastAsia="宋体"/>
                <w:sz w:val="16"/>
              </w:rPr>
              <w:t>得分</w:t>
            </w:r>
          </w:p>
        </w:tc>
      </w:tr>
      <w:tr w14:paraId="73CE8B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29B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708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940D">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980A2">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5090">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369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BC2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3728">
            <w:pPr>
              <w:jc w:val="center"/>
            </w:pPr>
            <w:r>
              <w:rPr>
                <w:rFonts w:ascii="宋体" w:hAnsi="宋体" w:eastAsia="宋体"/>
                <w:sz w:val="16"/>
              </w:rPr>
              <w:t>10.00分</w:t>
            </w:r>
          </w:p>
        </w:tc>
      </w:tr>
      <w:tr w14:paraId="40984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F4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CE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56E4B">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8AEE">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1B92">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D07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D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A468">
            <w:pPr>
              <w:jc w:val="center"/>
            </w:pPr>
            <w:r>
              <w:rPr>
                <w:rFonts w:ascii="宋体" w:hAnsi="宋体" w:eastAsia="宋体"/>
                <w:sz w:val="16"/>
              </w:rPr>
              <w:t>—</w:t>
            </w:r>
          </w:p>
        </w:tc>
      </w:tr>
      <w:tr w14:paraId="51648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6F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C2F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6C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1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9D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442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D5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11BA">
            <w:pPr>
              <w:jc w:val="center"/>
            </w:pPr>
            <w:r>
              <w:rPr>
                <w:rFonts w:ascii="宋体" w:hAnsi="宋体" w:eastAsia="宋体"/>
                <w:sz w:val="16"/>
              </w:rPr>
              <w:t>—</w:t>
            </w:r>
          </w:p>
        </w:tc>
      </w:tr>
      <w:tr w14:paraId="5AED02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891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513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2A1D46">
            <w:pPr>
              <w:jc w:val="center"/>
            </w:pPr>
            <w:r>
              <w:rPr>
                <w:rFonts w:ascii="宋体" w:hAnsi="宋体" w:eastAsia="宋体"/>
                <w:sz w:val="16"/>
              </w:rPr>
              <w:t>实际完成情况</w:t>
            </w:r>
          </w:p>
        </w:tc>
      </w:tr>
      <w:tr w14:paraId="37BF3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6F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1BB42">
            <w:pPr>
              <w:jc w:val="both"/>
            </w:pPr>
            <w:r>
              <w:rPr>
                <w:rFonts w:ascii="宋体" w:hAnsi="宋体" w:eastAsia="宋体"/>
                <w:sz w:val="16"/>
              </w:rPr>
              <w:t>为加强和规范自治区财政拨付塔什库尔干塔吉克自治县乡两级人大代表会议经费管理，支持和保障代表依法执行代表职务，充分发挥代表作用，根据《中华人民共和国全国人民代表大会和地方各级人民代表大会代表法</w:t>
            </w:r>
            <w:r>
              <w:rPr>
                <w:rFonts w:hint="eastAsia" w:ascii="宋体" w:hAnsi="宋体"/>
                <w:sz w:val="16"/>
                <w:lang w:eastAsia="zh-CN"/>
              </w:rPr>
              <w:t>》《</w:t>
            </w:r>
            <w:r>
              <w:rPr>
                <w:rFonts w:ascii="宋体" w:hAnsi="宋体" w:eastAsia="宋体"/>
                <w:sz w:val="16"/>
              </w:rPr>
              <w:t>党政机关厉行节约反对浪费条例</w:t>
            </w:r>
            <w:r>
              <w:rPr>
                <w:rFonts w:hint="eastAsia" w:ascii="宋体" w:hAnsi="宋体"/>
                <w:sz w:val="16"/>
                <w:lang w:eastAsia="zh-CN"/>
              </w:rPr>
              <w:t>》《</w:t>
            </w:r>
            <w:r>
              <w:rPr>
                <w:rFonts w:ascii="宋体" w:hAnsi="宋体" w:eastAsia="宋体"/>
                <w:sz w:val="16"/>
              </w:rPr>
              <w:t>自治区人大代表会议经费管理使用办法》等相关规定，结合我乡实际，特制订“达布达尔乡人大代表会议经费实施方案”，具体如下：达布达尔乡人大代表会议经费共11490元，本次支出总计11490元，主要用于：我乡级人大代表在参加达布达尔乡第十七届人大代表第四次会议的补助，具体是农民代表误工补助和交通补贴共计4520元（其中：交通补贴1400元、误工补贴26人共计3120元），材料费共2050元，参会人员伙食费4920元，用于人大代表会议经费。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D0F371">
            <w:pPr>
              <w:jc w:val="both"/>
            </w:pPr>
            <w:r>
              <w:rPr>
                <w:rFonts w:ascii="宋体" w:hAnsi="宋体" w:eastAsia="宋体"/>
                <w:sz w:val="16"/>
              </w:rPr>
              <w:t>达布达尔乡人大代表会议经费共11490元，本次支出总计11490元，主要用于：我乡级人大代表在参加达布达尔乡第十七届人大代表第四次会议的补助，具体是农民代表误工补助和交通补贴共计4520元（其中：交通补贴1400元、误工补贴26人共计3120元），材料费共2050元，参会人员伙食费4920元，使受益群众满意度达到100%。</w:t>
            </w:r>
          </w:p>
        </w:tc>
      </w:tr>
      <w:tr w14:paraId="2F0058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1BFE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F7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BA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F7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98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FB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BD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02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EA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B2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9FF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F4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E96C">
            <w:pPr>
              <w:jc w:val="center"/>
            </w:pPr>
            <w:r>
              <w:rPr>
                <w:rFonts w:ascii="宋体" w:hAnsi="宋体" w:eastAsia="宋体"/>
                <w:sz w:val="16"/>
              </w:rPr>
              <w:t>偏差原因分析及改进措施</w:t>
            </w:r>
          </w:p>
        </w:tc>
      </w:tr>
      <w:tr w14:paraId="6F782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11A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673D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78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76A6">
            <w:pPr>
              <w:jc w:val="center"/>
            </w:pPr>
            <w:r>
              <w:rPr>
                <w:rFonts w:ascii="宋体" w:hAnsi="宋体" w:eastAsia="宋体"/>
                <w:sz w:val="16"/>
              </w:rPr>
              <w:t>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513F">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1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FE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D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F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13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D0F3">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13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1C93">
            <w:pPr>
              <w:jc w:val="center"/>
            </w:pPr>
          </w:p>
        </w:tc>
      </w:tr>
      <w:tr w14:paraId="7C9A4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D2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4F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EE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2C5C">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6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0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70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0F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F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004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0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9BA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5D9B">
            <w:pPr>
              <w:jc w:val="center"/>
            </w:pPr>
          </w:p>
        </w:tc>
      </w:tr>
      <w:tr w14:paraId="6B84F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62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5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62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A1B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8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0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11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28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8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886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3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7A3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01B9">
            <w:pPr>
              <w:jc w:val="center"/>
            </w:pPr>
          </w:p>
        </w:tc>
      </w:tr>
      <w:tr w14:paraId="53356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6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D0B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7D8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A2FF">
            <w:pPr>
              <w:jc w:val="center"/>
            </w:pPr>
            <w:r>
              <w:rPr>
                <w:rFonts w:ascii="宋体" w:hAnsi="宋体" w:eastAsia="宋体"/>
                <w:sz w:val="16"/>
              </w:rPr>
              <w:t>农牧民代表误工补贴及交通补助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0770">
            <w:pPr>
              <w:jc w:val="center"/>
            </w:pPr>
            <w:r>
              <w:rPr>
                <w:rFonts w:ascii="宋体" w:hAnsi="宋体" w:eastAsia="宋体"/>
                <w:sz w:val="16"/>
              </w:rPr>
              <w:t>&lt;=4520元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8D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D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A6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2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E5F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02C6">
            <w:pPr>
              <w:jc w:val="center"/>
            </w:pPr>
            <w:r>
              <w:rPr>
                <w:rFonts w:ascii="宋体" w:hAnsi="宋体" w:eastAsia="宋体"/>
                <w:sz w:val="16"/>
              </w:rPr>
              <w:t>=4520元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77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2050">
            <w:pPr>
              <w:jc w:val="center"/>
            </w:pPr>
          </w:p>
        </w:tc>
      </w:tr>
      <w:tr w14:paraId="2AA90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83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41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00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391E">
            <w:pPr>
              <w:jc w:val="center"/>
            </w:pPr>
            <w:r>
              <w:rPr>
                <w:rFonts w:ascii="宋体" w:hAnsi="宋体" w:eastAsia="宋体"/>
                <w:sz w:val="16"/>
              </w:rPr>
              <w:t>代表伙食补助（元）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4599">
            <w:pPr>
              <w:jc w:val="center"/>
            </w:pPr>
            <w:r>
              <w:rPr>
                <w:rFonts w:ascii="宋体" w:hAnsi="宋体" w:eastAsia="宋体"/>
                <w:sz w:val="16"/>
              </w:rPr>
              <w:t>&lt;=4920元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26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DB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E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F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EAF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F0FA">
            <w:pPr>
              <w:jc w:val="center"/>
            </w:pPr>
            <w:r>
              <w:rPr>
                <w:rFonts w:ascii="宋体" w:hAnsi="宋体" w:eastAsia="宋体"/>
                <w:sz w:val="16"/>
              </w:rPr>
              <w:t>=4920元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23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4C576">
            <w:pPr>
              <w:jc w:val="center"/>
            </w:pPr>
          </w:p>
        </w:tc>
      </w:tr>
      <w:tr w14:paraId="1A4BD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1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F1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FA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8AD8">
            <w:pPr>
              <w:jc w:val="center"/>
            </w:pPr>
            <w:r>
              <w:rPr>
                <w:rFonts w:ascii="宋体" w:hAnsi="宋体" w:eastAsia="宋体"/>
                <w:sz w:val="16"/>
              </w:rPr>
              <w:t>会议材料费（元）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BA68">
            <w:pPr>
              <w:jc w:val="center"/>
            </w:pPr>
            <w:r>
              <w:rPr>
                <w:rFonts w:ascii="宋体" w:hAnsi="宋体" w:eastAsia="宋体"/>
                <w:sz w:val="16"/>
              </w:rPr>
              <w:t>&lt;=2050元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75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F4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9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B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98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1251">
            <w:pPr>
              <w:jc w:val="center"/>
            </w:pPr>
            <w:r>
              <w:rPr>
                <w:rFonts w:ascii="宋体" w:hAnsi="宋体" w:eastAsia="宋体"/>
                <w:sz w:val="16"/>
              </w:rPr>
              <w:t>=2050元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AF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6EF5F">
            <w:pPr>
              <w:jc w:val="center"/>
            </w:pPr>
          </w:p>
        </w:tc>
      </w:tr>
      <w:tr w14:paraId="6380F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97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EE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88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EDAF">
            <w:pPr>
              <w:jc w:val="center"/>
            </w:pPr>
            <w:r>
              <w:rPr>
                <w:rFonts w:ascii="宋体" w:hAnsi="宋体" w:eastAsia="宋体"/>
                <w:sz w:val="16"/>
              </w:rPr>
              <w:t>保障代表履行职务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51C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28A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5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66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40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7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64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EE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82DF9">
            <w:pPr>
              <w:jc w:val="center"/>
            </w:pPr>
          </w:p>
        </w:tc>
      </w:tr>
      <w:tr w14:paraId="317E3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D0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8B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16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8EE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C5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F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6A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9D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F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4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C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240C">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2EB32">
            <w:pPr>
              <w:jc w:val="center"/>
            </w:pPr>
            <w:r>
              <w:rPr>
                <w:rFonts w:ascii="宋体" w:hAnsi="宋体" w:eastAsia="宋体"/>
                <w:sz w:val="16"/>
              </w:rPr>
              <w:t>项目完成情况较好，实际受益群体满意度较高，所以指标出现正偏差</w:t>
            </w:r>
          </w:p>
        </w:tc>
      </w:tr>
      <w:tr w14:paraId="69080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C7D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71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AFD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B2EC8">
            <w:pPr>
              <w:jc w:val="center"/>
            </w:pPr>
            <w:r>
              <w:rPr>
                <w:rFonts w:ascii="宋体" w:hAnsi="宋体" w:eastAsia="宋体"/>
                <w:sz w:val="16"/>
              </w:rPr>
              <w:t>99.5分</w:t>
            </w:r>
          </w:p>
        </w:tc>
      </w:tr>
    </w:tbl>
    <w:p w14:paraId="6F6817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4439E74">
        <w:tc>
          <w:tcPr>
            <w:tcW w:w="8848" w:type="dxa"/>
            <w:gridSpan w:val="14"/>
            <w:vAlign w:val="center"/>
          </w:tcPr>
          <w:p w14:paraId="31614B2B">
            <w:pPr>
              <w:jc w:val="center"/>
            </w:pPr>
            <w:r>
              <w:rPr>
                <w:rFonts w:ascii="宋体" w:hAnsi="宋体" w:eastAsia="宋体"/>
                <w:sz w:val="24"/>
              </w:rPr>
              <w:t>项目支出绩效自评表</w:t>
            </w:r>
          </w:p>
        </w:tc>
      </w:tr>
      <w:tr w14:paraId="59CAE7E5">
        <w:tblPrEx>
          <w:tblCellMar>
            <w:top w:w="0" w:type="dxa"/>
            <w:left w:w="108" w:type="dxa"/>
            <w:bottom w:w="0" w:type="dxa"/>
            <w:right w:w="108" w:type="dxa"/>
          </w:tblCellMar>
        </w:tblPrEx>
        <w:tc>
          <w:tcPr>
            <w:tcW w:w="8848" w:type="dxa"/>
            <w:gridSpan w:val="14"/>
            <w:vAlign w:val="center"/>
          </w:tcPr>
          <w:p w14:paraId="02540DE5">
            <w:pPr>
              <w:jc w:val="center"/>
            </w:pPr>
            <w:r>
              <w:rPr>
                <w:rFonts w:ascii="宋体" w:hAnsi="宋体" w:eastAsia="宋体"/>
                <w:sz w:val="24"/>
              </w:rPr>
              <w:t>(2024年度)</w:t>
            </w:r>
          </w:p>
        </w:tc>
      </w:tr>
      <w:tr w14:paraId="2A4460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FD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89330">
            <w:pPr>
              <w:jc w:val="center"/>
            </w:pPr>
            <w:r>
              <w:rPr>
                <w:rFonts w:ascii="宋体" w:hAnsi="宋体" w:eastAsia="宋体"/>
                <w:sz w:val="16"/>
              </w:rPr>
              <w:t>达布达尔乡2024年县乡两级人大代表活动经费</w:t>
            </w:r>
          </w:p>
        </w:tc>
      </w:tr>
      <w:tr w14:paraId="28AD3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C2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64991">
            <w:pPr>
              <w:jc w:val="center"/>
            </w:pPr>
            <w:r>
              <w:rPr>
                <w:rFonts w:ascii="宋体" w:hAnsi="宋体" w:eastAsia="宋体"/>
                <w:sz w:val="16"/>
              </w:rPr>
              <w:t>塔什库尔干塔吉克自治县达布达尔乡人民政府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66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4BD6A9">
            <w:pPr>
              <w:jc w:val="center"/>
            </w:pPr>
            <w:r>
              <w:rPr>
                <w:rFonts w:ascii="宋体" w:hAnsi="宋体" w:eastAsia="宋体"/>
                <w:sz w:val="16"/>
              </w:rPr>
              <w:t>塔什库尔干塔吉克自治县达布达尔乡人民政府</w:t>
            </w:r>
          </w:p>
        </w:tc>
      </w:tr>
      <w:tr w14:paraId="7FCD12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887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497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8A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3E0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EE0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48F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899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0C1D">
            <w:pPr>
              <w:jc w:val="center"/>
            </w:pPr>
            <w:r>
              <w:rPr>
                <w:rFonts w:ascii="宋体" w:hAnsi="宋体" w:eastAsia="宋体"/>
                <w:sz w:val="16"/>
              </w:rPr>
              <w:t>得分</w:t>
            </w:r>
          </w:p>
        </w:tc>
      </w:tr>
      <w:tr w14:paraId="02FA28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3BD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4C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CC7D0">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EEA2">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5E43">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4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97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F563">
            <w:pPr>
              <w:jc w:val="center"/>
            </w:pPr>
            <w:r>
              <w:rPr>
                <w:rFonts w:ascii="宋体" w:hAnsi="宋体" w:eastAsia="宋体"/>
                <w:sz w:val="16"/>
              </w:rPr>
              <w:t>10.00分</w:t>
            </w:r>
          </w:p>
        </w:tc>
      </w:tr>
      <w:tr w14:paraId="64BCD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D0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521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5D30">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66E4E">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4ECA3">
            <w:pPr>
              <w:jc w:val="center"/>
            </w:pPr>
            <w:r>
              <w:rPr>
                <w:rFonts w:ascii="宋体" w:hAnsi="宋体" w:eastAsia="宋体"/>
                <w:sz w:val="16"/>
              </w:rPr>
              <w:t>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50E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56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5A92">
            <w:pPr>
              <w:jc w:val="center"/>
            </w:pPr>
            <w:r>
              <w:rPr>
                <w:rFonts w:ascii="宋体" w:hAnsi="宋体" w:eastAsia="宋体"/>
                <w:sz w:val="16"/>
              </w:rPr>
              <w:t>—</w:t>
            </w:r>
          </w:p>
        </w:tc>
      </w:tr>
      <w:tr w14:paraId="7ED47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15B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50C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0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4ED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6D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C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E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3AB2">
            <w:pPr>
              <w:jc w:val="center"/>
            </w:pPr>
            <w:r>
              <w:rPr>
                <w:rFonts w:ascii="宋体" w:hAnsi="宋体" w:eastAsia="宋体"/>
                <w:sz w:val="16"/>
              </w:rPr>
              <w:t>—</w:t>
            </w:r>
          </w:p>
        </w:tc>
      </w:tr>
      <w:tr w14:paraId="156C34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9D0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5D4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F436B9">
            <w:pPr>
              <w:jc w:val="center"/>
            </w:pPr>
            <w:r>
              <w:rPr>
                <w:rFonts w:ascii="宋体" w:hAnsi="宋体" w:eastAsia="宋体"/>
                <w:sz w:val="16"/>
              </w:rPr>
              <w:t>实际完成情况</w:t>
            </w:r>
          </w:p>
        </w:tc>
      </w:tr>
      <w:tr w14:paraId="1B61F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9E4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0FCEF">
            <w:pPr>
              <w:jc w:val="both"/>
            </w:pPr>
            <w:r>
              <w:rPr>
                <w:rFonts w:ascii="宋体" w:hAnsi="宋体" w:eastAsia="宋体"/>
                <w:sz w:val="16"/>
              </w:rPr>
              <w:t>2024年达布达尔乡县乡两级人大代表活动项目共19035元。主要用于：我乡45名人大代表开展集中视察、专题调研、学习培训、座谈会等乡镇人大主席团承担的必要费用的集体活动费用、开展各项活动直接产生的各项费用、乡镇人大代表为提升代表履职能力，订阅必要的图书、报刊、学习用品等资料产生的费用。无固定收入的人大代表参加代表活动的临时补贴，探视、慰问患病等情况的必要费用，预计19035元。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10E98">
            <w:pPr>
              <w:jc w:val="both"/>
            </w:pPr>
            <w:r>
              <w:rPr>
                <w:rFonts w:ascii="宋体" w:hAnsi="宋体" w:eastAsia="宋体"/>
                <w:sz w:val="16"/>
              </w:rPr>
              <w:t>已完成2024年达布达尔乡县乡两级人大代表活动项目共19035元支出。主要用于：我乡45名人大代表开展集中视察、专题调研、学习培训、座谈会等乡镇人大主席团承担的必要费用的集体活动费用、开展各项活动直接产生的各项费用、乡镇人大代表为提升代表履职能力，订阅必要的图书、报刊、学习用品等资料产生的费用。无固定收入的人大代表参加代表活动的临时补贴，探视、慰问患病等情况的必要费用，共计19035元。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真诚倾听群众呼声，真实反映群众意愿。使人大代表满意度达到100%。</w:t>
            </w:r>
          </w:p>
        </w:tc>
      </w:tr>
      <w:tr w14:paraId="38F77A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A22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85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38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A3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C9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E0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5F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B5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6C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12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5A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A4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E23C7">
            <w:pPr>
              <w:jc w:val="center"/>
            </w:pPr>
            <w:r>
              <w:rPr>
                <w:rFonts w:ascii="宋体" w:hAnsi="宋体" w:eastAsia="宋体"/>
                <w:sz w:val="16"/>
              </w:rPr>
              <w:t>偏差原因分析及改进措施</w:t>
            </w:r>
          </w:p>
        </w:tc>
      </w:tr>
      <w:tr w14:paraId="08217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65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CC5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2FB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94B2">
            <w:pPr>
              <w:jc w:val="center"/>
            </w:pPr>
            <w:r>
              <w:rPr>
                <w:rFonts w:ascii="宋体" w:hAnsi="宋体" w:eastAsia="宋体"/>
                <w:sz w:val="16"/>
              </w:rPr>
              <w:t>乡人大代表开展工作人数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0BD9">
            <w:pPr>
              <w:jc w:val="center"/>
            </w:pPr>
            <w:r>
              <w:rPr>
                <w:rFonts w:ascii="宋体" w:hAnsi="宋体" w:eastAsia="宋体"/>
                <w:sz w:val="16"/>
              </w:rPr>
              <w:t>&gt;=45个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7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B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E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A6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3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B71F">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9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82193">
            <w:pPr>
              <w:jc w:val="center"/>
            </w:pPr>
          </w:p>
        </w:tc>
      </w:tr>
      <w:tr w14:paraId="4FBBB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CE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AC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F2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B19E">
            <w:pPr>
              <w:jc w:val="center"/>
            </w:pPr>
            <w:r>
              <w:rPr>
                <w:rFonts w:ascii="宋体" w:hAnsi="宋体" w:eastAsia="宋体"/>
                <w:sz w:val="16"/>
              </w:rPr>
              <w:t>乡人大代表开展培训、调研次数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B5D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C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F8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B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1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A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C01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C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21D7">
            <w:pPr>
              <w:jc w:val="center"/>
            </w:pPr>
          </w:p>
        </w:tc>
      </w:tr>
      <w:tr w14:paraId="7BD05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17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8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CF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CD2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B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F1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F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4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CF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9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0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9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C6B1">
            <w:pPr>
              <w:jc w:val="center"/>
            </w:pPr>
          </w:p>
        </w:tc>
      </w:tr>
      <w:tr w14:paraId="2EF14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C9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4C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7DE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2FB7">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E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6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4B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8D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9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C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11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50F5">
            <w:pPr>
              <w:jc w:val="center"/>
            </w:pPr>
          </w:p>
        </w:tc>
      </w:tr>
      <w:tr w14:paraId="249C2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E9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1F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0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70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B2D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9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C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2F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01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A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F6E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44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A721">
            <w:pPr>
              <w:jc w:val="center"/>
            </w:pPr>
          </w:p>
        </w:tc>
      </w:tr>
      <w:tr w14:paraId="724B7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F1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C84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5B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63E4">
            <w:pPr>
              <w:jc w:val="center"/>
            </w:pPr>
            <w:r>
              <w:rPr>
                <w:rFonts w:ascii="宋体" w:hAnsi="宋体" w:eastAsia="宋体"/>
                <w:sz w:val="16"/>
              </w:rPr>
              <w:t>人大代表活动经费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B6B8">
            <w:pPr>
              <w:jc w:val="center"/>
            </w:pPr>
            <w:r>
              <w:rPr>
                <w:rFonts w:ascii="宋体" w:hAnsi="宋体" w:eastAsia="宋体"/>
                <w:sz w:val="16"/>
              </w:rPr>
              <w:t>&lt;=19035元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F8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11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71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B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03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952C">
            <w:pPr>
              <w:jc w:val="center"/>
            </w:pPr>
            <w:r>
              <w:rPr>
                <w:rFonts w:ascii="宋体" w:hAnsi="宋体" w:eastAsia="宋体"/>
                <w:sz w:val="16"/>
              </w:rPr>
              <w:t>=19035元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9B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6BBE">
            <w:pPr>
              <w:jc w:val="center"/>
            </w:pPr>
          </w:p>
        </w:tc>
      </w:tr>
      <w:tr w14:paraId="2A32E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18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2E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24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3803">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DBE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A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AC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E4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AD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B72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4A8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67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AB8B">
            <w:pPr>
              <w:jc w:val="center"/>
            </w:pPr>
          </w:p>
        </w:tc>
      </w:tr>
      <w:tr w14:paraId="6F981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A0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18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1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04A4">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1E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2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4E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0B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DC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4D6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9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B2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411FE">
            <w:pPr>
              <w:jc w:val="center"/>
            </w:pPr>
            <w:r>
              <w:rPr>
                <w:rFonts w:ascii="宋体" w:hAnsi="宋体" w:eastAsia="宋体"/>
                <w:sz w:val="16"/>
              </w:rPr>
              <w:t>项目完成情况较好，实际人大代表满意度较高，所以指标出现正偏差</w:t>
            </w:r>
          </w:p>
        </w:tc>
      </w:tr>
      <w:tr w14:paraId="66D2B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0F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A3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E6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66E54D">
            <w:pPr>
              <w:jc w:val="center"/>
            </w:pPr>
            <w:r>
              <w:rPr>
                <w:rFonts w:ascii="宋体" w:hAnsi="宋体" w:eastAsia="宋体"/>
                <w:sz w:val="16"/>
              </w:rPr>
              <w:t>100分</w:t>
            </w:r>
          </w:p>
        </w:tc>
      </w:tr>
    </w:tbl>
    <w:p w14:paraId="521286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B9BF49">
        <w:tblPrEx>
          <w:tblCellMar>
            <w:top w:w="0" w:type="dxa"/>
            <w:left w:w="108" w:type="dxa"/>
            <w:bottom w:w="0" w:type="dxa"/>
            <w:right w:w="108" w:type="dxa"/>
          </w:tblCellMar>
        </w:tblPrEx>
        <w:tc>
          <w:tcPr>
            <w:tcW w:w="8848" w:type="dxa"/>
            <w:gridSpan w:val="14"/>
            <w:vAlign w:val="center"/>
          </w:tcPr>
          <w:p w14:paraId="4A37459F">
            <w:pPr>
              <w:jc w:val="center"/>
            </w:pPr>
            <w:r>
              <w:rPr>
                <w:rFonts w:ascii="宋体" w:hAnsi="宋体" w:eastAsia="宋体"/>
                <w:sz w:val="24"/>
              </w:rPr>
              <w:t>项目支出绩效自评表</w:t>
            </w:r>
          </w:p>
        </w:tc>
      </w:tr>
      <w:tr w14:paraId="79D95FB3">
        <w:tblPrEx>
          <w:tblCellMar>
            <w:top w:w="0" w:type="dxa"/>
            <w:left w:w="108" w:type="dxa"/>
            <w:bottom w:w="0" w:type="dxa"/>
            <w:right w:w="108" w:type="dxa"/>
          </w:tblCellMar>
        </w:tblPrEx>
        <w:tc>
          <w:tcPr>
            <w:tcW w:w="8848" w:type="dxa"/>
            <w:gridSpan w:val="14"/>
            <w:vAlign w:val="center"/>
          </w:tcPr>
          <w:p w14:paraId="7A9CD079">
            <w:pPr>
              <w:jc w:val="center"/>
            </w:pPr>
            <w:r>
              <w:rPr>
                <w:rFonts w:ascii="宋体" w:hAnsi="宋体" w:eastAsia="宋体"/>
                <w:sz w:val="24"/>
              </w:rPr>
              <w:t>(2024年度)</w:t>
            </w:r>
          </w:p>
        </w:tc>
      </w:tr>
      <w:tr w14:paraId="5B5DEA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11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E39B72">
            <w:pPr>
              <w:jc w:val="center"/>
            </w:pPr>
            <w:r>
              <w:rPr>
                <w:rFonts w:ascii="宋体" w:hAnsi="宋体" w:eastAsia="宋体"/>
                <w:sz w:val="16"/>
              </w:rPr>
              <w:t>达布达尔乡2024年福彩公益金支持社会组织参与基层治理项目资金</w:t>
            </w:r>
          </w:p>
        </w:tc>
      </w:tr>
      <w:tr w14:paraId="73BC8D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0E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B2DC4">
            <w:pPr>
              <w:jc w:val="center"/>
            </w:pPr>
            <w:r>
              <w:rPr>
                <w:rFonts w:ascii="宋体" w:hAnsi="宋体" w:eastAsia="宋体"/>
                <w:sz w:val="16"/>
              </w:rPr>
              <w:t>塔什库尔干塔吉克自治县达布达尔乡人民政府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0E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5829E6">
            <w:pPr>
              <w:jc w:val="center"/>
            </w:pPr>
            <w:r>
              <w:rPr>
                <w:rFonts w:ascii="宋体" w:hAnsi="宋体" w:eastAsia="宋体"/>
                <w:sz w:val="16"/>
              </w:rPr>
              <w:t>塔什库尔干塔吉克自治县达布达尔乡人民政府</w:t>
            </w:r>
          </w:p>
        </w:tc>
      </w:tr>
      <w:tr w14:paraId="2FC8E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040C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1B6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516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84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13E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47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B5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8F60">
            <w:pPr>
              <w:jc w:val="center"/>
            </w:pPr>
            <w:r>
              <w:rPr>
                <w:rFonts w:ascii="宋体" w:hAnsi="宋体" w:eastAsia="宋体"/>
                <w:sz w:val="16"/>
              </w:rPr>
              <w:t>得分</w:t>
            </w:r>
          </w:p>
        </w:tc>
      </w:tr>
      <w:tr w14:paraId="57BBFF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491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D49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5FCB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193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0AF6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D3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A0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C0E8">
            <w:pPr>
              <w:jc w:val="center"/>
            </w:pPr>
            <w:r>
              <w:rPr>
                <w:rFonts w:ascii="宋体" w:hAnsi="宋体" w:eastAsia="宋体"/>
                <w:sz w:val="16"/>
              </w:rPr>
              <w:t>10.00分</w:t>
            </w:r>
          </w:p>
        </w:tc>
      </w:tr>
      <w:tr w14:paraId="5C801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AA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6EE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EA5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444A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15EA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BF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A8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16E7">
            <w:pPr>
              <w:jc w:val="center"/>
            </w:pPr>
            <w:r>
              <w:rPr>
                <w:rFonts w:ascii="宋体" w:hAnsi="宋体" w:eastAsia="宋体"/>
                <w:sz w:val="16"/>
              </w:rPr>
              <w:t>—</w:t>
            </w:r>
          </w:p>
        </w:tc>
      </w:tr>
      <w:tr w14:paraId="2CBB8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59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1EB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75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5F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750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477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521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D5CE">
            <w:pPr>
              <w:jc w:val="center"/>
            </w:pPr>
            <w:r>
              <w:rPr>
                <w:rFonts w:ascii="宋体" w:hAnsi="宋体" w:eastAsia="宋体"/>
                <w:sz w:val="16"/>
              </w:rPr>
              <w:t>—</w:t>
            </w:r>
          </w:p>
        </w:tc>
      </w:tr>
      <w:tr w14:paraId="77BFD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894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E03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8901D4">
            <w:pPr>
              <w:jc w:val="center"/>
            </w:pPr>
            <w:r>
              <w:rPr>
                <w:rFonts w:ascii="宋体" w:hAnsi="宋体" w:eastAsia="宋体"/>
                <w:sz w:val="16"/>
              </w:rPr>
              <w:t>实际完成情况</w:t>
            </w:r>
          </w:p>
        </w:tc>
      </w:tr>
      <w:tr w14:paraId="56F95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573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121CB">
            <w:pPr>
              <w:jc w:val="both"/>
            </w:pPr>
            <w:r>
              <w:rPr>
                <w:rFonts w:ascii="宋体" w:hAnsi="宋体" w:eastAsia="宋体"/>
                <w:sz w:val="16"/>
              </w:rPr>
              <w:t>该项目2024年主要是进行前期的调研工作，与承接方签订合同，组织实施团队，完成地区孵化基地的选址和初步计划和建设工作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ACD99">
            <w:pPr>
              <w:jc w:val="both"/>
            </w:pPr>
            <w:r>
              <w:rPr>
                <w:rFonts w:ascii="宋体" w:hAnsi="宋体" w:eastAsia="宋体"/>
                <w:sz w:val="16"/>
              </w:rPr>
              <w:t>该项目实际支出16万元，已完成1家采购承接服务主体数量，组建5家社区社会组织，还有5家未到服务期限，开展20次各类社会活动，开展1次人才培训次数，提升社区社会组织参与基层社会治理管理水平，乡人民政府满意度和乡镇居民满意度达到100%。</w:t>
            </w:r>
          </w:p>
        </w:tc>
      </w:tr>
      <w:tr w14:paraId="106339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F8B9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09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6F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EC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11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CB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3F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A1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6A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A5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29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AD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6C4A9">
            <w:pPr>
              <w:jc w:val="center"/>
            </w:pPr>
            <w:r>
              <w:rPr>
                <w:rFonts w:ascii="宋体" w:hAnsi="宋体" w:eastAsia="宋体"/>
                <w:sz w:val="16"/>
              </w:rPr>
              <w:t>偏差原因分析及改进措施</w:t>
            </w:r>
          </w:p>
        </w:tc>
      </w:tr>
      <w:tr w14:paraId="31AC0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14E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9B4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DFB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C649">
            <w:pPr>
              <w:jc w:val="center"/>
            </w:pPr>
            <w:r>
              <w:rPr>
                <w:rFonts w:ascii="宋体" w:hAnsi="宋体" w:eastAsia="宋体"/>
                <w:sz w:val="16"/>
              </w:rPr>
              <w:t>采购承接服务主体数量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5C3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8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D4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F5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3F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8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C6F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D6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299A">
            <w:pPr>
              <w:jc w:val="center"/>
            </w:pPr>
          </w:p>
        </w:tc>
      </w:tr>
      <w:tr w14:paraId="64B14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65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28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9E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ACFA">
            <w:pPr>
              <w:jc w:val="center"/>
            </w:pPr>
            <w:r>
              <w:rPr>
                <w:rFonts w:ascii="宋体" w:hAnsi="宋体" w:eastAsia="宋体"/>
                <w:sz w:val="16"/>
              </w:rPr>
              <w:t>组建社区社会组织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6FB5">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E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5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DF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A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F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98FC">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90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98D79">
            <w:pPr>
              <w:jc w:val="center"/>
            </w:pPr>
            <w:r>
              <w:rPr>
                <w:rFonts w:ascii="宋体" w:hAnsi="宋体" w:eastAsia="宋体"/>
                <w:sz w:val="16"/>
              </w:rPr>
              <w:t>原因：项目是跨年项目，今年可以完成。措施：今年加快项目进度，按时</w:t>
            </w:r>
            <w:r>
              <w:rPr>
                <w:rFonts w:hint="eastAsia" w:ascii="宋体" w:hAnsi="宋体"/>
                <w:sz w:val="16"/>
                <w:lang w:eastAsia="zh-CN"/>
              </w:rPr>
              <w:t>完成</w:t>
            </w:r>
            <w:r>
              <w:rPr>
                <w:rFonts w:ascii="宋体" w:hAnsi="宋体" w:eastAsia="宋体"/>
                <w:sz w:val="16"/>
              </w:rPr>
              <w:t>指标要求。</w:t>
            </w:r>
          </w:p>
        </w:tc>
      </w:tr>
      <w:tr w14:paraId="7A80A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79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7C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4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A0AB">
            <w:pPr>
              <w:jc w:val="center"/>
            </w:pPr>
            <w:r>
              <w:rPr>
                <w:rFonts w:ascii="宋体" w:hAnsi="宋体" w:eastAsia="宋体"/>
                <w:sz w:val="16"/>
              </w:rPr>
              <w:t>开展各类社会活动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15B2">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9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35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18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6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4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F502">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89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325E5">
            <w:pPr>
              <w:jc w:val="center"/>
            </w:pPr>
          </w:p>
        </w:tc>
      </w:tr>
      <w:tr w14:paraId="18DCE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2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AC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C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0B26">
            <w:pPr>
              <w:jc w:val="center"/>
            </w:pPr>
            <w:r>
              <w:rPr>
                <w:rFonts w:ascii="宋体" w:hAnsi="宋体" w:eastAsia="宋体"/>
                <w:sz w:val="16"/>
              </w:rPr>
              <w:t>开展人才培训次数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8C9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1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34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BA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8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3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198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AC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A4AA">
            <w:pPr>
              <w:jc w:val="center"/>
            </w:pPr>
          </w:p>
        </w:tc>
      </w:tr>
      <w:tr w14:paraId="630A2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D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58F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B3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406C">
            <w:pPr>
              <w:jc w:val="center"/>
            </w:pPr>
            <w:r>
              <w:rPr>
                <w:rFonts w:ascii="宋体" w:hAnsi="宋体" w:eastAsia="宋体"/>
                <w:sz w:val="16"/>
              </w:rPr>
              <w:t>服务质量达标率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C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8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1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EB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71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B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2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8C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E0EA">
            <w:pPr>
              <w:jc w:val="center"/>
            </w:pPr>
            <w:r>
              <w:rPr>
                <w:rFonts w:ascii="宋体" w:hAnsi="宋体" w:eastAsia="宋体"/>
                <w:sz w:val="16"/>
              </w:rPr>
              <w:t>原因：项目是跨年项目，今年可以完成。措施：今年加快项目进度，按时</w:t>
            </w:r>
            <w:r>
              <w:rPr>
                <w:rFonts w:hint="eastAsia" w:ascii="宋体" w:hAnsi="宋体"/>
                <w:sz w:val="16"/>
                <w:lang w:eastAsia="zh-CN"/>
              </w:rPr>
              <w:t>完成</w:t>
            </w:r>
            <w:r>
              <w:rPr>
                <w:rFonts w:ascii="宋体" w:hAnsi="宋体" w:eastAsia="宋体"/>
                <w:sz w:val="16"/>
              </w:rPr>
              <w:t>指标要求。</w:t>
            </w:r>
          </w:p>
        </w:tc>
      </w:tr>
      <w:tr w14:paraId="388E0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6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9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0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A702">
            <w:pPr>
              <w:jc w:val="center"/>
            </w:pPr>
            <w:r>
              <w:rPr>
                <w:rFonts w:ascii="宋体" w:hAnsi="宋体" w:eastAsia="宋体"/>
                <w:sz w:val="16"/>
              </w:rPr>
              <w:t>服务实际完成率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5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2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A8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4A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6A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83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7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A6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3CCCF">
            <w:pPr>
              <w:jc w:val="center"/>
            </w:pPr>
            <w:r>
              <w:rPr>
                <w:rFonts w:ascii="宋体" w:hAnsi="宋体" w:eastAsia="宋体"/>
                <w:sz w:val="16"/>
              </w:rPr>
              <w:t>原因：项目是跨年项目，今年可以完成。措施：今年加快项目进度，按时</w:t>
            </w:r>
            <w:r>
              <w:rPr>
                <w:rFonts w:hint="eastAsia" w:ascii="宋体" w:hAnsi="宋体"/>
                <w:sz w:val="16"/>
                <w:lang w:eastAsia="zh-CN"/>
              </w:rPr>
              <w:t>完成</w:t>
            </w:r>
            <w:r>
              <w:rPr>
                <w:rFonts w:ascii="宋体" w:hAnsi="宋体" w:eastAsia="宋体"/>
                <w:sz w:val="16"/>
              </w:rPr>
              <w:t>指标要求。</w:t>
            </w:r>
          </w:p>
        </w:tc>
      </w:tr>
      <w:tr w14:paraId="51A8E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B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50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4C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BEE3">
            <w:pPr>
              <w:jc w:val="center"/>
            </w:pPr>
            <w:r>
              <w:rPr>
                <w:rFonts w:ascii="宋体" w:hAnsi="宋体" w:eastAsia="宋体"/>
                <w:sz w:val="16"/>
              </w:rPr>
              <w:t>服务完成及时率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9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9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9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3B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77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3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4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55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21F5">
            <w:pPr>
              <w:jc w:val="center"/>
            </w:pPr>
            <w:r>
              <w:rPr>
                <w:rFonts w:ascii="宋体" w:hAnsi="宋体" w:eastAsia="宋体"/>
                <w:sz w:val="16"/>
              </w:rPr>
              <w:t>原因：项目是跨年项目，今年可以完成。措施：今年加快项目进度，按时</w:t>
            </w:r>
            <w:r>
              <w:rPr>
                <w:rFonts w:hint="eastAsia" w:ascii="宋体" w:hAnsi="宋体"/>
                <w:sz w:val="16"/>
                <w:lang w:eastAsia="zh-CN"/>
              </w:rPr>
              <w:t>完成</w:t>
            </w:r>
            <w:r>
              <w:rPr>
                <w:rFonts w:ascii="宋体" w:hAnsi="宋体" w:eastAsia="宋体"/>
                <w:sz w:val="16"/>
              </w:rPr>
              <w:t>指标要求。</w:t>
            </w:r>
          </w:p>
        </w:tc>
      </w:tr>
      <w:tr w14:paraId="382FC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B8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38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0D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8DC3">
            <w:pPr>
              <w:jc w:val="center"/>
            </w:pPr>
            <w:r>
              <w:rPr>
                <w:rFonts w:ascii="宋体" w:hAnsi="宋体" w:eastAsia="宋体"/>
                <w:sz w:val="16"/>
              </w:rPr>
              <w:t>成本节约率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764C">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BC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60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C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A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9F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87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4F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E3A60">
            <w:pPr>
              <w:jc w:val="center"/>
            </w:pPr>
          </w:p>
        </w:tc>
      </w:tr>
      <w:tr w14:paraId="584B3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60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E8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C2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C341">
            <w:pPr>
              <w:jc w:val="center"/>
            </w:pPr>
            <w:r>
              <w:rPr>
                <w:rFonts w:ascii="宋体" w:hAnsi="宋体" w:eastAsia="宋体"/>
                <w:sz w:val="16"/>
              </w:rPr>
              <w:t>提升社区社会组织参与基层社会治理管理水平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B2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B4E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0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74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E6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E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86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9E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CE86">
            <w:pPr>
              <w:jc w:val="center"/>
            </w:pPr>
          </w:p>
        </w:tc>
      </w:tr>
      <w:tr w14:paraId="262B6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11C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7160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E58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BAA1">
            <w:pPr>
              <w:jc w:val="center"/>
            </w:pPr>
            <w:r>
              <w:rPr>
                <w:rFonts w:ascii="宋体" w:hAnsi="宋体" w:eastAsia="宋体"/>
                <w:sz w:val="16"/>
              </w:rPr>
              <w:t>乡人民政府满意度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F0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0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6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98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30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A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7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99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6104">
            <w:pPr>
              <w:jc w:val="center"/>
            </w:pPr>
            <w:r>
              <w:rPr>
                <w:rFonts w:ascii="宋体" w:hAnsi="宋体" w:eastAsia="宋体"/>
                <w:sz w:val="16"/>
              </w:rPr>
              <w:t>原因：满意度调查实际完成值大于目标值</w:t>
            </w:r>
          </w:p>
        </w:tc>
      </w:tr>
      <w:tr w14:paraId="7AC24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6A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B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48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2937">
            <w:pPr>
              <w:jc w:val="center"/>
            </w:pPr>
            <w:r>
              <w:rPr>
                <w:rFonts w:ascii="宋体" w:hAnsi="宋体" w:eastAsia="宋体"/>
                <w:sz w:val="16"/>
              </w:rPr>
              <w:t>乡镇居民满意度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CC3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7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F5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E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91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A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6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FB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AE4A1">
            <w:pPr>
              <w:jc w:val="center"/>
            </w:pPr>
            <w:r>
              <w:rPr>
                <w:rFonts w:ascii="宋体" w:hAnsi="宋体" w:eastAsia="宋体"/>
                <w:sz w:val="16"/>
              </w:rPr>
              <w:t>原因：满意度调查实际完成值大于目标值</w:t>
            </w:r>
          </w:p>
        </w:tc>
      </w:tr>
      <w:tr w14:paraId="13BA42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9F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CB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89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E3A1E">
            <w:pPr>
              <w:jc w:val="center"/>
            </w:pPr>
            <w:r>
              <w:rPr>
                <w:rFonts w:ascii="宋体" w:hAnsi="宋体" w:eastAsia="宋体"/>
                <w:sz w:val="16"/>
              </w:rPr>
              <w:t>95分</w:t>
            </w:r>
          </w:p>
        </w:tc>
      </w:tr>
    </w:tbl>
    <w:p w14:paraId="7E0F9C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9D915C3">
        <w:tblPrEx>
          <w:tblCellMar>
            <w:top w:w="0" w:type="dxa"/>
            <w:left w:w="108" w:type="dxa"/>
            <w:bottom w:w="0" w:type="dxa"/>
            <w:right w:w="108" w:type="dxa"/>
          </w:tblCellMar>
        </w:tblPrEx>
        <w:tc>
          <w:tcPr>
            <w:tcW w:w="8848" w:type="dxa"/>
            <w:gridSpan w:val="14"/>
            <w:vAlign w:val="center"/>
          </w:tcPr>
          <w:p w14:paraId="154D8056">
            <w:pPr>
              <w:jc w:val="center"/>
            </w:pPr>
            <w:r>
              <w:rPr>
                <w:rFonts w:ascii="宋体" w:hAnsi="宋体" w:eastAsia="宋体"/>
                <w:sz w:val="24"/>
              </w:rPr>
              <w:t>项目支出绩效自评表</w:t>
            </w:r>
          </w:p>
        </w:tc>
      </w:tr>
      <w:tr w14:paraId="0ECC027E">
        <w:tblPrEx>
          <w:tblCellMar>
            <w:top w:w="0" w:type="dxa"/>
            <w:left w:w="108" w:type="dxa"/>
            <w:bottom w:w="0" w:type="dxa"/>
            <w:right w:w="108" w:type="dxa"/>
          </w:tblCellMar>
        </w:tblPrEx>
        <w:tc>
          <w:tcPr>
            <w:tcW w:w="8848" w:type="dxa"/>
            <w:gridSpan w:val="14"/>
            <w:vAlign w:val="center"/>
          </w:tcPr>
          <w:p w14:paraId="22D3652A">
            <w:pPr>
              <w:jc w:val="center"/>
            </w:pPr>
            <w:r>
              <w:rPr>
                <w:rFonts w:ascii="宋体" w:hAnsi="宋体" w:eastAsia="宋体"/>
                <w:sz w:val="24"/>
              </w:rPr>
              <w:t>(2024年度)</w:t>
            </w:r>
          </w:p>
        </w:tc>
      </w:tr>
      <w:tr w14:paraId="4074C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84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DA1D6">
            <w:pPr>
              <w:jc w:val="center"/>
            </w:pPr>
            <w:r>
              <w:rPr>
                <w:rFonts w:ascii="宋体" w:hAnsi="宋体" w:eastAsia="宋体"/>
                <w:sz w:val="16"/>
              </w:rPr>
              <w:t>达布达尔乡红其拉甫村排水项目</w:t>
            </w:r>
          </w:p>
        </w:tc>
      </w:tr>
      <w:tr w14:paraId="2983FB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9D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81ED2">
            <w:pPr>
              <w:jc w:val="center"/>
            </w:pPr>
            <w:r>
              <w:rPr>
                <w:rFonts w:ascii="宋体" w:hAnsi="宋体" w:eastAsia="宋体"/>
                <w:sz w:val="16"/>
              </w:rPr>
              <w:t>塔什库尔干塔吉克自治县达布达尔乡人民政府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47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AD3DD">
            <w:pPr>
              <w:jc w:val="center"/>
            </w:pPr>
            <w:r>
              <w:rPr>
                <w:rFonts w:ascii="宋体" w:hAnsi="宋体" w:eastAsia="宋体"/>
                <w:sz w:val="16"/>
              </w:rPr>
              <w:t>塔什库尔干塔吉克自治县达布达尔乡人民政府</w:t>
            </w:r>
          </w:p>
        </w:tc>
      </w:tr>
      <w:tr w14:paraId="7545B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0AA0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A0D5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07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B8D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D5A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4FC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27F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0989">
            <w:pPr>
              <w:jc w:val="center"/>
            </w:pPr>
            <w:r>
              <w:rPr>
                <w:rFonts w:ascii="宋体" w:hAnsi="宋体" w:eastAsia="宋体"/>
                <w:sz w:val="16"/>
              </w:rPr>
              <w:t>得分</w:t>
            </w:r>
          </w:p>
        </w:tc>
      </w:tr>
      <w:tr w14:paraId="55041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355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36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79F5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8DB1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E36C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87F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79D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536A">
            <w:pPr>
              <w:jc w:val="center"/>
            </w:pPr>
            <w:r>
              <w:rPr>
                <w:rFonts w:ascii="宋体" w:hAnsi="宋体" w:eastAsia="宋体"/>
                <w:sz w:val="16"/>
              </w:rPr>
              <w:t>10.00分</w:t>
            </w:r>
          </w:p>
        </w:tc>
      </w:tr>
      <w:tr w14:paraId="5FA39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01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8F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9A8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6C5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A954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200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5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0CAA">
            <w:pPr>
              <w:jc w:val="center"/>
            </w:pPr>
            <w:r>
              <w:rPr>
                <w:rFonts w:ascii="宋体" w:hAnsi="宋体" w:eastAsia="宋体"/>
                <w:sz w:val="16"/>
              </w:rPr>
              <w:t>—</w:t>
            </w:r>
          </w:p>
        </w:tc>
      </w:tr>
      <w:tr w14:paraId="6579E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62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BB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A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00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8D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D0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E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4221">
            <w:pPr>
              <w:jc w:val="center"/>
            </w:pPr>
            <w:r>
              <w:rPr>
                <w:rFonts w:ascii="宋体" w:hAnsi="宋体" w:eastAsia="宋体"/>
                <w:sz w:val="16"/>
              </w:rPr>
              <w:t>—</w:t>
            </w:r>
          </w:p>
        </w:tc>
      </w:tr>
      <w:tr w14:paraId="1F5B5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761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F08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13E47">
            <w:pPr>
              <w:jc w:val="center"/>
            </w:pPr>
            <w:r>
              <w:rPr>
                <w:rFonts w:ascii="宋体" w:hAnsi="宋体" w:eastAsia="宋体"/>
                <w:sz w:val="16"/>
              </w:rPr>
              <w:t>实际完成情况</w:t>
            </w:r>
          </w:p>
        </w:tc>
      </w:tr>
      <w:tr w14:paraId="108FF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A02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DB931">
            <w:pPr>
              <w:jc w:val="both"/>
            </w:pPr>
            <w:r>
              <w:rPr>
                <w:rFonts w:ascii="宋体" w:hAnsi="宋体" w:eastAsia="宋体"/>
                <w:sz w:val="16"/>
              </w:rPr>
              <w:t>完成</w:t>
            </w:r>
            <w:r>
              <w:rPr>
                <w:rFonts w:hint="eastAsia" w:ascii="宋体" w:hAnsi="宋体"/>
                <w:sz w:val="16"/>
                <w:lang w:eastAsia="zh-CN"/>
              </w:rPr>
              <w:t>塔什库尔干塔吉克自治县</w:t>
            </w:r>
            <w:r>
              <w:rPr>
                <w:rFonts w:ascii="宋体" w:hAnsi="宋体" w:eastAsia="宋体"/>
                <w:sz w:val="16"/>
              </w:rPr>
              <w:t>达布达尔乡红其拉甫村排水项目尾款50万元拨付。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CF0B7B">
            <w:pPr>
              <w:jc w:val="both"/>
            </w:pPr>
            <w:r>
              <w:rPr>
                <w:rFonts w:ascii="宋体" w:hAnsi="宋体" w:eastAsia="宋体"/>
                <w:sz w:val="16"/>
              </w:rPr>
              <w:t>该项目已完成了达布达尔乡红其拉甫村排水项目尾款50万元的拨付。该工作的开展改善了红其拉甫</w:t>
            </w:r>
            <w:r>
              <w:rPr>
                <w:rFonts w:hint="eastAsia" w:ascii="宋体" w:hAnsi="宋体"/>
                <w:sz w:val="16"/>
                <w:lang w:eastAsia="zh-CN"/>
              </w:rPr>
              <w:t>村</w:t>
            </w:r>
            <w:r>
              <w:rPr>
                <w:rFonts w:ascii="宋体" w:hAnsi="宋体" w:eastAsia="宋体"/>
                <w:sz w:val="16"/>
              </w:rPr>
              <w:t>人居环境。</w:t>
            </w:r>
          </w:p>
        </w:tc>
      </w:tr>
      <w:tr w14:paraId="55526D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148A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CA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FE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DB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B7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08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B2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EE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AC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D2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D0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1D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4B1F">
            <w:pPr>
              <w:jc w:val="center"/>
            </w:pPr>
            <w:r>
              <w:rPr>
                <w:rFonts w:ascii="宋体" w:hAnsi="宋体" w:eastAsia="宋体"/>
                <w:sz w:val="16"/>
              </w:rPr>
              <w:t>偏差原因分析及改进措施</w:t>
            </w:r>
          </w:p>
        </w:tc>
      </w:tr>
      <w:tr w14:paraId="45B4B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57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BE3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CE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1DDF">
            <w:pPr>
              <w:jc w:val="center"/>
            </w:pPr>
            <w:r>
              <w:rPr>
                <w:rFonts w:ascii="宋体" w:hAnsi="宋体" w:eastAsia="宋体"/>
                <w:sz w:val="16"/>
              </w:rPr>
              <w:t>支付项目尾款数量（个）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930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7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D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7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3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B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CC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82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3984B">
            <w:pPr>
              <w:jc w:val="center"/>
            </w:pPr>
          </w:p>
        </w:tc>
      </w:tr>
      <w:tr w14:paraId="62E04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34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27C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05F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D71B">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F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B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8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E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4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B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4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19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A5494">
            <w:pPr>
              <w:jc w:val="center"/>
            </w:pPr>
          </w:p>
        </w:tc>
      </w:tr>
      <w:tr w14:paraId="40766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5A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9D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03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A71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C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6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8D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5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9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D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8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08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2BE86">
            <w:pPr>
              <w:jc w:val="center"/>
            </w:pPr>
          </w:p>
        </w:tc>
      </w:tr>
      <w:tr w14:paraId="21A90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78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1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31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862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F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F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B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D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8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9D6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D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3E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6DA0">
            <w:pPr>
              <w:jc w:val="center"/>
            </w:pPr>
          </w:p>
        </w:tc>
      </w:tr>
      <w:tr w14:paraId="3E68A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F2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36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7E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8193">
            <w:pPr>
              <w:jc w:val="center"/>
            </w:pPr>
            <w:r>
              <w:rPr>
                <w:rFonts w:ascii="宋体" w:hAnsi="宋体" w:eastAsia="宋体"/>
                <w:sz w:val="16"/>
              </w:rPr>
              <w:t>拨付项目尾款资金（万元）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A7E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A7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D3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44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F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A51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3631">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E4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4FA3">
            <w:pPr>
              <w:jc w:val="center"/>
            </w:pPr>
          </w:p>
        </w:tc>
      </w:tr>
      <w:tr w14:paraId="540BE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30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96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B03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9057">
            <w:pPr>
              <w:jc w:val="center"/>
            </w:pPr>
            <w:r>
              <w:rPr>
                <w:rFonts w:ascii="宋体" w:hAnsi="宋体" w:eastAsia="宋体"/>
                <w:sz w:val="16"/>
              </w:rPr>
              <w:t>改善红其拉甫</w:t>
            </w:r>
            <w:r>
              <w:rPr>
                <w:rFonts w:hint="eastAsia" w:ascii="宋体" w:hAnsi="宋体"/>
                <w:sz w:val="16"/>
                <w:lang w:eastAsia="zh-CN"/>
              </w:rPr>
              <w:t>村</w:t>
            </w:r>
            <w:r>
              <w:rPr>
                <w:rFonts w:ascii="宋体" w:hAnsi="宋体" w:eastAsia="宋体"/>
                <w:sz w:val="16"/>
              </w:rPr>
              <w:t>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5358">
            <w:pPr>
              <w:jc w:val="center"/>
            </w:pPr>
            <w:r>
              <w:rPr>
                <w:rFonts w:ascii="宋体" w:hAnsi="宋体" w:eastAsia="宋体"/>
                <w:sz w:val="16"/>
              </w:rPr>
              <w:t>大幅改善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4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A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A1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B6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20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FFB1">
            <w:pPr>
              <w:jc w:val="center"/>
            </w:pPr>
            <w:r>
              <w:rPr>
                <w:rFonts w:ascii="宋体" w:hAnsi="宋体" w:eastAsia="宋体"/>
                <w:sz w:val="16"/>
              </w:rPr>
              <w:t>大幅改善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F6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0706">
            <w:pPr>
              <w:jc w:val="center"/>
            </w:pPr>
          </w:p>
        </w:tc>
      </w:tr>
      <w:tr w14:paraId="19872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8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0F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A0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3B5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0C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A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E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F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79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50F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0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B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7220">
            <w:pPr>
              <w:jc w:val="center"/>
            </w:pPr>
            <w:r>
              <w:rPr>
                <w:rFonts w:ascii="宋体" w:hAnsi="宋体" w:eastAsia="宋体"/>
                <w:sz w:val="16"/>
              </w:rPr>
              <w:t>偏差原因：项目实施情况较好，受益群众满意度高于预期，导致出现正偏差，改进措施：基于当前良好表现，重新审视绩效目标，在以后绩效目标设置时设置更具挑战性的目标，以推动业务持续发展</w:t>
            </w:r>
          </w:p>
        </w:tc>
      </w:tr>
      <w:tr w14:paraId="3E1C4F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42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48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7C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0B766F">
            <w:pPr>
              <w:jc w:val="center"/>
            </w:pPr>
            <w:r>
              <w:rPr>
                <w:rFonts w:ascii="宋体" w:hAnsi="宋体" w:eastAsia="宋体"/>
                <w:sz w:val="16"/>
              </w:rPr>
              <w:t>100分</w:t>
            </w:r>
          </w:p>
        </w:tc>
      </w:tr>
    </w:tbl>
    <w:p w14:paraId="73A758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A6E5000">
        <w:tblPrEx>
          <w:tblCellMar>
            <w:top w:w="0" w:type="dxa"/>
            <w:left w:w="108" w:type="dxa"/>
            <w:bottom w:w="0" w:type="dxa"/>
            <w:right w:w="108" w:type="dxa"/>
          </w:tblCellMar>
        </w:tblPrEx>
        <w:tc>
          <w:tcPr>
            <w:tcW w:w="8848" w:type="dxa"/>
            <w:gridSpan w:val="14"/>
            <w:vAlign w:val="center"/>
          </w:tcPr>
          <w:p w14:paraId="5B7B5F3F">
            <w:pPr>
              <w:jc w:val="center"/>
            </w:pPr>
            <w:r>
              <w:rPr>
                <w:rFonts w:ascii="宋体" w:hAnsi="宋体" w:eastAsia="宋体"/>
                <w:sz w:val="24"/>
              </w:rPr>
              <w:t>项目支出绩效自评表</w:t>
            </w:r>
          </w:p>
        </w:tc>
      </w:tr>
      <w:tr w14:paraId="63717F32">
        <w:tblPrEx>
          <w:tblCellMar>
            <w:top w:w="0" w:type="dxa"/>
            <w:left w:w="108" w:type="dxa"/>
            <w:bottom w:w="0" w:type="dxa"/>
            <w:right w:w="108" w:type="dxa"/>
          </w:tblCellMar>
        </w:tblPrEx>
        <w:tc>
          <w:tcPr>
            <w:tcW w:w="8848" w:type="dxa"/>
            <w:gridSpan w:val="14"/>
            <w:vAlign w:val="center"/>
          </w:tcPr>
          <w:p w14:paraId="2C0252ED">
            <w:pPr>
              <w:jc w:val="center"/>
            </w:pPr>
            <w:r>
              <w:rPr>
                <w:rFonts w:ascii="宋体" w:hAnsi="宋体" w:eastAsia="宋体"/>
                <w:sz w:val="24"/>
              </w:rPr>
              <w:t>(2024年度)</w:t>
            </w:r>
          </w:p>
        </w:tc>
      </w:tr>
      <w:tr w14:paraId="56AD4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7B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7BC37C">
            <w:pPr>
              <w:jc w:val="center"/>
            </w:pPr>
            <w:r>
              <w:rPr>
                <w:rFonts w:ascii="宋体" w:hAnsi="宋体" w:eastAsia="宋体"/>
                <w:sz w:val="16"/>
              </w:rPr>
              <w:t>达布达尔乡车辆采购项目</w:t>
            </w:r>
          </w:p>
        </w:tc>
      </w:tr>
      <w:tr w14:paraId="0D36C2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D4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19ACC">
            <w:pPr>
              <w:jc w:val="center"/>
            </w:pPr>
            <w:r>
              <w:rPr>
                <w:rFonts w:ascii="宋体" w:hAnsi="宋体" w:eastAsia="宋体"/>
                <w:sz w:val="16"/>
              </w:rPr>
              <w:t>塔什库尔干塔吉克自治县达布达尔乡人民政府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27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BC90A">
            <w:pPr>
              <w:jc w:val="center"/>
            </w:pPr>
            <w:r>
              <w:rPr>
                <w:rFonts w:ascii="宋体" w:hAnsi="宋体" w:eastAsia="宋体"/>
                <w:sz w:val="16"/>
              </w:rPr>
              <w:t>塔什库尔干塔吉克自治县达布达尔乡人民政府</w:t>
            </w:r>
          </w:p>
        </w:tc>
      </w:tr>
      <w:tr w14:paraId="0CFCA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6C3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DAE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6AB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A4E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68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69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A1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14F0">
            <w:pPr>
              <w:jc w:val="center"/>
            </w:pPr>
            <w:r>
              <w:rPr>
                <w:rFonts w:ascii="宋体" w:hAnsi="宋体" w:eastAsia="宋体"/>
                <w:sz w:val="16"/>
              </w:rPr>
              <w:t>得分</w:t>
            </w:r>
          </w:p>
        </w:tc>
      </w:tr>
      <w:tr w14:paraId="2269A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160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9A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FA05">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B8B5E">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5F6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A75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646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AFFE">
            <w:pPr>
              <w:jc w:val="center"/>
            </w:pPr>
            <w:r>
              <w:rPr>
                <w:rFonts w:ascii="宋体" w:hAnsi="宋体" w:eastAsia="宋体"/>
                <w:sz w:val="16"/>
              </w:rPr>
              <w:t>10.00分</w:t>
            </w:r>
          </w:p>
        </w:tc>
      </w:tr>
      <w:tr w14:paraId="767B7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4E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72D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ADF0">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4426">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BBDB">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732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AA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0B0B">
            <w:pPr>
              <w:jc w:val="center"/>
            </w:pPr>
            <w:r>
              <w:rPr>
                <w:rFonts w:ascii="宋体" w:hAnsi="宋体" w:eastAsia="宋体"/>
                <w:sz w:val="16"/>
              </w:rPr>
              <w:t>—</w:t>
            </w:r>
          </w:p>
        </w:tc>
      </w:tr>
      <w:tr w14:paraId="1F687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61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46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4F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39A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12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D88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2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6C80">
            <w:pPr>
              <w:jc w:val="center"/>
            </w:pPr>
            <w:r>
              <w:rPr>
                <w:rFonts w:ascii="宋体" w:hAnsi="宋体" w:eastAsia="宋体"/>
                <w:sz w:val="16"/>
              </w:rPr>
              <w:t>—</w:t>
            </w:r>
          </w:p>
        </w:tc>
      </w:tr>
      <w:tr w14:paraId="6AA26A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E2E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CA9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4C0A2">
            <w:pPr>
              <w:jc w:val="center"/>
            </w:pPr>
            <w:r>
              <w:rPr>
                <w:rFonts w:ascii="宋体" w:hAnsi="宋体" w:eastAsia="宋体"/>
                <w:sz w:val="16"/>
              </w:rPr>
              <w:t>实际完成情况</w:t>
            </w:r>
          </w:p>
        </w:tc>
      </w:tr>
      <w:tr w14:paraId="69FD1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6C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B67BE">
            <w:pPr>
              <w:jc w:val="both"/>
            </w:pPr>
            <w:r>
              <w:rPr>
                <w:rFonts w:ascii="宋体" w:hAnsi="宋体" w:eastAsia="宋体"/>
                <w:sz w:val="16"/>
              </w:rPr>
              <w:t>该项目用于为达布达尔乡人民政府公务车辆编制内采购车辆1辆，需解决资金16.53万元。通过该项目的实施保障日常出勤、工作使用，质量合格，确保乘车人及其他人交通安全，确保行政机关交通便利。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247BC4">
            <w:pPr>
              <w:jc w:val="both"/>
            </w:pPr>
            <w:r>
              <w:rPr>
                <w:rFonts w:ascii="宋体" w:hAnsi="宋体" w:eastAsia="宋体"/>
                <w:sz w:val="16"/>
              </w:rPr>
              <w:t>项目实际支出16.53万元，已完成公务车辆采购验收，有效保障了乡公务日常出勤，确保乘车人及其他人交通安全，确保行政机关交通便利，方便乡政府工作的开展，行政人员满意度达到100%。</w:t>
            </w:r>
          </w:p>
        </w:tc>
      </w:tr>
      <w:tr w14:paraId="64A16F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4F87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DE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4F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E5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9F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63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DC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12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4F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C4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A9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13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BE1DD">
            <w:pPr>
              <w:jc w:val="center"/>
            </w:pPr>
            <w:r>
              <w:rPr>
                <w:rFonts w:ascii="宋体" w:hAnsi="宋体" w:eastAsia="宋体"/>
                <w:sz w:val="16"/>
              </w:rPr>
              <w:t>偏差原因分析及改进措施</w:t>
            </w:r>
          </w:p>
        </w:tc>
      </w:tr>
      <w:tr w14:paraId="0153F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71E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398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A8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64D8">
            <w:pPr>
              <w:jc w:val="center"/>
            </w:pPr>
            <w:r>
              <w:rPr>
                <w:rFonts w:ascii="宋体" w:hAnsi="宋体" w:eastAsia="宋体"/>
                <w:sz w:val="16"/>
              </w:rPr>
              <w:t>车辆采购数量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C14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7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A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E1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D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5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0B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66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845F">
            <w:pPr>
              <w:jc w:val="center"/>
            </w:pPr>
          </w:p>
        </w:tc>
      </w:tr>
      <w:tr w14:paraId="76B0E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07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FB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B5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DD91">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5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D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9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A2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7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A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A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01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0D5E">
            <w:pPr>
              <w:jc w:val="center"/>
            </w:pPr>
          </w:p>
        </w:tc>
      </w:tr>
      <w:tr w14:paraId="35504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55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F37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3F1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6408">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C1A7">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5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52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4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01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5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7248">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CA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C38DC">
            <w:pPr>
              <w:jc w:val="center"/>
            </w:pPr>
          </w:p>
        </w:tc>
      </w:tr>
      <w:tr w14:paraId="13A7F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2BC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A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A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9C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C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C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3F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B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B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0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E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72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4442">
            <w:pPr>
              <w:jc w:val="center"/>
            </w:pPr>
          </w:p>
        </w:tc>
      </w:tr>
      <w:tr w14:paraId="7A893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E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C8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A5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EFD6">
            <w:pPr>
              <w:jc w:val="center"/>
            </w:pPr>
            <w:r>
              <w:rPr>
                <w:rFonts w:ascii="宋体" w:hAnsi="宋体" w:eastAsia="宋体"/>
                <w:sz w:val="16"/>
              </w:rPr>
              <w:t>购买车辆成本费用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9CE5">
            <w:pPr>
              <w:jc w:val="center"/>
            </w:pPr>
            <w:r>
              <w:rPr>
                <w:rFonts w:ascii="宋体" w:hAnsi="宋体" w:eastAsia="宋体"/>
                <w:sz w:val="16"/>
              </w:rPr>
              <w:t>&lt;=16.53万元/辆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BD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2C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B3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7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D2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05DF">
            <w:pPr>
              <w:jc w:val="center"/>
            </w:pPr>
            <w:r>
              <w:rPr>
                <w:rFonts w:ascii="宋体" w:hAnsi="宋体" w:eastAsia="宋体"/>
                <w:sz w:val="16"/>
              </w:rPr>
              <w:t>=16.53万元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AEA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5ACD4">
            <w:pPr>
              <w:jc w:val="center"/>
            </w:pPr>
          </w:p>
        </w:tc>
      </w:tr>
      <w:tr w14:paraId="2F39E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03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1C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0A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11F1">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C67A">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3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05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9C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35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55B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B392">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C0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67967">
            <w:pPr>
              <w:jc w:val="center"/>
            </w:pPr>
          </w:p>
        </w:tc>
      </w:tr>
      <w:tr w14:paraId="4875C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A7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A4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AE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D126">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C5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5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2C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5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86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DA2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5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03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70A1">
            <w:pPr>
              <w:jc w:val="center"/>
            </w:pPr>
            <w:r>
              <w:rPr>
                <w:rFonts w:ascii="宋体" w:hAnsi="宋体" w:eastAsia="宋体"/>
                <w:sz w:val="16"/>
              </w:rPr>
              <w:t>项目完成情况较好，实际行政人员满意度较高，所以指标出现正偏差</w:t>
            </w:r>
          </w:p>
        </w:tc>
      </w:tr>
      <w:tr w14:paraId="5FBE38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EE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1C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FFB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1257D">
            <w:pPr>
              <w:jc w:val="center"/>
            </w:pPr>
            <w:r>
              <w:rPr>
                <w:rFonts w:ascii="宋体" w:hAnsi="宋体" w:eastAsia="宋体"/>
                <w:sz w:val="16"/>
              </w:rPr>
              <w:t>100分</w:t>
            </w:r>
          </w:p>
        </w:tc>
      </w:tr>
    </w:tbl>
    <w:p w14:paraId="481D5C85">
      <w:r>
        <w:br w:type="page"/>
      </w:r>
    </w:p>
    <w:p w14:paraId="7B1418C4">
      <w:pPr>
        <w:spacing w:line="640" w:lineRule="exact"/>
        <w:ind w:firstLine="640"/>
        <w:jc w:val="both"/>
        <w:outlineLvl w:val="2"/>
      </w:pPr>
      <w:r>
        <w:rPr>
          <w:rFonts w:ascii="黑体" w:hAnsi="黑体" w:eastAsia="黑体"/>
          <w:sz w:val="32"/>
        </w:rPr>
        <w:t>十二、其他需说明的事项</w:t>
      </w:r>
    </w:p>
    <w:p w14:paraId="42AEF1C5">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0515058">
      <w:r>
        <w:br w:type="page"/>
      </w:r>
    </w:p>
    <w:p w14:paraId="26A82534">
      <w:pPr>
        <w:spacing w:line="240" w:lineRule="auto"/>
        <w:jc w:val="center"/>
        <w:outlineLvl w:val="1"/>
      </w:pPr>
      <w:r>
        <w:rPr>
          <w:rFonts w:ascii="黑体" w:hAnsi="黑体" w:eastAsia="黑体"/>
          <w:sz w:val="32"/>
        </w:rPr>
        <w:t>第三部分 专业名词解释</w:t>
      </w:r>
    </w:p>
    <w:p w14:paraId="04D7222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2D50C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4EAE7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762D7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9B76D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E138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AD356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9F1D7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4F67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BEE7F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6F66D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ACA1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363749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0C8C0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7A17CB">
      <w:r>
        <w:br w:type="page"/>
      </w:r>
    </w:p>
    <w:p w14:paraId="7DA9368E">
      <w:pPr>
        <w:spacing w:line="240" w:lineRule="auto"/>
        <w:jc w:val="center"/>
        <w:outlineLvl w:val="1"/>
      </w:pPr>
      <w:r>
        <w:rPr>
          <w:rFonts w:ascii="黑体" w:hAnsi="黑体" w:eastAsia="黑体"/>
          <w:sz w:val="32"/>
        </w:rPr>
        <w:t>第四部分 部门决算报表（见附表）</w:t>
      </w:r>
    </w:p>
    <w:p w14:paraId="3BDB4EC2">
      <w:pPr>
        <w:spacing w:line="240" w:lineRule="auto"/>
        <w:ind w:firstLine="640"/>
        <w:jc w:val="both"/>
      </w:pPr>
      <w:r>
        <w:rPr>
          <w:rFonts w:ascii="仿宋_GB2312" w:hAnsi="仿宋_GB2312" w:eastAsia="仿宋_GB2312"/>
          <w:b w:val="0"/>
          <w:sz w:val="32"/>
        </w:rPr>
        <w:t>一、《收入支出决算总表》</w:t>
      </w:r>
    </w:p>
    <w:p w14:paraId="25C4016D">
      <w:pPr>
        <w:spacing w:line="240" w:lineRule="auto"/>
        <w:ind w:firstLine="640"/>
        <w:jc w:val="both"/>
      </w:pPr>
      <w:r>
        <w:rPr>
          <w:rFonts w:ascii="仿宋_GB2312" w:hAnsi="仿宋_GB2312" w:eastAsia="仿宋_GB2312"/>
          <w:b w:val="0"/>
          <w:sz w:val="32"/>
        </w:rPr>
        <w:t>二、《收入决算表》</w:t>
      </w:r>
    </w:p>
    <w:p w14:paraId="531FA169">
      <w:pPr>
        <w:spacing w:line="240" w:lineRule="auto"/>
        <w:ind w:firstLine="640"/>
        <w:jc w:val="both"/>
      </w:pPr>
      <w:r>
        <w:rPr>
          <w:rFonts w:ascii="仿宋_GB2312" w:hAnsi="仿宋_GB2312" w:eastAsia="仿宋_GB2312"/>
          <w:b w:val="0"/>
          <w:sz w:val="32"/>
        </w:rPr>
        <w:t>三、《支出决算表》</w:t>
      </w:r>
    </w:p>
    <w:p w14:paraId="57D51DAC">
      <w:pPr>
        <w:spacing w:line="240" w:lineRule="auto"/>
        <w:ind w:firstLine="640"/>
        <w:jc w:val="both"/>
      </w:pPr>
      <w:r>
        <w:rPr>
          <w:rFonts w:ascii="仿宋_GB2312" w:hAnsi="仿宋_GB2312" w:eastAsia="仿宋_GB2312"/>
          <w:b w:val="0"/>
          <w:sz w:val="32"/>
        </w:rPr>
        <w:t>四、《财政拨款收入支出决算总表》</w:t>
      </w:r>
    </w:p>
    <w:p w14:paraId="74734B1D">
      <w:pPr>
        <w:spacing w:line="240" w:lineRule="auto"/>
        <w:ind w:firstLine="640"/>
        <w:jc w:val="both"/>
      </w:pPr>
      <w:r>
        <w:rPr>
          <w:rFonts w:ascii="仿宋_GB2312" w:hAnsi="仿宋_GB2312" w:eastAsia="仿宋_GB2312"/>
          <w:b w:val="0"/>
          <w:sz w:val="32"/>
        </w:rPr>
        <w:t>五、《一般公共预算财政拨款支出决算表》</w:t>
      </w:r>
    </w:p>
    <w:p w14:paraId="7C6B6051">
      <w:pPr>
        <w:spacing w:line="240" w:lineRule="auto"/>
        <w:ind w:firstLine="640"/>
        <w:jc w:val="both"/>
      </w:pPr>
      <w:r>
        <w:rPr>
          <w:rFonts w:ascii="仿宋_GB2312" w:hAnsi="仿宋_GB2312" w:eastAsia="仿宋_GB2312"/>
          <w:b w:val="0"/>
          <w:sz w:val="32"/>
        </w:rPr>
        <w:t>六、《一般公共预算财政拨款基本支出决算表》</w:t>
      </w:r>
    </w:p>
    <w:p w14:paraId="786EE77A">
      <w:pPr>
        <w:spacing w:line="240" w:lineRule="auto"/>
        <w:ind w:firstLine="640"/>
        <w:jc w:val="both"/>
      </w:pPr>
      <w:r>
        <w:rPr>
          <w:rFonts w:ascii="仿宋_GB2312" w:hAnsi="仿宋_GB2312" w:eastAsia="仿宋_GB2312"/>
          <w:b w:val="0"/>
          <w:sz w:val="32"/>
        </w:rPr>
        <w:t>七、《政府性基金预算财政拨款收入支出决算表》</w:t>
      </w:r>
    </w:p>
    <w:p w14:paraId="78EEE644">
      <w:pPr>
        <w:spacing w:line="240" w:lineRule="auto"/>
        <w:ind w:firstLine="640"/>
        <w:jc w:val="both"/>
      </w:pPr>
      <w:r>
        <w:rPr>
          <w:rFonts w:ascii="仿宋_GB2312" w:hAnsi="仿宋_GB2312" w:eastAsia="仿宋_GB2312"/>
          <w:b w:val="0"/>
          <w:sz w:val="32"/>
        </w:rPr>
        <w:t>八、《国有资本经营预算财政拨款收入支出决算表》</w:t>
      </w:r>
    </w:p>
    <w:p w14:paraId="307341BD">
      <w:pPr>
        <w:spacing w:line="240" w:lineRule="auto"/>
        <w:ind w:firstLine="640"/>
        <w:jc w:val="both"/>
      </w:pPr>
      <w:r>
        <w:rPr>
          <w:rFonts w:ascii="仿宋_GB2312" w:hAnsi="仿宋_GB2312" w:eastAsia="仿宋_GB2312"/>
          <w:b w:val="0"/>
          <w:sz w:val="32"/>
        </w:rPr>
        <w:t>九、《财政拨款“三公”经费支出决算表》</w:t>
      </w:r>
    </w:p>
    <w:p w14:paraId="00ED3F35">
      <w:pPr>
        <w:spacing w:line="240" w:lineRule="auto"/>
        <w:ind w:firstLine="640"/>
        <w:jc w:val="both"/>
      </w:pPr>
    </w:p>
    <w:p w14:paraId="64FEF49E">
      <w:pPr>
        <w:spacing w:line="240" w:lineRule="auto"/>
        <w:ind w:firstLine="640"/>
        <w:jc w:val="both"/>
      </w:pPr>
    </w:p>
    <w:p w14:paraId="32542A63">
      <w:pPr>
        <w:spacing w:line="240" w:lineRule="auto"/>
        <w:ind w:firstLine="640"/>
        <w:jc w:val="both"/>
      </w:pPr>
    </w:p>
    <w:p w14:paraId="6B219466">
      <w:pPr>
        <w:spacing w:line="240" w:lineRule="auto"/>
        <w:ind w:firstLine="640"/>
        <w:jc w:val="both"/>
      </w:pPr>
    </w:p>
    <w:p w14:paraId="43DDE4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AD24B8-9E98-4504-9EBA-4E05932D1B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D6B5102-B28B-4797-B969-36F31856ADB5}"/>
  </w:font>
  <w:font w:name="仿宋_GB2312">
    <w:panose1 w:val="02010609030101010101"/>
    <w:charset w:val="86"/>
    <w:family w:val="auto"/>
    <w:pitch w:val="default"/>
    <w:sig w:usb0="00000001" w:usb1="080E0000" w:usb2="00000000" w:usb3="00000000" w:csb0="00040000" w:csb1="00000000"/>
    <w:embedRegular r:id="rId3" w:fontKey="{C5A93008-CBB4-4AC1-A986-64C7E1C3AD2A}"/>
  </w:font>
  <w:font w:name="楷体_GB2312">
    <w:panose1 w:val="02010609030101010101"/>
    <w:charset w:val="86"/>
    <w:family w:val="auto"/>
    <w:pitch w:val="default"/>
    <w:sig w:usb0="00000001" w:usb1="080E0000" w:usb2="00000000" w:usb3="00000000" w:csb0="00040000" w:csb1="00000000"/>
    <w:embedRegular r:id="rId4" w:fontKey="{EC5B458F-EAA2-4A0E-B47B-0560730F6F5F}"/>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5C59BC"/>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0931D3"/>
    <w:rsid w:val="3B1220C9"/>
    <w:rsid w:val="3D5275AC"/>
    <w:rsid w:val="3DEC0266"/>
    <w:rsid w:val="3EA7725F"/>
    <w:rsid w:val="3EC014A1"/>
    <w:rsid w:val="3F725DAE"/>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0EF2979"/>
    <w:rsid w:val="613409CB"/>
    <w:rsid w:val="61A46A97"/>
    <w:rsid w:val="62DD7D21"/>
    <w:rsid w:val="65D97752"/>
    <w:rsid w:val="664C500C"/>
    <w:rsid w:val="67D111AB"/>
    <w:rsid w:val="681D6017"/>
    <w:rsid w:val="68DB0208"/>
    <w:rsid w:val="68DF36D5"/>
    <w:rsid w:val="69846A0E"/>
    <w:rsid w:val="69AD798C"/>
    <w:rsid w:val="6B68175F"/>
    <w:rsid w:val="6B8B5C99"/>
    <w:rsid w:val="6CA7198F"/>
    <w:rsid w:val="6D8919A8"/>
    <w:rsid w:val="6E0F7A08"/>
    <w:rsid w:val="6E801ABC"/>
    <w:rsid w:val="71473612"/>
    <w:rsid w:val="718F7F65"/>
    <w:rsid w:val="72396C2A"/>
    <w:rsid w:val="73423603"/>
    <w:rsid w:val="737A5923"/>
    <w:rsid w:val="73DE4104"/>
    <w:rsid w:val="73FB6630"/>
    <w:rsid w:val="74CE04EC"/>
    <w:rsid w:val="74E76DCD"/>
    <w:rsid w:val="76660D7C"/>
    <w:rsid w:val="77ED6F44"/>
    <w:rsid w:val="795A0A34"/>
    <w:rsid w:val="7A0D3BC7"/>
    <w:rsid w:val="7A3A3CDB"/>
    <w:rsid w:val="7F244C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9852</Words>
  <Characters>11211</Characters>
  <Lines>0</Lines>
  <Paragraphs>0</Paragraphs>
  <TotalTime>5</TotalTime>
  <ScaleCrop>false</ScaleCrop>
  <LinksUpToDate>false</LinksUpToDate>
  <CharactersWithSpaces>11219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