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宋体" w:cs="宋体"/>
          <w:sz w:val="44"/>
          <w:szCs w:val="44"/>
        </w:rPr>
      </w:pPr>
    </w:p>
    <w:p>
      <w:pPr>
        <w:spacing w:line="58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2017</w:t>
      </w:r>
      <w:r>
        <w:rPr>
          <w:rFonts w:hint="eastAsia" w:ascii="方正小标宋简体" w:hAnsi="方正小标宋简体" w:eastAsia="方正小标宋简体" w:cs="方正小标宋简体"/>
          <w:sz w:val="44"/>
          <w:szCs w:val="44"/>
        </w:rPr>
        <w:t>年度塔什库尔干县政法委部门决算</w:t>
      </w:r>
    </w:p>
    <w:p>
      <w:pPr>
        <w:spacing w:line="580" w:lineRule="exact"/>
        <w:jc w:val="center"/>
        <w:rPr>
          <w:rFonts w:ascii="宋体" w:cs="宋体"/>
          <w:sz w:val="44"/>
          <w:szCs w:val="44"/>
        </w:rPr>
      </w:pPr>
      <w:r>
        <w:rPr>
          <w:rFonts w:hint="eastAsia" w:ascii="方正小标宋简体" w:hAnsi="方正小标宋简体" w:eastAsia="方正小标宋简体" w:cs="方正小标宋简体"/>
          <w:sz w:val="44"/>
          <w:szCs w:val="44"/>
        </w:rPr>
        <w:t>公开说明</w:t>
      </w:r>
    </w:p>
    <w:p>
      <w:pPr>
        <w:spacing w:line="560" w:lineRule="exact"/>
        <w:jc w:val="center"/>
        <w:rPr>
          <w:rFonts w:ascii="宋体" w:cs="宋体"/>
          <w:sz w:val="44"/>
          <w:szCs w:val="44"/>
        </w:rPr>
      </w:pPr>
    </w:p>
    <w:p>
      <w:pPr>
        <w:spacing w:line="58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塔什库尔干县政法委单位概况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640" w:firstLineChars="200"/>
        <w:rPr>
          <w:rFonts w:ascii="仿宋_GB2312" w:eastAsia="仿宋_GB2312"/>
          <w:sz w:val="32"/>
          <w:szCs w:val="32"/>
        </w:rPr>
      </w:pPr>
    </w:p>
    <w:p>
      <w:pPr>
        <w:spacing w:line="560" w:lineRule="exact"/>
        <w:jc w:val="center"/>
        <w:rPr>
          <w:rFonts w:ascii="黑体" w:hAnsi="黑体" w:eastAsia="黑体" w:cs="黑体"/>
          <w:bCs/>
          <w:sz w:val="32"/>
          <w:szCs w:val="32"/>
        </w:rPr>
      </w:pPr>
      <w:r>
        <w:rPr>
          <w:rFonts w:hint="eastAsia" w:ascii="黑体" w:hAnsi="黑体" w:eastAsia="黑体" w:cs="黑体"/>
          <w:bCs/>
          <w:sz w:val="32"/>
          <w:szCs w:val="32"/>
        </w:rPr>
        <w:t>第一部分</w:t>
      </w:r>
      <w:r>
        <w:rPr>
          <w:rFonts w:ascii="黑体" w:hAnsi="黑体" w:eastAsia="黑体" w:cs="黑体"/>
          <w:bCs/>
          <w:sz w:val="32"/>
          <w:szCs w:val="32"/>
        </w:rPr>
        <w:t xml:space="preserve"> </w:t>
      </w:r>
      <w:r>
        <w:rPr>
          <w:rFonts w:hint="eastAsia" w:ascii="黑体" w:hAnsi="黑体" w:eastAsia="黑体" w:cs="黑体"/>
          <w:bCs/>
          <w:sz w:val="32"/>
          <w:szCs w:val="32"/>
        </w:rPr>
        <w:t>部门单位概况</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部门单位基本情况，包括：部门主要职能和机构设置情况、年末编制情况、实有人数情况等。</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（一）</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部门主要职能</w:t>
      </w:r>
      <w:r>
        <w:rPr>
          <w:rFonts w:ascii="仿宋_GB2312" w:hAnsi="仿宋_GB2312" w:eastAsia="仿宋_GB2312" w:cs="仿宋_GB2312"/>
          <w:sz w:val="32"/>
          <w:szCs w:val="32"/>
        </w:rPr>
        <w:t xml:space="preserve"> </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、贯彻执行党的路线、方针、政策以及党委的有关决策和部署，统一政法各部门的思想和行动。</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、组织政法工作中有关法律及重大政策的调查研究；指导政法工作改革，对依法治理工作提出意见、建议。</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、研究处理政法工作的重大问题并及时向同级党委提出建议，对一定时期的政法工作作出全局性部署并检查落实。</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、维护政法各部门依法独立行使职权；依法组织开展执法监督；指导、协调政法各部门的工作；组织研究和讨论有争议的重大、疑难案件。</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、组织调查、协助处理抗法的重大事件，确保政法各部门正常开展工作，协助同级党委组织部考检查督促政法队伍的纪检、干部和人事工作。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、组织、协调社会治安综合治理工作、防范与处理邪教问题工作等。调查掌握社会治安综合治理方面的新情况、新问题；制订并检查落实社会治安综合治理的重大措施。</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、研究和指导本级政法队伍建设，协助党委组织部考察、管理政法部门领导班子和干部队伍。</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、承办党委和上级政法委员会、综合治理委员会交办的其它事项。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pStyle w:val="6"/>
        <w:widowControl/>
        <w:spacing w:line="560" w:lineRule="exact"/>
        <w:ind w:firstLine="640"/>
        <w:rPr>
          <w:rFonts w:ascii="仿宋_GB2312" w:hAnsi="仿宋_GB2312" w:eastAsia="仿宋_GB2312" w:cs="仿宋_GB2312"/>
          <w:sz w:val="32"/>
          <w:szCs w:val="32"/>
        </w:rPr>
      </w:pPr>
      <w:r>
        <w:rPr>
          <w:rFonts w:hint="eastAsia" w:ascii="仿宋_GB2312" w:hAnsi="宋体" w:eastAsia="仿宋_GB2312" w:cs="仿宋_GB2312"/>
          <w:sz w:val="32"/>
          <w:szCs w:val="32"/>
        </w:rPr>
        <w:t>塔什库尔干县政法委单位性质为行政单位</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全额拨款单位，执行会计制度为行政会计制度。独立编制机构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个，独立编制机构与上年无变动，</w:t>
      </w:r>
      <w:r>
        <w:rPr>
          <w:rFonts w:hint="eastAsia" w:ascii="仿宋_GB2312" w:hAnsi="仿宋_GB2312" w:eastAsia="仿宋_GB2312" w:cs="仿宋_GB2312"/>
          <w:sz w:val="32"/>
          <w:szCs w:val="32"/>
        </w:rPr>
        <w:t>政法委内设机构：</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、办公室；</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、综治办；</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、法学会；</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6.10</w:t>
      </w:r>
      <w:r>
        <w:rPr>
          <w:rFonts w:hint="eastAsia" w:ascii="仿宋_GB2312" w:hAnsi="仿宋_GB2312" w:eastAsia="仿宋_GB2312" w:cs="仿宋_GB2312"/>
          <w:sz w:val="32"/>
          <w:szCs w:val="32"/>
        </w:rPr>
        <w:t>办公室；</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、边防委办公室。</w:t>
      </w:r>
    </w:p>
    <w:p>
      <w:pPr>
        <w:spacing w:line="560" w:lineRule="exact"/>
        <w:ind w:left="420" w:left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（三）年末编制和实有人数情况</w:t>
      </w:r>
    </w:p>
    <w:p>
      <w:pPr>
        <w:pStyle w:val="6"/>
        <w:widowControl/>
        <w:spacing w:line="560" w:lineRule="exact"/>
        <w:rPr>
          <w:rFonts w:ascii="仿宋_GB2312" w:hAnsi="仿宋_GB2312" w:eastAsia="仿宋_GB2312" w:cs="仿宋_GB2312"/>
          <w:color w:val="000000"/>
          <w:spacing w:val="-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塔什库尔干县政法委编制人数</w:t>
      </w:r>
      <w:r>
        <w:rPr>
          <w:rFonts w:ascii="仿宋_GB2312" w:hAnsi="仿宋_GB2312" w:eastAsia="仿宋_GB2312" w:cs="仿宋_GB2312"/>
          <w:sz w:val="32"/>
          <w:szCs w:val="32"/>
        </w:rPr>
        <w:t>22</w:t>
      </w:r>
      <w:r>
        <w:rPr>
          <w:rFonts w:hint="eastAsia" w:ascii="仿宋_GB2312" w:hAnsi="仿宋_GB2312" w:eastAsia="仿宋_GB2312" w:cs="仿宋_GB2312"/>
          <w:sz w:val="32"/>
          <w:szCs w:val="32"/>
        </w:rPr>
        <w:t>人，其中行政编制</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人，事业编制</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人；县政法委总人数</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人，其中在职人员</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人，比上年增加</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人，主要是新成立边防委调入</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人，政法委调入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人，调出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人，在职人员中正科</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人，副科</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人，科员</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人，工勤</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人；我单位车辆编制数</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辆，实有数</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从决算单位构成看，塔什库尔干县政法委部门决算包括：塔什库尔干县政法委部门本级决算、所属单位决算等。</w:t>
      </w:r>
    </w:p>
    <w:p>
      <w:pPr>
        <w:spacing w:line="56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纳入塔什库尔干县政法委</w:t>
      </w:r>
      <w:r>
        <w:rPr>
          <w:rFonts w:ascii="仿宋_GB2312" w:hAnsi="仿宋_GB2312" w:eastAsia="仿宋_GB2312" w:cs="仿宋_GB2312"/>
          <w:spacing w:val="-6"/>
          <w:sz w:val="32"/>
          <w:szCs w:val="32"/>
        </w:rPr>
        <w:t>2017</w:t>
      </w:r>
      <w:r>
        <w:rPr>
          <w:rFonts w:hint="eastAsia" w:ascii="仿宋_GB2312" w:hAnsi="仿宋_GB2312" w:eastAsia="仿宋_GB2312" w:cs="仿宋_GB2312"/>
          <w:spacing w:val="-6"/>
          <w:sz w:val="32"/>
          <w:szCs w:val="32"/>
        </w:rPr>
        <w:t>年部门决算编制范围的单位名单见下表：</w:t>
      </w:r>
    </w:p>
    <w:tbl>
      <w:tblPr>
        <w:tblStyle w:val="1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3"/>
        <w:gridCol w:w="3975"/>
        <w:gridCol w:w="2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933" w:type="dxa"/>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397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单位名称</w:t>
            </w:r>
          </w:p>
        </w:tc>
        <w:tc>
          <w:tcPr>
            <w:tcW w:w="2152" w:type="dxa"/>
            <w:vAlign w:val="center"/>
          </w:tcPr>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933" w:type="dxa"/>
            <w:vAlign w:val="center"/>
          </w:tcPr>
          <w:p>
            <w:pPr>
              <w:spacing w:line="56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1</w:t>
            </w:r>
          </w:p>
        </w:tc>
        <w:tc>
          <w:tcPr>
            <w:tcW w:w="3975" w:type="dxa"/>
            <w:vAlign w:val="center"/>
          </w:tcPr>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塔什库尔干县政法委</w:t>
            </w:r>
          </w:p>
        </w:tc>
        <w:tc>
          <w:tcPr>
            <w:tcW w:w="2152" w:type="dxa"/>
            <w:vAlign w:val="center"/>
          </w:tcPr>
          <w:p>
            <w:pPr>
              <w:spacing w:line="560" w:lineRule="exact"/>
              <w:ind w:firstLine="640" w:firstLineChars="200"/>
              <w:jc w:val="center"/>
              <w:rPr>
                <w:rFonts w:ascii="仿宋_GB2312" w:hAnsi="仿宋_GB2312" w:eastAsia="仿宋_GB2312" w:cs="仿宋_GB2312"/>
                <w:sz w:val="32"/>
                <w:szCs w:val="32"/>
              </w:rPr>
            </w:pPr>
          </w:p>
        </w:tc>
      </w:tr>
    </w:tbl>
    <w:p>
      <w:pPr>
        <w:spacing w:line="560" w:lineRule="exact"/>
        <w:rPr>
          <w:rFonts w:ascii="仿宋_GB2312" w:hAnsi="仿宋_GB2312" w:eastAsia="仿宋_GB2312" w:cs="仿宋_GB2312"/>
          <w:b/>
          <w:sz w:val="32"/>
          <w:szCs w:val="32"/>
        </w:rPr>
      </w:pPr>
    </w:p>
    <w:p>
      <w:pPr>
        <w:spacing w:line="560" w:lineRule="exact"/>
        <w:ind w:firstLine="627"/>
        <w:jc w:val="center"/>
        <w:rPr>
          <w:rFonts w:ascii="黑体" w:hAnsi="黑体" w:eastAsia="黑体" w:cs="黑体"/>
          <w:bCs/>
          <w:sz w:val="32"/>
          <w:szCs w:val="32"/>
        </w:rPr>
      </w:pPr>
      <w:r>
        <w:rPr>
          <w:rFonts w:hint="eastAsia" w:ascii="黑体" w:hAnsi="黑体" w:eastAsia="黑体" w:cs="黑体"/>
          <w:bCs/>
          <w:sz w:val="32"/>
          <w:szCs w:val="32"/>
        </w:rPr>
        <w:t>第二部分</w:t>
      </w:r>
      <w:r>
        <w:rPr>
          <w:rFonts w:ascii="黑体" w:hAnsi="黑体" w:eastAsia="黑体" w:cs="黑体"/>
          <w:bCs/>
          <w:sz w:val="32"/>
          <w:szCs w:val="32"/>
        </w:rPr>
        <w:t xml:space="preserve"> </w:t>
      </w:r>
      <w:r>
        <w:rPr>
          <w:rFonts w:hint="eastAsia" w:ascii="黑体" w:hAnsi="黑体" w:eastAsia="黑体" w:cs="黑体"/>
          <w:bCs/>
          <w:sz w:val="32"/>
          <w:szCs w:val="32"/>
        </w:rPr>
        <w:t>部门决算情况说明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年收入</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55351.97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66.62%</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68351.97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71.13%</w:t>
      </w:r>
      <w:r>
        <w:rPr>
          <w:rFonts w:hint="eastAsia" w:ascii="仿宋_GB2312" w:hAnsi="仿宋_GB2312" w:eastAsia="仿宋_GB2312" w:cs="仿宋_GB2312"/>
          <w:sz w:val="32"/>
          <w:szCs w:val="32"/>
        </w:rPr>
        <w:t>，结余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，增加的主要原因是：增加建设项目及其他人员工资。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707.85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年收入</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万元，与预算相比，增加</w:t>
      </w:r>
      <w:r>
        <w:rPr>
          <w:rFonts w:hint="eastAsia" w:ascii="仿宋_GB2312" w:hAnsi="仿宋_GB2312" w:eastAsia="仿宋_GB2312" w:cs="仿宋_GB2312"/>
          <w:sz w:val="32"/>
          <w:szCs w:val="32"/>
          <w:lang w:val="en-US" w:eastAsia="zh-CN"/>
        </w:rPr>
        <w:t>82383.51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11638.55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95383.51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13475.10%</w:t>
      </w:r>
      <w:r>
        <w:rPr>
          <w:rFonts w:hint="eastAsia" w:ascii="仿宋_GB2312" w:hAnsi="仿宋_GB2312" w:eastAsia="仿宋_GB2312" w:cs="仿宋_GB2312"/>
          <w:sz w:val="32"/>
          <w:szCs w:val="32"/>
        </w:rPr>
        <w:t>。增加的主要原因是：增加建设项目年初未做预算。</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本年收入合计</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万元，其中：财政拨款收入</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；上级补助收入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；事业收入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；附属单位缴款</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；其他收入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，增加的主要原因是：增加建设项目及其他人员工资。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707.85</w:t>
      </w:r>
      <w:r>
        <w:rPr>
          <w:rFonts w:hint="eastAsia" w:ascii="仿宋_GB2312" w:hAnsi="仿宋_GB2312" w:eastAsia="仿宋_GB2312" w:cs="仿宋_GB2312"/>
          <w:sz w:val="32"/>
          <w:szCs w:val="32"/>
        </w:rPr>
        <w:t>万元，本年收入合计</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95383.51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13475.10%</w:t>
      </w:r>
      <w:r>
        <w:rPr>
          <w:rFonts w:hint="eastAsia" w:ascii="仿宋_GB2312" w:hAnsi="仿宋_GB2312" w:eastAsia="仿宋_GB2312" w:cs="仿宋_GB2312"/>
          <w:sz w:val="32"/>
          <w:szCs w:val="32"/>
        </w:rPr>
        <w:t>。增加的主要原因是：增加建设项目年初未做预算。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（三）部门支出总体情况说明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本年支出合计</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万元，其中：基本支出</w:t>
      </w:r>
      <w:r>
        <w:rPr>
          <w:rFonts w:ascii="仿宋_GB2312" w:hAnsi="仿宋_GB2312" w:eastAsia="仿宋_GB2312" w:cs="仿宋_GB2312"/>
          <w:sz w:val="32"/>
          <w:szCs w:val="32"/>
        </w:rPr>
        <w:t>278.11</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0.29%</w:t>
      </w:r>
      <w:r>
        <w:rPr>
          <w:rFonts w:hint="eastAsia" w:ascii="仿宋_GB2312" w:hAnsi="仿宋_GB2312" w:eastAsia="仿宋_GB2312" w:cs="仿宋_GB2312"/>
          <w:sz w:val="32"/>
          <w:szCs w:val="32"/>
        </w:rPr>
        <w:t>；项目支出</w:t>
      </w:r>
      <w:r>
        <w:rPr>
          <w:rFonts w:ascii="仿宋_GB2312" w:hAnsi="仿宋_GB2312" w:eastAsia="仿宋_GB2312" w:cs="仿宋_GB2312"/>
          <w:sz w:val="32"/>
          <w:szCs w:val="32"/>
        </w:rPr>
        <w:t>95813.25</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99.71%</w:t>
      </w:r>
      <w:r>
        <w:rPr>
          <w:rFonts w:hint="eastAsia" w:ascii="仿宋_GB2312" w:hAnsi="仿宋_GB2312" w:eastAsia="仿宋_GB2312" w:cs="仿宋_GB2312"/>
          <w:sz w:val="32"/>
          <w:szCs w:val="32"/>
        </w:rPr>
        <w:t>；上缴上级支出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；对附属单位补助支出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。增减变化的主要原因是：增加建设项目及其他人员工资。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707.85</w:t>
      </w:r>
      <w:r>
        <w:rPr>
          <w:rFonts w:hint="eastAsia" w:ascii="仿宋_GB2312" w:hAnsi="仿宋_GB2312" w:eastAsia="仿宋_GB2312" w:cs="仿宋_GB2312"/>
          <w:sz w:val="32"/>
          <w:szCs w:val="32"/>
        </w:rPr>
        <w:t>万元，本年支出合计</w:t>
      </w:r>
      <w:r>
        <w:rPr>
          <w:rFonts w:hint="eastAsia" w:ascii="仿宋_GB2312" w:hAnsi="仿宋_GB2312" w:eastAsia="仿宋_GB2312" w:cs="仿宋_GB2312"/>
          <w:sz w:val="32"/>
          <w:szCs w:val="32"/>
          <w:lang w:val="en-US" w:eastAsia="zh-CN"/>
        </w:rPr>
        <w:t>96</w:t>
      </w:r>
      <w:r>
        <w:rPr>
          <w:rFonts w:ascii="仿宋_GB2312" w:hAnsi="仿宋_GB2312" w:eastAsia="仿宋_GB2312" w:cs="仿宋_GB2312"/>
          <w:sz w:val="32"/>
          <w:szCs w:val="32"/>
        </w:rPr>
        <w:t>091.36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95383.51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13475.10%</w:t>
      </w:r>
      <w:r>
        <w:rPr>
          <w:rFonts w:hint="eastAsia" w:ascii="仿宋_GB2312" w:hAnsi="仿宋_GB2312" w:eastAsia="仿宋_GB2312" w:cs="仿宋_GB2312"/>
          <w:sz w:val="32"/>
          <w:szCs w:val="32"/>
        </w:rPr>
        <w:t>。增加的主要原因是：增加建设项目年初未做预算。</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rPr>
        <w:t>。</w:t>
      </w:r>
    </w:p>
    <w:p>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（一）财政拨款收支总体情况说明</w:t>
      </w:r>
    </w:p>
    <w:p>
      <w:pPr>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年财政拨款收入</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55351.97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66.62%</w:t>
      </w:r>
      <w:r>
        <w:rPr>
          <w:rFonts w:hint="eastAsia" w:ascii="仿宋_GB2312" w:hAnsi="仿宋_GB2312" w:eastAsia="仿宋_GB2312" w:cs="仿宋_GB2312"/>
          <w:sz w:val="32"/>
          <w:szCs w:val="32"/>
        </w:rPr>
        <w:t>，增加的主要原因是：增加建设项目及其他人员工资。财政拨款支出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万元，基本支出</w:t>
      </w:r>
      <w:r>
        <w:rPr>
          <w:rFonts w:ascii="仿宋_GB2312" w:hAnsi="仿宋_GB2312" w:eastAsia="仿宋_GB2312" w:cs="仿宋_GB2312"/>
          <w:sz w:val="32"/>
          <w:szCs w:val="32"/>
        </w:rPr>
        <w:t>278.11</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95813.25</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68351.97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71.13%</w:t>
      </w:r>
      <w:r>
        <w:rPr>
          <w:rFonts w:hint="eastAsia" w:ascii="仿宋_GB2312" w:hAnsi="仿宋_GB2312" w:eastAsia="仿宋_GB2312" w:cs="仿宋_GB2312"/>
          <w:sz w:val="32"/>
          <w:szCs w:val="32"/>
        </w:rPr>
        <w:t>，增加的主要原因是：增加建设项目及其他人员工资。财政拨款结转结余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万元，与上年相比，减少</w:t>
      </w:r>
      <w:r>
        <w:rPr>
          <w:rFonts w:ascii="仿宋_GB2312" w:hAnsi="仿宋_GB2312" w:eastAsia="仿宋_GB2312" w:cs="仿宋_GB2312"/>
          <w:sz w:val="32"/>
          <w:szCs w:val="32"/>
        </w:rPr>
        <w:t>13000</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年无财政拨款结转结余。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707.85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年财政拨款收入</w:t>
      </w:r>
      <w:r>
        <w:rPr>
          <w:rFonts w:ascii="仿宋_GB2312" w:hAnsi="仿宋_GB2312" w:eastAsia="仿宋_GB2312" w:cs="仿宋_GB2312"/>
          <w:sz w:val="32"/>
          <w:szCs w:val="32"/>
        </w:rPr>
        <w:t>83091.36</w:t>
      </w:r>
      <w:r>
        <w:rPr>
          <w:rFonts w:hint="eastAsia" w:ascii="仿宋_GB2312" w:hAnsi="仿宋_GB2312" w:eastAsia="仿宋_GB2312" w:cs="仿宋_GB2312"/>
          <w:sz w:val="32"/>
          <w:szCs w:val="32"/>
        </w:rPr>
        <w:t>万元，与预算相比，增加</w:t>
      </w:r>
      <w:r>
        <w:rPr>
          <w:rFonts w:hint="eastAsia" w:ascii="仿宋_GB2312" w:hAnsi="仿宋_GB2312" w:eastAsia="仿宋_GB2312" w:cs="仿宋_GB2312"/>
          <w:sz w:val="32"/>
          <w:szCs w:val="32"/>
          <w:lang w:val="en-US" w:eastAsia="zh-CN"/>
        </w:rPr>
        <w:t>82383.51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1638.55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，财政拨款支出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95383.51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13475.10%</w:t>
      </w:r>
      <w:r>
        <w:rPr>
          <w:rFonts w:hint="eastAsia" w:ascii="仿宋_GB2312" w:hAnsi="仿宋_GB2312" w:eastAsia="仿宋_GB2312" w:cs="仿宋_GB2312"/>
          <w:sz w:val="32"/>
          <w:szCs w:val="32"/>
        </w:rPr>
        <w:t>。增加的主要原因是：增加建设项目年初未做预算。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68351.97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71.13%</w:t>
      </w:r>
      <w:r>
        <w:rPr>
          <w:rFonts w:hint="eastAsia" w:ascii="仿宋_GB2312" w:hAnsi="仿宋_GB2312" w:eastAsia="仿宋_GB2312" w:cs="仿宋_GB2312"/>
          <w:sz w:val="32"/>
          <w:szCs w:val="32"/>
        </w:rPr>
        <w:t>。增加的主要原因是：增加建设项目及其他人员工资。其中：按功能分类科目，一般公共服务支出</w:t>
      </w:r>
      <w:r>
        <w:rPr>
          <w:rFonts w:ascii="仿宋_GB2312" w:hAnsi="仿宋_GB2312" w:eastAsia="仿宋_GB2312" w:cs="仿宋_GB2312"/>
          <w:sz w:val="32"/>
          <w:szCs w:val="32"/>
        </w:rPr>
        <w:t>241.19</w:t>
      </w:r>
      <w:r>
        <w:rPr>
          <w:rFonts w:hint="eastAsia" w:ascii="仿宋_GB2312" w:hAnsi="仿宋_GB2312" w:eastAsia="仿宋_GB2312" w:cs="仿宋_GB2312"/>
          <w:sz w:val="32"/>
          <w:szCs w:val="32"/>
        </w:rPr>
        <w:t>万元，国防支出</w:t>
      </w:r>
      <w:r>
        <w:rPr>
          <w:rFonts w:ascii="仿宋_GB2312" w:hAnsi="仿宋_GB2312" w:eastAsia="仿宋_GB2312" w:cs="仿宋_GB2312"/>
          <w:sz w:val="32"/>
          <w:szCs w:val="32"/>
        </w:rPr>
        <w:t>668.83</w:t>
      </w:r>
      <w:r>
        <w:rPr>
          <w:rFonts w:hint="eastAsia" w:ascii="仿宋_GB2312" w:hAnsi="仿宋_GB2312" w:eastAsia="仿宋_GB2312" w:cs="仿宋_GB2312"/>
          <w:sz w:val="32"/>
          <w:szCs w:val="32"/>
        </w:rPr>
        <w:t>万元，公共安全支出</w:t>
      </w:r>
      <w:r>
        <w:rPr>
          <w:rFonts w:ascii="仿宋_GB2312" w:hAnsi="仿宋_GB2312" w:eastAsia="仿宋_GB2312" w:cs="仿宋_GB2312"/>
          <w:sz w:val="32"/>
          <w:szCs w:val="32"/>
        </w:rPr>
        <w:t>86464.68</w:t>
      </w:r>
      <w:r>
        <w:rPr>
          <w:rFonts w:hint="eastAsia" w:ascii="仿宋_GB2312" w:hAnsi="仿宋_GB2312" w:eastAsia="仿宋_GB2312" w:cs="仿宋_GB2312"/>
          <w:sz w:val="32"/>
          <w:szCs w:val="32"/>
        </w:rPr>
        <w:t>万元，社会保障和就业支出</w:t>
      </w:r>
      <w:r>
        <w:rPr>
          <w:rFonts w:ascii="仿宋_GB2312" w:hAnsi="仿宋_GB2312" w:eastAsia="仿宋_GB2312" w:cs="仿宋_GB2312"/>
          <w:sz w:val="32"/>
          <w:szCs w:val="32"/>
        </w:rPr>
        <w:t>22.99</w:t>
      </w:r>
      <w:r>
        <w:rPr>
          <w:rFonts w:hint="eastAsia" w:ascii="仿宋_GB2312" w:hAnsi="仿宋_GB2312" w:eastAsia="仿宋_GB2312" w:cs="仿宋_GB2312"/>
          <w:sz w:val="32"/>
          <w:szCs w:val="32"/>
        </w:rPr>
        <w:t>万元，交通运输支出</w:t>
      </w:r>
      <w:r>
        <w:rPr>
          <w:rFonts w:ascii="仿宋_GB2312" w:hAnsi="仿宋_GB2312" w:eastAsia="仿宋_GB2312" w:cs="仿宋_GB2312"/>
          <w:sz w:val="32"/>
          <w:szCs w:val="32"/>
        </w:rPr>
        <w:t>1610</w:t>
      </w:r>
      <w:r>
        <w:rPr>
          <w:rFonts w:hint="eastAsia" w:ascii="仿宋_GB2312" w:hAnsi="仿宋_GB2312" w:eastAsia="仿宋_GB2312" w:cs="仿宋_GB2312"/>
          <w:sz w:val="32"/>
          <w:szCs w:val="32"/>
        </w:rPr>
        <w:t>万元，住房保障支出</w:t>
      </w:r>
      <w:r>
        <w:rPr>
          <w:rFonts w:ascii="仿宋_GB2312" w:hAnsi="仿宋_GB2312" w:eastAsia="仿宋_GB2312" w:cs="仿宋_GB2312"/>
          <w:sz w:val="32"/>
          <w:szCs w:val="32"/>
        </w:rPr>
        <w:t>17.22</w:t>
      </w:r>
      <w:r>
        <w:rPr>
          <w:rFonts w:hint="eastAsia" w:ascii="仿宋_GB2312" w:hAnsi="仿宋_GB2312" w:eastAsia="仿宋_GB2312" w:cs="仿宋_GB2312"/>
          <w:sz w:val="32"/>
          <w:szCs w:val="32"/>
        </w:rPr>
        <w:t>万元，其他支出</w:t>
      </w:r>
      <w:r>
        <w:rPr>
          <w:rFonts w:ascii="仿宋_GB2312" w:hAnsi="仿宋_GB2312" w:eastAsia="仿宋_GB2312" w:cs="仿宋_GB2312"/>
          <w:sz w:val="32"/>
          <w:szCs w:val="32"/>
        </w:rPr>
        <w:t>7066.44</w:t>
      </w:r>
      <w:r>
        <w:rPr>
          <w:rFonts w:hint="eastAsia" w:ascii="仿宋_GB2312" w:hAnsi="仿宋_GB2312" w:eastAsia="仿宋_GB2312" w:cs="仿宋_GB2312"/>
          <w:sz w:val="32"/>
          <w:szCs w:val="32"/>
        </w:rPr>
        <w:t>万元。按经济分类科目，工资福利支出</w:t>
      </w:r>
      <w:r>
        <w:rPr>
          <w:rFonts w:ascii="仿宋_GB2312" w:hAnsi="仿宋_GB2312" w:eastAsia="仿宋_GB2312" w:cs="仿宋_GB2312"/>
          <w:sz w:val="32"/>
          <w:szCs w:val="32"/>
        </w:rPr>
        <w:t>202.74</w:t>
      </w:r>
      <w:r>
        <w:rPr>
          <w:rFonts w:hint="eastAsia" w:ascii="仿宋_GB2312" w:hAnsi="仿宋_GB2312" w:eastAsia="仿宋_GB2312" w:cs="仿宋_GB2312"/>
          <w:sz w:val="32"/>
          <w:szCs w:val="32"/>
        </w:rPr>
        <w:t>万元，商品服务支出</w:t>
      </w:r>
      <w:r>
        <w:rPr>
          <w:rFonts w:ascii="仿宋_GB2312" w:hAnsi="仿宋_GB2312" w:eastAsia="仿宋_GB2312" w:cs="仿宋_GB2312"/>
          <w:sz w:val="32"/>
          <w:szCs w:val="32"/>
        </w:rPr>
        <w:t>121.78</w:t>
      </w:r>
      <w:r>
        <w:rPr>
          <w:rFonts w:hint="eastAsia" w:ascii="仿宋_GB2312" w:hAnsi="仿宋_GB2312" w:eastAsia="仿宋_GB2312" w:cs="仿宋_GB2312"/>
          <w:sz w:val="32"/>
          <w:szCs w:val="32"/>
        </w:rPr>
        <w:t>万元，对个人和家庭补助支出</w:t>
      </w:r>
      <w:r>
        <w:rPr>
          <w:rFonts w:ascii="仿宋_GB2312" w:hAnsi="仿宋_GB2312" w:eastAsia="仿宋_GB2312" w:cs="仿宋_GB2312"/>
          <w:sz w:val="32"/>
          <w:szCs w:val="32"/>
        </w:rPr>
        <w:t>7117.62</w:t>
      </w:r>
      <w:r>
        <w:rPr>
          <w:rFonts w:hint="eastAsia" w:ascii="仿宋_GB2312" w:hAnsi="仿宋_GB2312" w:eastAsia="仿宋_GB2312" w:cs="仿宋_GB2312"/>
          <w:sz w:val="32"/>
          <w:szCs w:val="32"/>
        </w:rPr>
        <w:t>万元，基本建设支出</w:t>
      </w:r>
      <w:r>
        <w:rPr>
          <w:rFonts w:ascii="仿宋_GB2312" w:hAnsi="仿宋_GB2312" w:eastAsia="仿宋_GB2312" w:cs="仿宋_GB2312"/>
          <w:sz w:val="32"/>
          <w:szCs w:val="32"/>
        </w:rPr>
        <w:t>1610</w:t>
      </w:r>
      <w:r>
        <w:rPr>
          <w:rFonts w:hint="eastAsia" w:ascii="仿宋_GB2312" w:hAnsi="仿宋_GB2312" w:eastAsia="仿宋_GB2312" w:cs="仿宋_GB2312"/>
          <w:sz w:val="32"/>
          <w:szCs w:val="32"/>
        </w:rPr>
        <w:t>万元，其他资本性支出</w:t>
      </w:r>
      <w:r>
        <w:rPr>
          <w:rFonts w:ascii="仿宋_GB2312" w:hAnsi="仿宋_GB2312" w:eastAsia="仿宋_GB2312" w:cs="仿宋_GB2312"/>
          <w:sz w:val="32"/>
          <w:szCs w:val="32"/>
        </w:rPr>
        <w:t>87039.22</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707.85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96091.36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95383.51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13475.10%</w:t>
      </w:r>
      <w:r>
        <w:rPr>
          <w:rFonts w:hint="eastAsia" w:ascii="仿宋_GB2312" w:hAnsi="仿宋_GB2312" w:eastAsia="仿宋_GB2312" w:cs="仿宋_GB2312"/>
          <w:sz w:val="32"/>
          <w:szCs w:val="32"/>
        </w:rPr>
        <w:t>。增加的主要原因是：增加建设项目年初未做预算。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w:t>
      </w:r>
      <w:r>
        <w:rPr>
          <w:rFonts w:hint="eastAsia" w:ascii="仿宋_GB2312" w:hAnsi="仿宋_GB2312" w:eastAsia="仿宋_GB2312" w:cs="仿宋_GB2312"/>
          <w:sz w:val="32"/>
          <w:szCs w:val="32"/>
        </w:rPr>
        <w:t>政府性基金预算收支</w:t>
      </w:r>
      <w:r>
        <w:rPr>
          <w:rFonts w:hint="eastAsia" w:ascii="仿宋_GB2312" w:eastAsia="仿宋_GB2312"/>
          <w:sz w:val="32"/>
          <w:szCs w:val="32"/>
        </w:rPr>
        <w:t>。政府性基金预算财政拨款支出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w:t>
      </w:r>
      <w:r>
        <w:rPr>
          <w:rFonts w:hint="eastAsia" w:ascii="仿宋_GB2312" w:hAnsi="仿宋_GB2312" w:eastAsia="仿宋_GB2312" w:cs="仿宋_GB2312"/>
          <w:sz w:val="32"/>
          <w:szCs w:val="32"/>
        </w:rPr>
        <w:t>政府性基金预算收支</w:t>
      </w:r>
      <w:r>
        <w:rPr>
          <w:rFonts w:hint="eastAsia" w:ascii="仿宋_GB2312"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eastAsia="仿宋_GB2312"/>
          <w:sz w:val="32"/>
          <w:szCs w:val="32"/>
        </w:rPr>
        <w:t>本单位无</w:t>
      </w:r>
      <w:r>
        <w:rPr>
          <w:rFonts w:hint="eastAsia" w:ascii="仿宋_GB2312" w:hAnsi="仿宋_GB2312" w:eastAsia="仿宋_GB2312" w:cs="仿宋_GB2312"/>
          <w:sz w:val="32"/>
          <w:szCs w:val="32"/>
        </w:rPr>
        <w:t>政府性基金预算收支</w:t>
      </w:r>
      <w:r>
        <w:rPr>
          <w:rFonts w:hint="eastAsia" w:ascii="仿宋_GB2312" w:eastAsia="仿宋_GB2312"/>
          <w:sz w:val="32"/>
          <w:szCs w:val="32"/>
        </w:rPr>
        <w:t>。</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年度政府性基金预算支出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w:t>
      </w:r>
      <w:r>
        <w:rPr>
          <w:rFonts w:hint="eastAsia" w:ascii="仿宋_GB2312" w:eastAsia="仿宋_GB2312"/>
          <w:sz w:val="32"/>
          <w:szCs w:val="32"/>
        </w:rPr>
        <w:t>本单位无</w:t>
      </w:r>
      <w:r>
        <w:rPr>
          <w:rFonts w:hint="eastAsia" w:ascii="仿宋_GB2312" w:hAnsi="仿宋_GB2312" w:eastAsia="仿宋_GB2312" w:cs="仿宋_GB2312"/>
          <w:sz w:val="32"/>
          <w:szCs w:val="32"/>
        </w:rPr>
        <w:t>政府性基金预算收支。其中，按功能分类科目，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万元。按经济分类科目，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eastAsia="仿宋_GB2312"/>
          <w:sz w:val="32"/>
          <w:szCs w:val="32"/>
        </w:rPr>
        <w:t>本单位无</w:t>
      </w:r>
      <w:r>
        <w:rPr>
          <w:rFonts w:hint="eastAsia" w:ascii="仿宋_GB2312" w:hAnsi="仿宋_GB2312" w:eastAsia="仿宋_GB2312" w:cs="仿宋_GB2312"/>
          <w:sz w:val="32"/>
          <w:szCs w:val="32"/>
        </w:rPr>
        <w:t>政府性基金预算收支</w:t>
      </w:r>
      <w:r>
        <w:rPr>
          <w:rFonts w:hint="eastAsia" w:ascii="仿宋_GB2312"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万元。与上年相比，减少</w:t>
      </w:r>
      <w:r>
        <w:rPr>
          <w:rFonts w:ascii="仿宋_GB2312" w:hAnsi="仿宋_GB2312" w:eastAsia="仿宋_GB2312" w:cs="仿宋_GB2312"/>
          <w:sz w:val="32"/>
          <w:szCs w:val="32"/>
        </w:rPr>
        <w:t>13000</w:t>
      </w:r>
      <w:r>
        <w:rPr>
          <w:rFonts w:hint="eastAsia" w:ascii="仿宋_GB2312" w:hAnsi="仿宋_GB2312" w:eastAsia="仿宋_GB2312" w:cs="仿宋_GB2312"/>
          <w:sz w:val="32"/>
          <w:szCs w:val="32"/>
        </w:rPr>
        <w:t>万元，</w:t>
      </w:r>
      <w:r>
        <w:rPr>
          <w:rFonts w:hint="eastAsia" w:ascii="仿宋_GB2312" w:eastAsia="仿宋_GB2312"/>
          <w:sz w:val="32"/>
          <w:szCs w:val="32"/>
        </w:rPr>
        <w:t>降低</w:t>
      </w:r>
      <w:r>
        <w:rPr>
          <w:rFonts w:ascii="仿宋_GB2312" w:eastAsia="仿宋_GB2312"/>
          <w:sz w:val="32"/>
          <w:szCs w:val="32"/>
        </w:rPr>
        <w:t>100%</w:t>
      </w:r>
      <w:r>
        <w:rPr>
          <w:rFonts w:hint="eastAsia" w:ascii="仿宋_GB2312" w:eastAsia="仿宋_GB2312"/>
          <w:sz w:val="32"/>
          <w:szCs w:val="32"/>
        </w:rPr>
        <w:t>，</w:t>
      </w:r>
      <w:r>
        <w:rPr>
          <w:rFonts w:hint="eastAsia" w:ascii="仿宋_GB2312" w:hAnsi="仿宋_GB2312" w:eastAsia="仿宋_GB2312" w:cs="仿宋_GB2312"/>
          <w:sz w:val="32"/>
          <w:szCs w:val="32"/>
        </w:rPr>
        <w:t>减少的主要原因是：项目已完成。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万元。与上年相比，减少</w:t>
      </w:r>
      <w:r>
        <w:rPr>
          <w:rFonts w:ascii="仿宋_GB2312" w:eastAsia="仿宋_GB2312"/>
          <w:sz w:val="32"/>
          <w:szCs w:val="32"/>
        </w:rPr>
        <w:t>13000</w:t>
      </w:r>
      <w:r>
        <w:rPr>
          <w:rFonts w:hint="eastAsia" w:ascii="仿宋_GB2312" w:eastAsia="仿宋_GB2312"/>
          <w:sz w:val="32"/>
          <w:szCs w:val="32"/>
        </w:rPr>
        <w:t>万元，降低</w:t>
      </w:r>
      <w:r>
        <w:rPr>
          <w:rFonts w:ascii="仿宋_GB2312" w:eastAsia="仿宋_GB2312"/>
          <w:sz w:val="32"/>
          <w:szCs w:val="32"/>
        </w:rPr>
        <w:t>100%</w:t>
      </w:r>
      <w:r>
        <w:rPr>
          <w:rFonts w:hint="eastAsia" w:ascii="仿宋_GB2312" w:eastAsia="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年度一般公共预算“三公”经费支出决算</w:t>
      </w:r>
      <w:r>
        <w:rPr>
          <w:rFonts w:ascii="仿宋_GB2312" w:hAnsi="仿宋_GB2312" w:eastAsia="仿宋_GB2312" w:cs="仿宋_GB2312"/>
          <w:sz w:val="32"/>
          <w:szCs w:val="32"/>
        </w:rPr>
        <w:t>1.89</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0.11</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5.5%</w:t>
      </w:r>
      <w:r>
        <w:rPr>
          <w:rFonts w:hint="eastAsia" w:ascii="仿宋_GB2312" w:hAnsi="仿宋_GB2312" w:eastAsia="仿宋_GB2312" w:cs="仿宋_GB2312"/>
          <w:sz w:val="32"/>
          <w:szCs w:val="32"/>
        </w:rPr>
        <w:t>。减少的原因是压缩公务经费。其中，因公出国（境）费支出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，增加（减少）原因是本单位无因公出国（境）费支出；公务用车购置及运行维护费支出</w:t>
      </w:r>
      <w:r>
        <w:rPr>
          <w:rFonts w:ascii="仿宋_GB2312" w:hAnsi="仿宋_GB2312" w:eastAsia="仿宋_GB2312" w:cs="仿宋_GB2312"/>
          <w:sz w:val="32"/>
          <w:szCs w:val="32"/>
        </w:rPr>
        <w:t>1.89</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，比上年减少</w:t>
      </w:r>
      <w:r>
        <w:rPr>
          <w:rFonts w:ascii="仿宋_GB2312" w:hAnsi="仿宋_GB2312" w:eastAsia="仿宋_GB2312" w:cs="仿宋_GB2312"/>
          <w:sz w:val="32"/>
          <w:szCs w:val="32"/>
        </w:rPr>
        <w:t>0.11</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5.5%</w:t>
      </w:r>
      <w:r>
        <w:rPr>
          <w:rFonts w:hint="eastAsia" w:ascii="仿宋_GB2312" w:hAnsi="仿宋_GB2312" w:eastAsia="仿宋_GB2312" w:cs="仿宋_GB2312"/>
          <w:sz w:val="32"/>
          <w:szCs w:val="32"/>
        </w:rPr>
        <w:t>，减少原因是压缩公务经费；公务接待费支出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。增加（减少）原因是本单位无公务接待支出。具体情况如下：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万元。塔什库尔干县政法委全年使用一般公共预算财政拨款安排的出国（境）团组</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个，累计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人次。开支内容包括：无。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w:t>
      </w:r>
      <w:r>
        <w:rPr>
          <w:rFonts w:ascii="仿宋_GB2312" w:hAnsi="仿宋_GB2312" w:eastAsia="仿宋_GB2312" w:cs="仿宋_GB2312"/>
          <w:sz w:val="32"/>
          <w:szCs w:val="32"/>
        </w:rPr>
        <w:t>1.89</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其中，公务用车购置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1.89</w:t>
      </w:r>
      <w:r>
        <w:rPr>
          <w:rFonts w:hint="eastAsia" w:ascii="仿宋_GB2312" w:hAnsi="仿宋_GB2312" w:eastAsia="仿宋_GB2312" w:cs="仿宋_GB2312"/>
          <w:sz w:val="32"/>
          <w:szCs w:val="32"/>
        </w:rPr>
        <w:t>万元。主要用于车辆加油维修保养等。</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年，单位一般公共财政拨款安排的公务用车购置量</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辆，保有量为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万元。具体是：国内公务接待支出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万元，主要是本单位无国内公务接待支出。塔什库尔干县政法委国内公务接待</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批次，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与预算相比情况：无变动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年度塔什库尔干县政法委机关运行经费支出</w:t>
      </w:r>
      <w:r>
        <w:rPr>
          <w:rFonts w:ascii="仿宋_GB2312" w:hAnsi="仿宋_GB2312" w:eastAsia="仿宋_GB2312" w:cs="仿宋_GB2312"/>
          <w:sz w:val="32"/>
          <w:szCs w:val="32"/>
        </w:rPr>
        <w:t>24.19</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3.35</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13.85%</w:t>
      </w:r>
      <w:r>
        <w:rPr>
          <w:rFonts w:hint="eastAsia" w:ascii="仿宋_GB2312" w:hAnsi="仿宋_GB2312" w:eastAsia="仿宋_GB2312" w:cs="仿宋_GB2312"/>
          <w:sz w:val="32"/>
          <w:szCs w:val="32"/>
        </w:rPr>
        <w:t>，主要原因是增加车辆燃油费。</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塔什库尔干县政法委政府采购计划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万元；实际采购</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日，资产总计</w:t>
      </w:r>
      <w:r>
        <w:rPr>
          <w:rFonts w:ascii="仿宋_GB2312" w:hAnsi="仿宋_GB2312" w:eastAsia="仿宋_GB2312" w:cs="仿宋_GB2312"/>
          <w:sz w:val="32"/>
          <w:szCs w:val="32"/>
        </w:rPr>
        <w:t>2978.34</w:t>
      </w:r>
      <w:r>
        <w:rPr>
          <w:rFonts w:hint="eastAsia" w:ascii="仿宋_GB2312" w:hAnsi="仿宋_GB2312" w:eastAsia="仿宋_GB2312" w:cs="仿宋_GB2312"/>
          <w:sz w:val="32"/>
          <w:szCs w:val="32"/>
        </w:rPr>
        <w:t>万元，其中：流动资产</w:t>
      </w:r>
      <w:r>
        <w:rPr>
          <w:rFonts w:ascii="仿宋_GB2312" w:hAnsi="仿宋_GB2312" w:eastAsia="仿宋_GB2312" w:cs="仿宋_GB2312"/>
          <w:sz w:val="32"/>
          <w:szCs w:val="32"/>
        </w:rPr>
        <w:t>2945.84</w:t>
      </w:r>
      <w:r>
        <w:rPr>
          <w:rFonts w:hint="eastAsia" w:ascii="仿宋_GB2312" w:hAnsi="仿宋_GB2312" w:eastAsia="仿宋_GB2312" w:cs="仿宋_GB2312"/>
          <w:sz w:val="32"/>
          <w:szCs w:val="32"/>
        </w:rPr>
        <w:t>万元，固定资产</w:t>
      </w:r>
      <w:r>
        <w:rPr>
          <w:rFonts w:ascii="仿宋_GB2312" w:hAnsi="仿宋_GB2312" w:eastAsia="仿宋_GB2312" w:cs="仿宋_GB2312"/>
          <w:sz w:val="32"/>
          <w:szCs w:val="32"/>
        </w:rPr>
        <w:t>32.50</w:t>
      </w:r>
      <w:r>
        <w:rPr>
          <w:rFonts w:hint="eastAsia" w:ascii="仿宋_GB2312" w:hAnsi="仿宋_GB2312" w:eastAsia="仿宋_GB2312" w:cs="仿宋_GB2312"/>
          <w:sz w:val="32"/>
          <w:szCs w:val="32"/>
        </w:rPr>
        <w:t>万元，其中：房屋</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（平方米），价值</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万元，共有车辆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辆，价值</w:t>
      </w:r>
      <w:r>
        <w:rPr>
          <w:rFonts w:ascii="仿宋_GB2312" w:hAnsi="仿宋_GB2312" w:eastAsia="仿宋_GB2312" w:cs="仿宋_GB2312"/>
          <w:sz w:val="32"/>
          <w:szCs w:val="32"/>
        </w:rPr>
        <w:t>24.6</w:t>
      </w:r>
      <w:r>
        <w:rPr>
          <w:rFonts w:hint="eastAsia" w:ascii="仿宋_GB2312" w:hAnsi="仿宋_GB2312" w:eastAsia="仿宋_GB2312" w:cs="仿宋_GB2312"/>
          <w:sz w:val="32"/>
          <w:szCs w:val="32"/>
          <w:lang w:val="en-US" w:eastAsia="zh-CN"/>
        </w:rPr>
        <w:t>5</w:t>
      </w:r>
      <w:bookmarkStart w:id="0" w:name="_GoBack"/>
      <w:bookmarkEnd w:id="0"/>
      <w:r>
        <w:rPr>
          <w:rFonts w:hint="eastAsia" w:ascii="仿宋_GB2312" w:hAnsi="仿宋_GB2312" w:eastAsia="仿宋_GB2312" w:cs="仿宋_GB2312"/>
          <w:sz w:val="32"/>
          <w:szCs w:val="32"/>
        </w:rPr>
        <w:t>万元，其中：部级领导干部用车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辆、一般公务用车</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辆、一般执法执勤用车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辆、特种专业技术用车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辆、其他用车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辆（其他用车主要是：无）；单位价值</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万元以上通用设备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台（套）、单位价值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万元以上专用设备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台（套），其他固定资产价值</w:t>
      </w:r>
      <w:r>
        <w:rPr>
          <w:rFonts w:ascii="仿宋_GB2312" w:hAnsi="仿宋_GB2312" w:eastAsia="仿宋_GB2312" w:cs="仿宋_GB2312"/>
          <w:sz w:val="32"/>
          <w:szCs w:val="32"/>
        </w:rPr>
        <w:t>7.85</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日，塔什库尔干县政法委资产有偿使用收入合计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万元，资产处置收入合计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万元。其中：已缴国库</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万元，已缴财政专户</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万元，应缴未缴</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万元，单位留用</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年度，本部门单位实行绩效管理的项目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个，涉及预算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万元，项目支出决算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万元。年末本部门单位民生项目和重点支出项目的绩效评价开展情况及结果：无。</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lang w:val="en-GB"/>
        </w:rPr>
      </w:pPr>
    </w:p>
    <w:p>
      <w:pPr>
        <w:spacing w:line="560" w:lineRule="exact"/>
        <w:ind w:firstLine="640"/>
        <w:jc w:val="center"/>
        <w:rPr>
          <w:rFonts w:ascii="黑体" w:hAnsi="黑体" w:eastAsia="黑体" w:cs="黑体"/>
          <w:bCs/>
          <w:sz w:val="32"/>
          <w:szCs w:val="32"/>
        </w:rPr>
      </w:pPr>
      <w:r>
        <w:rPr>
          <w:rFonts w:hint="eastAsia" w:ascii="黑体" w:hAnsi="黑体" w:eastAsia="黑体" w:cs="黑体"/>
          <w:bCs/>
          <w:sz w:val="32"/>
          <w:szCs w:val="32"/>
        </w:rPr>
        <w:t>第三部分</w:t>
      </w:r>
      <w:r>
        <w:rPr>
          <w:rFonts w:ascii="黑体" w:hAnsi="黑体" w:eastAsia="黑体" w:cs="黑体"/>
          <w:bCs/>
          <w:sz w:val="32"/>
          <w:szCs w:val="32"/>
        </w:rPr>
        <w:t xml:space="preserve"> </w:t>
      </w:r>
      <w:r>
        <w:rPr>
          <w:rFonts w:hint="eastAsia" w:ascii="黑体" w:hAnsi="黑体" w:eastAsia="黑体" w:cs="黑体"/>
          <w:bCs/>
          <w:sz w:val="32"/>
          <w:szCs w:val="32"/>
        </w:rPr>
        <w:t>专业名词解释</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hint="eastAsia" w:ascii="仿宋_GB2312" w:hAnsi="仿宋_GB2312" w:eastAsia="仿宋_GB2312" w:cs="仿宋_GB2312"/>
          <w:sz w:val="32"/>
          <w:szCs w:val="32"/>
          <w:lang w:val="en-GB"/>
        </w:rPr>
        <w:t>。</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（项）：指行政运行。</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36</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（项）：指其他共产党事务支出。</w:t>
      </w:r>
      <w:r>
        <w:rPr>
          <w:rFonts w:ascii="仿宋_GB2312" w:hAnsi="仿宋_GB2312" w:eastAsia="仿宋_GB2312" w:cs="仿宋_GB2312"/>
          <w:sz w:val="32"/>
          <w:szCs w:val="32"/>
        </w:rPr>
        <w:t>203</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（项）：指其他国防支出。</w:t>
      </w:r>
      <w:r>
        <w:rPr>
          <w:rFonts w:ascii="仿宋_GB2312" w:hAnsi="仿宋_GB2312" w:eastAsia="仿宋_GB2312" w:cs="仿宋_GB2312"/>
          <w:sz w:val="32"/>
          <w:szCs w:val="32"/>
        </w:rPr>
        <w:t>204</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（项）：指其他公共安全支出。</w:t>
      </w:r>
      <w:r>
        <w:rPr>
          <w:rFonts w:ascii="仿宋_GB2312" w:hAnsi="仿宋_GB2312" w:eastAsia="仿宋_GB2312" w:cs="仿宋_GB2312"/>
          <w:sz w:val="32"/>
          <w:szCs w:val="32"/>
        </w:rPr>
        <w:t>208</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（项）：指机关事业单位基本养老保险缴费支出。</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lang w:val="en-GB"/>
        </w:rPr>
      </w:pPr>
    </w:p>
    <w:p>
      <w:pPr>
        <w:spacing w:line="560" w:lineRule="exact"/>
        <w:ind w:firstLine="627"/>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十九、《政府性基金预算财政拨款支出决算明细表》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二十、《政府性基金预算财政拨款基本支出决算明细表》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二十二、《资产负债简表》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二十三、《资产情况表》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二十四、《国有资产收益征缴情况表》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二十五、《基本数字表》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二十六、《机构人员情况表》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二十七、《非税收入征缴情况表》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二十八、《部门决算相关信息统计表》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二十九、《政府采购情况表》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年度一般公共预算“三公”经费支出情况表》</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09813"/>
    <w:multiLevelType w:val="singleLevel"/>
    <w:tmpl w:val="5A609813"/>
    <w:lvl w:ilvl="0" w:tentative="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30325"/>
    <w:rsid w:val="00150E7F"/>
    <w:rsid w:val="00180F49"/>
    <w:rsid w:val="001C6E2A"/>
    <w:rsid w:val="00200709"/>
    <w:rsid w:val="00251C3C"/>
    <w:rsid w:val="0027001D"/>
    <w:rsid w:val="00270882"/>
    <w:rsid w:val="00283BDE"/>
    <w:rsid w:val="00290DF1"/>
    <w:rsid w:val="002A3DD6"/>
    <w:rsid w:val="0034260A"/>
    <w:rsid w:val="00391F59"/>
    <w:rsid w:val="00422B54"/>
    <w:rsid w:val="004232FD"/>
    <w:rsid w:val="00424DBA"/>
    <w:rsid w:val="004B50EB"/>
    <w:rsid w:val="00537031"/>
    <w:rsid w:val="005A0237"/>
    <w:rsid w:val="005F3656"/>
    <w:rsid w:val="0060130A"/>
    <w:rsid w:val="00631BDF"/>
    <w:rsid w:val="00642BB5"/>
    <w:rsid w:val="006461B0"/>
    <w:rsid w:val="00673314"/>
    <w:rsid w:val="006B1C91"/>
    <w:rsid w:val="00703441"/>
    <w:rsid w:val="00742A2C"/>
    <w:rsid w:val="00767E3D"/>
    <w:rsid w:val="007B38BE"/>
    <w:rsid w:val="007C5CEC"/>
    <w:rsid w:val="008219BE"/>
    <w:rsid w:val="008E6475"/>
    <w:rsid w:val="00943CDC"/>
    <w:rsid w:val="00952BCF"/>
    <w:rsid w:val="009640BD"/>
    <w:rsid w:val="009659AA"/>
    <w:rsid w:val="009A1266"/>
    <w:rsid w:val="009D4DED"/>
    <w:rsid w:val="009D59CE"/>
    <w:rsid w:val="009D79BA"/>
    <w:rsid w:val="009E2FA1"/>
    <w:rsid w:val="009F635E"/>
    <w:rsid w:val="009F74C1"/>
    <w:rsid w:val="00A22F1F"/>
    <w:rsid w:val="00AF3BBF"/>
    <w:rsid w:val="00B553BF"/>
    <w:rsid w:val="00BE37E1"/>
    <w:rsid w:val="00C05331"/>
    <w:rsid w:val="00CD78CA"/>
    <w:rsid w:val="00D54466"/>
    <w:rsid w:val="00DE1CDE"/>
    <w:rsid w:val="00E20BCF"/>
    <w:rsid w:val="00E46B44"/>
    <w:rsid w:val="00E90DD9"/>
    <w:rsid w:val="00F054B7"/>
    <w:rsid w:val="00F87B93"/>
    <w:rsid w:val="00FB78E7"/>
    <w:rsid w:val="012D18A6"/>
    <w:rsid w:val="01E87F69"/>
    <w:rsid w:val="04B97D4F"/>
    <w:rsid w:val="04D215EC"/>
    <w:rsid w:val="050751B5"/>
    <w:rsid w:val="05B261DE"/>
    <w:rsid w:val="05B368AC"/>
    <w:rsid w:val="064E27D6"/>
    <w:rsid w:val="0697619E"/>
    <w:rsid w:val="06984720"/>
    <w:rsid w:val="06CA6CB0"/>
    <w:rsid w:val="07104ACA"/>
    <w:rsid w:val="07A638A6"/>
    <w:rsid w:val="08144639"/>
    <w:rsid w:val="08B2574D"/>
    <w:rsid w:val="08C4070B"/>
    <w:rsid w:val="08E33820"/>
    <w:rsid w:val="08E72391"/>
    <w:rsid w:val="09AE39AA"/>
    <w:rsid w:val="0A0A6BA7"/>
    <w:rsid w:val="0A334291"/>
    <w:rsid w:val="0AF5033D"/>
    <w:rsid w:val="0B2C61CC"/>
    <w:rsid w:val="0C7E5E7E"/>
    <w:rsid w:val="0C9864C7"/>
    <w:rsid w:val="0D382783"/>
    <w:rsid w:val="0D53228F"/>
    <w:rsid w:val="0E934908"/>
    <w:rsid w:val="0EFC7E07"/>
    <w:rsid w:val="0F102FA9"/>
    <w:rsid w:val="0F3B0FAC"/>
    <w:rsid w:val="0F546306"/>
    <w:rsid w:val="0FCD6DAB"/>
    <w:rsid w:val="10893457"/>
    <w:rsid w:val="11763EE6"/>
    <w:rsid w:val="119C5679"/>
    <w:rsid w:val="11DF3FE3"/>
    <w:rsid w:val="12580E1E"/>
    <w:rsid w:val="127738E2"/>
    <w:rsid w:val="12AD2C95"/>
    <w:rsid w:val="12AD75AE"/>
    <w:rsid w:val="12F379C5"/>
    <w:rsid w:val="13073B18"/>
    <w:rsid w:val="137119CB"/>
    <w:rsid w:val="137906FA"/>
    <w:rsid w:val="13EE01BE"/>
    <w:rsid w:val="144B39F4"/>
    <w:rsid w:val="146E4A58"/>
    <w:rsid w:val="149737B8"/>
    <w:rsid w:val="14A22723"/>
    <w:rsid w:val="14B95A43"/>
    <w:rsid w:val="154969DF"/>
    <w:rsid w:val="15856767"/>
    <w:rsid w:val="174469B9"/>
    <w:rsid w:val="177B2ECF"/>
    <w:rsid w:val="17BA1CDC"/>
    <w:rsid w:val="191A09FA"/>
    <w:rsid w:val="1A0906FB"/>
    <w:rsid w:val="1A15568F"/>
    <w:rsid w:val="1AC272E7"/>
    <w:rsid w:val="1B1B30FE"/>
    <w:rsid w:val="1C700FDF"/>
    <w:rsid w:val="1CED3348"/>
    <w:rsid w:val="1D592E52"/>
    <w:rsid w:val="1E97224E"/>
    <w:rsid w:val="1ECD7DC7"/>
    <w:rsid w:val="1ECE15A3"/>
    <w:rsid w:val="1F1B692A"/>
    <w:rsid w:val="1F2B12DC"/>
    <w:rsid w:val="1F50764C"/>
    <w:rsid w:val="1F526FB3"/>
    <w:rsid w:val="2025108A"/>
    <w:rsid w:val="20722349"/>
    <w:rsid w:val="20BC2E07"/>
    <w:rsid w:val="20F03863"/>
    <w:rsid w:val="217C70A5"/>
    <w:rsid w:val="21F13657"/>
    <w:rsid w:val="221C16C4"/>
    <w:rsid w:val="23085062"/>
    <w:rsid w:val="25203D23"/>
    <w:rsid w:val="25225855"/>
    <w:rsid w:val="254C3606"/>
    <w:rsid w:val="256804F3"/>
    <w:rsid w:val="26087612"/>
    <w:rsid w:val="26BD3E06"/>
    <w:rsid w:val="273953CE"/>
    <w:rsid w:val="276462F6"/>
    <w:rsid w:val="2780702E"/>
    <w:rsid w:val="27A41431"/>
    <w:rsid w:val="285D68A7"/>
    <w:rsid w:val="28DB068D"/>
    <w:rsid w:val="29ED69CC"/>
    <w:rsid w:val="2A991E16"/>
    <w:rsid w:val="2AFD1706"/>
    <w:rsid w:val="2BEF5DB6"/>
    <w:rsid w:val="2BFB6122"/>
    <w:rsid w:val="2BFC33B4"/>
    <w:rsid w:val="2BFF6479"/>
    <w:rsid w:val="2C740DAC"/>
    <w:rsid w:val="2C9248A3"/>
    <w:rsid w:val="2CF537BB"/>
    <w:rsid w:val="2D0E7614"/>
    <w:rsid w:val="2D1E2B58"/>
    <w:rsid w:val="2D4D61C4"/>
    <w:rsid w:val="2D6A145D"/>
    <w:rsid w:val="2E5D10ED"/>
    <w:rsid w:val="2EC72E51"/>
    <w:rsid w:val="2ED53332"/>
    <w:rsid w:val="2F1A07E5"/>
    <w:rsid w:val="2F321E06"/>
    <w:rsid w:val="2F412648"/>
    <w:rsid w:val="2F432A96"/>
    <w:rsid w:val="2F7466E8"/>
    <w:rsid w:val="30C75196"/>
    <w:rsid w:val="31E31551"/>
    <w:rsid w:val="332C4604"/>
    <w:rsid w:val="33802CA3"/>
    <w:rsid w:val="338C239D"/>
    <w:rsid w:val="33B5573E"/>
    <w:rsid w:val="33E97301"/>
    <w:rsid w:val="343F5B78"/>
    <w:rsid w:val="34955DF3"/>
    <w:rsid w:val="34E41B48"/>
    <w:rsid w:val="35102EB2"/>
    <w:rsid w:val="3529287C"/>
    <w:rsid w:val="35936BAE"/>
    <w:rsid w:val="359615B1"/>
    <w:rsid w:val="374A4366"/>
    <w:rsid w:val="3773080F"/>
    <w:rsid w:val="377E5F66"/>
    <w:rsid w:val="37912564"/>
    <w:rsid w:val="3802386C"/>
    <w:rsid w:val="388E738F"/>
    <w:rsid w:val="389901AC"/>
    <w:rsid w:val="38D96AFD"/>
    <w:rsid w:val="38E520F6"/>
    <w:rsid w:val="391A6DF6"/>
    <w:rsid w:val="39574E3C"/>
    <w:rsid w:val="39586D63"/>
    <w:rsid w:val="39CB62E1"/>
    <w:rsid w:val="3B477172"/>
    <w:rsid w:val="3BC93C30"/>
    <w:rsid w:val="3CEE5E2C"/>
    <w:rsid w:val="3D4D71FD"/>
    <w:rsid w:val="3E280AF3"/>
    <w:rsid w:val="3E721A41"/>
    <w:rsid w:val="3F6B56DF"/>
    <w:rsid w:val="3FDC7C6B"/>
    <w:rsid w:val="40B75BF4"/>
    <w:rsid w:val="40EE2D8E"/>
    <w:rsid w:val="41B3723C"/>
    <w:rsid w:val="43391996"/>
    <w:rsid w:val="43515D11"/>
    <w:rsid w:val="43667162"/>
    <w:rsid w:val="43F10D1D"/>
    <w:rsid w:val="44341D1F"/>
    <w:rsid w:val="44A31202"/>
    <w:rsid w:val="47C33D28"/>
    <w:rsid w:val="48B2657D"/>
    <w:rsid w:val="48CB2D85"/>
    <w:rsid w:val="48D2666B"/>
    <w:rsid w:val="49152AF6"/>
    <w:rsid w:val="492A246A"/>
    <w:rsid w:val="497A6A52"/>
    <w:rsid w:val="49B34BE2"/>
    <w:rsid w:val="4AA55516"/>
    <w:rsid w:val="4ABF1A2D"/>
    <w:rsid w:val="4B12135A"/>
    <w:rsid w:val="4C815A74"/>
    <w:rsid w:val="4CBF7321"/>
    <w:rsid w:val="4CE62156"/>
    <w:rsid w:val="4D3A519B"/>
    <w:rsid w:val="4DCF4D60"/>
    <w:rsid w:val="4F7A7C0D"/>
    <w:rsid w:val="50811CFA"/>
    <w:rsid w:val="50A87ED5"/>
    <w:rsid w:val="51082591"/>
    <w:rsid w:val="52371521"/>
    <w:rsid w:val="52B70575"/>
    <w:rsid w:val="533430C9"/>
    <w:rsid w:val="534737AB"/>
    <w:rsid w:val="537B7C4E"/>
    <w:rsid w:val="53F1124C"/>
    <w:rsid w:val="55B70260"/>
    <w:rsid w:val="55C11DFC"/>
    <w:rsid w:val="5682449D"/>
    <w:rsid w:val="571A0C78"/>
    <w:rsid w:val="571C70F2"/>
    <w:rsid w:val="574C7D8D"/>
    <w:rsid w:val="57B57D9E"/>
    <w:rsid w:val="57FB4362"/>
    <w:rsid w:val="58C2417A"/>
    <w:rsid w:val="58FB2542"/>
    <w:rsid w:val="591D11F4"/>
    <w:rsid w:val="59806774"/>
    <w:rsid w:val="59A17B82"/>
    <w:rsid w:val="5A3D6893"/>
    <w:rsid w:val="5B2E50D0"/>
    <w:rsid w:val="5B804CA2"/>
    <w:rsid w:val="5C151C68"/>
    <w:rsid w:val="5CD00264"/>
    <w:rsid w:val="5D147AE8"/>
    <w:rsid w:val="5D633E1F"/>
    <w:rsid w:val="5DC96696"/>
    <w:rsid w:val="5DDE5AC4"/>
    <w:rsid w:val="5DDF7035"/>
    <w:rsid w:val="5E3A167E"/>
    <w:rsid w:val="5E8B66DA"/>
    <w:rsid w:val="5EE6191D"/>
    <w:rsid w:val="5F084C34"/>
    <w:rsid w:val="5F5078A6"/>
    <w:rsid w:val="5F78022F"/>
    <w:rsid w:val="602250F8"/>
    <w:rsid w:val="618B2FBC"/>
    <w:rsid w:val="61CF5149"/>
    <w:rsid w:val="624E5380"/>
    <w:rsid w:val="63E7592A"/>
    <w:rsid w:val="64F93BB6"/>
    <w:rsid w:val="651A7B36"/>
    <w:rsid w:val="65FE2074"/>
    <w:rsid w:val="662160F4"/>
    <w:rsid w:val="663A55D3"/>
    <w:rsid w:val="66413538"/>
    <w:rsid w:val="66563D19"/>
    <w:rsid w:val="66DA4DDD"/>
    <w:rsid w:val="675462C9"/>
    <w:rsid w:val="67D868A0"/>
    <w:rsid w:val="68437238"/>
    <w:rsid w:val="68F432E7"/>
    <w:rsid w:val="69035714"/>
    <w:rsid w:val="695501C1"/>
    <w:rsid w:val="69CB67C2"/>
    <w:rsid w:val="6A75459E"/>
    <w:rsid w:val="6AEA3E18"/>
    <w:rsid w:val="6B172D73"/>
    <w:rsid w:val="6BA31C53"/>
    <w:rsid w:val="6C3B0235"/>
    <w:rsid w:val="6C657389"/>
    <w:rsid w:val="6CF810B4"/>
    <w:rsid w:val="6D394078"/>
    <w:rsid w:val="6DEB1C13"/>
    <w:rsid w:val="6E156721"/>
    <w:rsid w:val="6E1C1B5B"/>
    <w:rsid w:val="6E70795C"/>
    <w:rsid w:val="6EE813E8"/>
    <w:rsid w:val="6F10384B"/>
    <w:rsid w:val="6F766D87"/>
    <w:rsid w:val="700662B9"/>
    <w:rsid w:val="7014559D"/>
    <w:rsid w:val="702059F6"/>
    <w:rsid w:val="705E6006"/>
    <w:rsid w:val="70D86A51"/>
    <w:rsid w:val="711B3A5D"/>
    <w:rsid w:val="723F3A11"/>
    <w:rsid w:val="724B70C1"/>
    <w:rsid w:val="728B7B8A"/>
    <w:rsid w:val="7299117D"/>
    <w:rsid w:val="72D5756E"/>
    <w:rsid w:val="73715DDB"/>
    <w:rsid w:val="73855197"/>
    <w:rsid w:val="743C2F54"/>
    <w:rsid w:val="74882B95"/>
    <w:rsid w:val="74E1704B"/>
    <w:rsid w:val="74E21631"/>
    <w:rsid w:val="75AD329A"/>
    <w:rsid w:val="76233ABE"/>
    <w:rsid w:val="77DA7342"/>
    <w:rsid w:val="78267A1F"/>
    <w:rsid w:val="79252C80"/>
    <w:rsid w:val="7A267625"/>
    <w:rsid w:val="7A4B400B"/>
    <w:rsid w:val="7A53601B"/>
    <w:rsid w:val="7AF12E06"/>
    <w:rsid w:val="7B0D0CA9"/>
    <w:rsid w:val="7B7B1B52"/>
    <w:rsid w:val="7C101628"/>
    <w:rsid w:val="7C3C7DA3"/>
    <w:rsid w:val="7C872033"/>
    <w:rsid w:val="7C8A34C2"/>
    <w:rsid w:val="7D1324BB"/>
    <w:rsid w:val="7D452182"/>
    <w:rsid w:val="7ED439E5"/>
    <w:rsid w:val="7F8B25AB"/>
    <w:rsid w:val="7F9C68CB"/>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7">
    <w:name w:val="Default Paragraph Font"/>
    <w:semiHidden/>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11"/>
    <w:qFormat/>
    <w:uiPriority w:val="99"/>
    <w:pPr>
      <w:jc w:val="left"/>
    </w:pPr>
  </w:style>
  <w:style w:type="paragraph" w:styleId="3">
    <w:name w:val="Balloon Text"/>
    <w:basedOn w:val="1"/>
    <w:link w:val="15"/>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Web)"/>
    <w:basedOn w:val="1"/>
    <w:qFormat/>
    <w:uiPriority w:val="99"/>
    <w:rPr>
      <w:kern w:val="2"/>
      <w:sz w:val="24"/>
    </w:rPr>
  </w:style>
  <w:style w:type="character" w:styleId="8">
    <w:name w:val="page number"/>
    <w:basedOn w:val="7"/>
    <w:qFormat/>
    <w:uiPriority w:val="99"/>
    <w:rPr>
      <w:rFonts w:cs="Times New Roman"/>
    </w:rPr>
  </w:style>
  <w:style w:type="character" w:styleId="9">
    <w:name w:val="annotation reference"/>
    <w:basedOn w:val="7"/>
    <w:semiHidden/>
    <w:qFormat/>
    <w:uiPriority w:val="99"/>
    <w:rPr>
      <w:rFonts w:cs="Times New Roman"/>
      <w:sz w:val="21"/>
    </w:rPr>
  </w:style>
  <w:style w:type="character" w:customStyle="1" w:styleId="11">
    <w:name w:val="Comment Text Char"/>
    <w:basedOn w:val="7"/>
    <w:link w:val="2"/>
    <w:semiHidden/>
    <w:qFormat/>
    <w:uiPriority w:val="99"/>
    <w:rPr>
      <w:rFonts w:ascii="Times New Roman" w:hAnsi="Times New Roman"/>
      <w:kern w:val="0"/>
      <w:szCs w:val="24"/>
    </w:rPr>
  </w:style>
  <w:style w:type="character" w:customStyle="1" w:styleId="12">
    <w:name w:val="Footer Char"/>
    <w:basedOn w:val="7"/>
    <w:link w:val="4"/>
    <w:qFormat/>
    <w:locked/>
    <w:uiPriority w:val="99"/>
    <w:rPr>
      <w:sz w:val="18"/>
    </w:rPr>
  </w:style>
  <w:style w:type="character" w:customStyle="1" w:styleId="13">
    <w:name w:val="Header Char"/>
    <w:basedOn w:val="7"/>
    <w:link w:val="5"/>
    <w:qFormat/>
    <w:locked/>
    <w:uiPriority w:val="99"/>
    <w:rPr>
      <w:sz w:val="18"/>
    </w:rPr>
  </w:style>
  <w:style w:type="paragraph" w:customStyle="1" w:styleId="14">
    <w:name w:val="List Paragraph1"/>
    <w:basedOn w:val="1"/>
    <w:qFormat/>
    <w:uiPriority w:val="99"/>
    <w:pPr>
      <w:ind w:firstLine="420" w:firstLineChars="200"/>
    </w:pPr>
  </w:style>
  <w:style w:type="character" w:customStyle="1" w:styleId="15">
    <w:name w:val="Balloon Text Char"/>
    <w:basedOn w:val="7"/>
    <w:link w:val="3"/>
    <w:semiHidden/>
    <w:qFormat/>
    <w:locked/>
    <w:uiPriority w:val="99"/>
    <w:rPr>
      <w:rFonts w:ascii="Times New Roman" w:hAnsi="Times New Roman" w:eastAsia="宋体"/>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16</Pages>
  <Words>1039</Words>
  <Characters>5923</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2018-05-21T05:01:00Z</dcterms:created>
  <dc:creator>董志强</dc:creator>
  <cp:lastModifiedBy>Administrator</cp:lastModifiedBy>
  <dcterms:modified xsi:type="dcterms:W3CDTF">2019-03-21T09:08:48Z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