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74E" w:rsidRDefault="00EE574E">
      <w:pPr>
        <w:spacing w:line="580" w:lineRule="exact"/>
        <w:rPr>
          <w:rFonts w:ascii="宋体"/>
          <w:b/>
          <w:bCs/>
          <w:sz w:val="44"/>
          <w:szCs w:val="44"/>
        </w:rPr>
      </w:pPr>
    </w:p>
    <w:p w:rsidR="00EE574E" w:rsidRDefault="00EE574E">
      <w:pPr>
        <w:spacing w:line="580" w:lineRule="exact"/>
        <w:jc w:val="center"/>
        <w:rPr>
          <w:rFonts w:ascii="宋体"/>
          <w:sz w:val="44"/>
          <w:szCs w:val="44"/>
        </w:rPr>
      </w:pPr>
      <w:r>
        <w:rPr>
          <w:rFonts w:ascii="宋体" w:hAnsi="宋体"/>
          <w:sz w:val="44"/>
          <w:szCs w:val="44"/>
        </w:rPr>
        <w:t>2017</w:t>
      </w:r>
      <w:r>
        <w:rPr>
          <w:rFonts w:ascii="宋体" w:hAnsi="宋体" w:hint="eastAsia"/>
          <w:sz w:val="44"/>
          <w:szCs w:val="44"/>
        </w:rPr>
        <w:t>年度塔什库尔干县纪律检查委员会部门决算公开说明</w:t>
      </w:r>
    </w:p>
    <w:p w:rsidR="00EE574E" w:rsidRDefault="00EE574E">
      <w:pPr>
        <w:spacing w:line="580" w:lineRule="exact"/>
        <w:rPr>
          <w:rFonts w:ascii="??_GB2312" w:hAnsi="宋体"/>
          <w:sz w:val="32"/>
          <w:szCs w:val="32"/>
        </w:rPr>
      </w:pPr>
    </w:p>
    <w:p w:rsidR="00EE574E" w:rsidRDefault="00EE574E">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EE574E" w:rsidRDefault="00EE574E">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塔什库尔干县纪检委单位概况</w:t>
      </w:r>
    </w:p>
    <w:p w:rsidR="00EE574E" w:rsidRDefault="00EE574E">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一、主要职能、机构设置及人员情况</w:t>
      </w:r>
    </w:p>
    <w:p w:rsidR="00EE574E" w:rsidRDefault="00EE574E">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二、部门决算单位构成</w:t>
      </w:r>
    </w:p>
    <w:p w:rsidR="00EE574E" w:rsidRDefault="00EE574E">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EE574E" w:rsidRDefault="00EE574E">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一、部门收支总体情况</w:t>
      </w:r>
    </w:p>
    <w:p w:rsidR="00EE574E" w:rsidRDefault="00EE574E">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（二）部门收入总体情况说明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（三）部门支出总体情况说明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二、部门财政拨款收支情况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（一）财政拨款收支总体情况说明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（二）一般公共预算支出决算情况说明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（三）政府性基金预算收支决算情况说明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（四）政府性基金预算支出决算情况说明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三、部门结转结余情况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四、一般公共预算“三公”经费支出情况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五、机关运行经费支出情况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六、政府采购情况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七、其他重要事项的情况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（一）国有资产占用情况说明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（二）国有资产收益征缴情况说明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（三）部门项目支出情况和项目绩效评价情况说明</w:t>
      </w:r>
    </w:p>
    <w:p w:rsidR="00EE574E" w:rsidRDefault="00EE574E">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EE574E" w:rsidRDefault="00EE574E">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EE574E" w:rsidRDefault="00EE574E">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一、报表封面</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二、部门收支总体情况（</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《收入支出决算总表》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《行政事业类项目收入支出决算表》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《基本建设类项目收入支出决算表》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《财政专户管理资金收入支出决算表》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三、财政拨款收支情况（</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《财政拨款收入支出决算总表》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《一般公共预算财政拨款基本支出决算明细表》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《一般公共预算财政拨款项目支出决算明细表》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《政府性基金预算财政拨款收入支出决算表》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《政府性基金预算财政拨款支出决算明细表》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《政府性基金预算财政拨款基本支出决算明细表》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《政府性基金预算财政拨款项目支出决算明细表》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四、单位资产负责情况（</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张）：《资产负债简表》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五、部门决算附表（</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《资产情况表》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《国有资产收益征缴情况表》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《基本数字表》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《机构人员情况表》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《非税收入征缴情况表》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六、填报说明附表（</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《部门决算相关信息统计表》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《政府采购情况表》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七、“三公”经费支出情况</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张</w:t>
      </w:r>
      <w:r>
        <w:rPr>
          <w:rFonts w:ascii="仿宋_GB2312" w:eastAsia="仿宋_GB2312" w:hAnsi="仿宋_GB2312" w:cs="仿宋_GB2312"/>
          <w:sz w:val="32"/>
          <w:szCs w:val="32"/>
        </w:rPr>
        <w:t>)</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年度一般公共预算“三公”经费支出情况表》</w:t>
      </w:r>
    </w:p>
    <w:p w:rsidR="00EE574E" w:rsidRDefault="00EE574E">
      <w:pPr>
        <w:spacing w:line="560" w:lineRule="exact"/>
        <w:ind w:firstLineChars="200" w:firstLine="640"/>
        <w:rPr>
          <w:rFonts w:ascii="仿宋_GB2312" w:eastAsia="仿宋_GB2312" w:hAnsi="仿宋_GB2312" w:cs="仿宋_GB2312"/>
          <w:sz w:val="32"/>
          <w:szCs w:val="32"/>
        </w:rPr>
      </w:pPr>
    </w:p>
    <w:p w:rsidR="00EE574E" w:rsidRDefault="00EE574E">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主要职能情况：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、受上级纪委和本级党委的领导，负责党的纪律检查工作。</w:t>
      </w:r>
      <w:r>
        <w:rPr>
          <w:rFonts w:ascii="仿宋_GB2312" w:eastAsia="仿宋_GB2312" w:hAnsi="仿宋_GB2312" w:cs="仿宋_GB2312"/>
          <w:sz w:val="32"/>
          <w:szCs w:val="32"/>
        </w:rPr>
        <w:t xml:space="preserve"> </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、实行民主集中制原则，即个人服从组织，少数服从多数，下级服从上级。按照党章的规定行使职权。</w:t>
      </w:r>
      <w:r>
        <w:rPr>
          <w:rFonts w:ascii="仿宋_GB2312" w:eastAsia="仿宋_GB2312" w:hAnsi="仿宋_GB2312" w:cs="仿宋_GB2312"/>
          <w:sz w:val="32"/>
          <w:szCs w:val="32"/>
        </w:rPr>
        <w:t xml:space="preserve"> </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、认真检查党的路线、方针、政策的贯彻落实情况，领导各党支部的纪检工作。</w:t>
      </w:r>
      <w:r>
        <w:rPr>
          <w:rFonts w:ascii="仿宋_GB2312" w:eastAsia="仿宋_GB2312" w:hAnsi="仿宋_GB2312" w:cs="仿宋_GB2312"/>
          <w:sz w:val="32"/>
          <w:szCs w:val="32"/>
        </w:rPr>
        <w:t xml:space="preserve"> </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、对广大党员进行党风党纪教育，模范遵守党纪国法，坚决同违反党纪的现象作斗争。</w:t>
      </w:r>
      <w:r>
        <w:rPr>
          <w:rFonts w:ascii="仿宋_GB2312" w:eastAsia="仿宋_GB2312" w:hAnsi="仿宋_GB2312" w:cs="仿宋_GB2312"/>
          <w:sz w:val="32"/>
          <w:szCs w:val="32"/>
        </w:rPr>
        <w:t xml:space="preserve"> </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、检查和处理党组织和党员违反党纪的案件，受理党员的控告和申诉以及群众对党员的检举和控告等信访工作。</w:t>
      </w:r>
      <w:r>
        <w:rPr>
          <w:rFonts w:ascii="仿宋_GB2312" w:eastAsia="仿宋_GB2312" w:hAnsi="仿宋_GB2312" w:cs="仿宋_GB2312"/>
          <w:sz w:val="32"/>
          <w:szCs w:val="32"/>
        </w:rPr>
        <w:t xml:space="preserve"> </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、维护党员享有的权利，支持党员的正义斗争。</w:t>
      </w:r>
      <w:r>
        <w:rPr>
          <w:rFonts w:ascii="仿宋_GB2312" w:eastAsia="仿宋_GB2312" w:hAnsi="仿宋_GB2312" w:cs="仿宋_GB2312"/>
          <w:sz w:val="32"/>
          <w:szCs w:val="32"/>
        </w:rPr>
        <w:t xml:space="preserve"> </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、纪律检查委员会的成员，要坚持党的原则，带头遵守党规党法，实事求是，廉洁奉公，不徇私情，以对党对人民负责的精神，做好党的纪律检查工作。</w:t>
      </w:r>
      <w:r>
        <w:rPr>
          <w:rFonts w:ascii="仿宋_GB2312" w:eastAsia="仿宋_GB2312" w:hAnsi="仿宋_GB2312" w:cs="仿宋_GB2312"/>
          <w:sz w:val="32"/>
          <w:szCs w:val="32"/>
        </w:rPr>
        <w:t xml:space="preserve"> </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、接受上级党的纪检部门和本级党委交办的其他任务。</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（二）机构设置情况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塔什库尔干县纪律检查委员会单位性质为全额拨款行政单位，执行会计制度为行政会计制度。独立编制机构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个，独立编制机构与上年相比无变动，无内设机构。</w:t>
      </w:r>
    </w:p>
    <w:p w:rsidR="00EE574E" w:rsidRDefault="00EE574E">
      <w:pPr>
        <w:numPr>
          <w:ilvl w:val="0"/>
          <w:numId w:val="1"/>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年末编制和实有人员情况：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编制人数</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人，其中：行政人员编制</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人，其中参照公务员管理的事业单位人员编制</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人，全额拨款事业单位人员编制</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人，工勤编制人数</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人，其中：行政在职</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人，其中参照公务员管理的事业单位人员</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人，事业在职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人，工勤在职人数</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人。离退休人员</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人，其中：离休人员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人，退休人员</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w:t>
      </w:r>
    </w:p>
    <w:p w:rsidR="00EE574E" w:rsidRDefault="00EE574E">
      <w:pPr>
        <w:numPr>
          <w:ilvl w:val="0"/>
          <w:numId w:val="2"/>
        </w:num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部门决算单位构成。</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w:t>
      </w:r>
      <w:r>
        <w:rPr>
          <w:rFonts w:ascii="仿宋_GB2312" w:eastAsia="仿宋_GB2312" w:hAnsi="仿宋_GB2312" w:cs="仿宋_GB2312" w:hint="eastAsia"/>
          <w:sz w:val="32"/>
          <w:szCs w:val="32"/>
        </w:rPr>
        <w:t>塔什库尔干县纪律检查委员会</w:t>
      </w:r>
      <w:r>
        <w:rPr>
          <w:rFonts w:ascii="仿宋_GB2312" w:eastAsia="仿宋_GB2312" w:hint="eastAsia"/>
          <w:sz w:val="32"/>
          <w:szCs w:val="32"/>
        </w:rPr>
        <w:t>部门决算包括：</w:t>
      </w:r>
      <w:r>
        <w:rPr>
          <w:rFonts w:ascii="仿宋_GB2312" w:eastAsia="仿宋_GB2312" w:hAnsi="仿宋_GB2312" w:cs="仿宋_GB2312" w:hint="eastAsia"/>
          <w:sz w:val="32"/>
          <w:szCs w:val="32"/>
        </w:rPr>
        <w:t>塔什库尔干县纪律检查委员会</w:t>
      </w:r>
      <w:r>
        <w:rPr>
          <w:rFonts w:ascii="仿宋_GB2312" w:eastAsia="仿宋_GB2312" w:hint="eastAsia"/>
          <w:sz w:val="32"/>
          <w:szCs w:val="32"/>
        </w:rPr>
        <w:t>部门本级决算、所属单位决算等。</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纳入塔什库尔干县纪律检查委员会单位</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年部门决算编制范围的单位名单见下表：</w:t>
      </w:r>
    </w:p>
    <w:p w:rsidR="00EE574E" w:rsidRDefault="00EE574E">
      <w:pPr>
        <w:spacing w:line="560" w:lineRule="exact"/>
        <w:ind w:firstLineChars="200" w:firstLine="640"/>
        <w:rPr>
          <w:rFonts w:ascii="仿宋_GB2312" w:eastAsia="仿宋_GB2312" w:hAnsi="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7"/>
        <w:gridCol w:w="5085"/>
        <w:gridCol w:w="1730"/>
      </w:tblGrid>
      <w:tr w:rsidR="00EE574E">
        <w:trPr>
          <w:trHeight w:val="590"/>
        </w:trPr>
        <w:tc>
          <w:tcPr>
            <w:tcW w:w="1707" w:type="dxa"/>
          </w:tcPr>
          <w:p w:rsidR="00EE574E" w:rsidRDefault="00EE574E">
            <w:pPr>
              <w:spacing w:line="560" w:lineRule="exact"/>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5085" w:type="dxa"/>
          </w:tcPr>
          <w:p w:rsidR="00EE574E" w:rsidRDefault="00EE574E">
            <w:pPr>
              <w:spacing w:line="560" w:lineRule="exact"/>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730" w:type="dxa"/>
          </w:tcPr>
          <w:p w:rsidR="00EE574E" w:rsidRDefault="00EE574E">
            <w:pPr>
              <w:spacing w:line="560" w:lineRule="exact"/>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EE574E">
        <w:trPr>
          <w:trHeight w:val="630"/>
        </w:trPr>
        <w:tc>
          <w:tcPr>
            <w:tcW w:w="1707" w:type="dxa"/>
          </w:tcPr>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5085" w:type="dxa"/>
          </w:tcPr>
          <w:p w:rsidR="00EE574E" w:rsidRDefault="00EE574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塔什库尔干县纪律检查委员会</w:t>
            </w:r>
          </w:p>
        </w:tc>
        <w:tc>
          <w:tcPr>
            <w:tcW w:w="1730" w:type="dxa"/>
          </w:tcPr>
          <w:p w:rsidR="00EE574E" w:rsidRDefault="00EE574E">
            <w:pPr>
              <w:spacing w:line="560" w:lineRule="exact"/>
              <w:ind w:firstLineChars="200" w:firstLine="640"/>
              <w:jc w:val="center"/>
              <w:rPr>
                <w:rFonts w:ascii="仿宋_GB2312" w:eastAsia="仿宋_GB2312" w:hAnsi="仿宋_GB2312" w:cs="仿宋_GB2312"/>
                <w:sz w:val="32"/>
                <w:szCs w:val="32"/>
              </w:rPr>
            </w:pPr>
          </w:p>
        </w:tc>
      </w:tr>
    </w:tbl>
    <w:p w:rsidR="00EE574E" w:rsidRDefault="00EE574E">
      <w:pPr>
        <w:spacing w:line="560" w:lineRule="exact"/>
        <w:ind w:firstLineChars="200" w:firstLine="640"/>
        <w:rPr>
          <w:rFonts w:ascii="仿宋_GB2312" w:eastAsia="仿宋_GB2312" w:hAnsi="仿宋_GB2312" w:cs="仿宋_GB2312"/>
          <w:sz w:val="32"/>
          <w:szCs w:val="32"/>
        </w:rPr>
      </w:pPr>
    </w:p>
    <w:p w:rsidR="00EE574E" w:rsidRDefault="00EE574E">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一、部门收支总体情况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14.84</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0.44%</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14.84</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0.44%</w:t>
      </w:r>
      <w:r>
        <w:rPr>
          <w:rFonts w:ascii="仿宋_GB2312" w:eastAsia="仿宋_GB2312" w:hAnsi="仿宋_GB2312" w:cs="仿宋_GB2312" w:hint="eastAsia"/>
          <w:sz w:val="32"/>
          <w:szCs w:val="32"/>
        </w:rPr>
        <w:t>，结余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，增加的主要原因为是：人员经费增加。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与预算对比情况。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与预算相比，减少</w:t>
      </w:r>
      <w:r>
        <w:rPr>
          <w:rFonts w:ascii="仿宋_GB2312" w:eastAsia="仿宋_GB2312" w:hAnsi="仿宋_GB2312" w:cs="仿宋_GB2312"/>
          <w:sz w:val="32"/>
          <w:szCs w:val="32"/>
        </w:rPr>
        <w:t>44.72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降低</w:t>
      </w:r>
      <w:r>
        <w:rPr>
          <w:rFonts w:ascii="仿宋_GB2312" w:eastAsia="仿宋_GB2312" w:hAnsi="仿宋_GB2312" w:cs="仿宋_GB2312"/>
          <w:sz w:val="32"/>
          <w:szCs w:val="32"/>
        </w:rPr>
        <w:t>11.62%</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与预算相比，减少</w:t>
      </w:r>
      <w:r>
        <w:rPr>
          <w:rFonts w:ascii="仿宋_GB2312" w:eastAsia="仿宋_GB2312" w:hAnsi="仿宋_GB2312" w:cs="仿宋_GB2312"/>
          <w:sz w:val="32"/>
          <w:szCs w:val="32"/>
        </w:rPr>
        <w:t>44.72</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11.62%</w:t>
      </w:r>
      <w:r>
        <w:rPr>
          <w:rFonts w:ascii="仿宋_GB2312" w:eastAsia="仿宋_GB2312" w:hAnsi="仿宋_GB2312" w:cs="仿宋_GB2312" w:hint="eastAsia"/>
          <w:sz w:val="32"/>
          <w:szCs w:val="32"/>
        </w:rPr>
        <w:t>。减少的主要原因是人员经费减少。</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（二）部门收入总体情况说明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本年收入合计</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；附属单位缴款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。增减变化的主要原因是人员经费增加。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与预算对比情况。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与预算相比，减少</w:t>
      </w:r>
      <w:r>
        <w:rPr>
          <w:rFonts w:ascii="仿宋_GB2312" w:eastAsia="仿宋_GB2312" w:hAnsi="仿宋_GB2312" w:cs="仿宋_GB2312"/>
          <w:sz w:val="32"/>
          <w:szCs w:val="32"/>
        </w:rPr>
        <w:t>44.72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降低</w:t>
      </w:r>
      <w:r>
        <w:rPr>
          <w:rFonts w:ascii="仿宋_GB2312" w:eastAsia="仿宋_GB2312" w:hAnsi="仿宋_GB2312" w:cs="仿宋_GB2312"/>
          <w:sz w:val="32"/>
          <w:szCs w:val="32"/>
        </w:rPr>
        <w:t>11.62%</w:t>
      </w:r>
      <w:r>
        <w:rPr>
          <w:rFonts w:ascii="仿宋_GB2312" w:eastAsia="仿宋_GB2312" w:hAnsi="仿宋_GB2312" w:cs="仿宋_GB2312" w:hint="eastAsia"/>
          <w:sz w:val="32"/>
          <w:szCs w:val="32"/>
        </w:rPr>
        <w:t>，减少的主要原因是人员经费减少。</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（三）部门支出总体情况说明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335.08</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98.53%</w:t>
      </w:r>
      <w:r>
        <w:rPr>
          <w:rFonts w:ascii="仿宋_GB2312" w:eastAsia="仿宋_GB2312" w:hAnsi="仿宋_GB2312" w:cs="仿宋_GB2312" w:hint="eastAsia"/>
          <w:sz w:val="32"/>
          <w:szCs w:val="32"/>
        </w:rPr>
        <w:t>；项目支出</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1.47%</w:t>
      </w:r>
      <w:r>
        <w:rPr>
          <w:rFonts w:ascii="仿宋_GB2312" w:eastAsia="仿宋_GB2312" w:hAnsi="仿宋_GB2312" w:cs="仿宋_GB2312" w:hint="eastAsia"/>
          <w:sz w:val="32"/>
          <w:szCs w:val="32"/>
        </w:rPr>
        <w:t>；上缴上级支出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；对附属单位补助支出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。增减变化的主要原因是人员经费减少。</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与预算对比情况。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年度支出</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与预算相比，减少</w:t>
      </w:r>
      <w:r>
        <w:rPr>
          <w:rFonts w:ascii="仿宋_GB2312" w:eastAsia="仿宋_GB2312" w:hAnsi="仿宋_GB2312" w:cs="仿宋_GB2312"/>
          <w:sz w:val="32"/>
          <w:szCs w:val="32"/>
        </w:rPr>
        <w:t>44.72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降低</w:t>
      </w:r>
      <w:r>
        <w:rPr>
          <w:rFonts w:ascii="仿宋_GB2312" w:eastAsia="仿宋_GB2312" w:hAnsi="仿宋_GB2312" w:cs="仿宋_GB2312"/>
          <w:sz w:val="32"/>
          <w:szCs w:val="32"/>
        </w:rPr>
        <w:t>11.62%</w:t>
      </w:r>
      <w:r>
        <w:rPr>
          <w:rFonts w:ascii="仿宋_GB2312" w:eastAsia="仿宋_GB2312" w:hAnsi="仿宋_GB2312" w:cs="仿宋_GB2312" w:hint="eastAsia"/>
          <w:sz w:val="32"/>
          <w:szCs w:val="32"/>
        </w:rPr>
        <w:t>，减少的主要原因是人员经费减少。</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二、部门财政拨款收支情况</w:t>
      </w:r>
    </w:p>
    <w:p w:rsidR="00EE574E" w:rsidRDefault="00EE574E">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（一）财政拨款收支总体情况说明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14.84</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4.56%</w:t>
      </w:r>
      <w:r>
        <w:rPr>
          <w:rFonts w:ascii="仿宋_GB2312" w:eastAsia="仿宋_GB2312" w:hAnsi="仿宋_GB2312" w:cs="仿宋_GB2312" w:hint="eastAsia"/>
          <w:sz w:val="32"/>
          <w:szCs w:val="32"/>
        </w:rPr>
        <w:t>。增长的主要原因是：人员经费增加。财政拨款支出</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14.84</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4.56%</w:t>
      </w:r>
      <w:r>
        <w:rPr>
          <w:rFonts w:ascii="仿宋_GB2312" w:eastAsia="仿宋_GB2312" w:hAnsi="仿宋_GB2312" w:cs="仿宋_GB2312" w:hint="eastAsia"/>
          <w:sz w:val="32"/>
          <w:szCs w:val="32"/>
        </w:rPr>
        <w:t>。其中：基本支出</w:t>
      </w:r>
      <w:r>
        <w:rPr>
          <w:rFonts w:ascii="仿宋_GB2312" w:eastAsia="仿宋_GB2312" w:hAnsi="仿宋_GB2312" w:cs="仿宋_GB2312"/>
          <w:sz w:val="32"/>
          <w:szCs w:val="32"/>
        </w:rPr>
        <w:t>335.08</w:t>
      </w:r>
      <w:r>
        <w:rPr>
          <w:rFonts w:ascii="仿宋_GB2312" w:eastAsia="仿宋_GB2312" w:hAnsi="仿宋_GB2312" w:cs="仿宋_GB2312" w:hint="eastAsia"/>
          <w:sz w:val="32"/>
          <w:szCs w:val="32"/>
        </w:rPr>
        <w:t>万元，项目支出</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万元。增长的主要原因是：人员经费增加。财政拨款结转结余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。增减变化的主要原因是：无结转结余。</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与预算对比情况。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与预算相比，减少</w:t>
      </w:r>
      <w:r>
        <w:rPr>
          <w:rFonts w:ascii="仿宋_GB2312" w:eastAsia="仿宋_GB2312" w:hAnsi="仿宋_GB2312" w:cs="仿宋_GB2312"/>
          <w:sz w:val="32"/>
          <w:szCs w:val="32"/>
        </w:rPr>
        <w:t>44.72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降低</w:t>
      </w:r>
      <w:r>
        <w:rPr>
          <w:rFonts w:ascii="仿宋_GB2312" w:eastAsia="仿宋_GB2312" w:hAnsi="仿宋_GB2312" w:cs="仿宋_GB2312"/>
          <w:sz w:val="32"/>
          <w:szCs w:val="32"/>
        </w:rPr>
        <w:t>11.62%</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与预算相比，减少</w:t>
      </w:r>
      <w:r>
        <w:rPr>
          <w:rFonts w:ascii="仿宋_GB2312" w:eastAsia="仿宋_GB2312" w:hAnsi="仿宋_GB2312" w:cs="仿宋_GB2312"/>
          <w:sz w:val="32"/>
          <w:szCs w:val="32"/>
        </w:rPr>
        <w:t>44.72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降低</w:t>
      </w:r>
      <w:r>
        <w:rPr>
          <w:rFonts w:ascii="仿宋_GB2312" w:eastAsia="仿宋_GB2312" w:hAnsi="仿宋_GB2312" w:cs="仿宋_GB2312"/>
          <w:sz w:val="32"/>
          <w:szCs w:val="32"/>
        </w:rPr>
        <w:t>11.62%</w:t>
      </w:r>
      <w:r>
        <w:rPr>
          <w:rFonts w:ascii="仿宋_GB2312" w:eastAsia="仿宋_GB2312" w:hAnsi="仿宋_GB2312" w:cs="仿宋_GB2312" w:hint="eastAsia"/>
          <w:sz w:val="32"/>
          <w:szCs w:val="32"/>
        </w:rPr>
        <w:t>，减少的主要原因是人员经费减少。</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（二）一般公共预算支出决算情况说明</w:t>
      </w:r>
    </w:p>
    <w:p w:rsidR="00EE574E" w:rsidRDefault="00EE574E">
      <w:pPr>
        <w:spacing w:line="560" w:lineRule="exact"/>
        <w:ind w:firstLineChars="200" w:firstLine="640"/>
        <w:rPr>
          <w:rFonts w:ascii="仿宋_GB2312" w:eastAsia="仿宋_GB2312" w:hAnsi="仿宋_GB2312" w:cs="仿宋_GB2312"/>
          <w:sz w:val="32"/>
          <w:szCs w:val="32"/>
        </w:rPr>
      </w:pPr>
      <w:r w:rsidRPr="00F90DB5">
        <w:rPr>
          <w:rFonts w:ascii="仿宋_GB2312" w:eastAsia="仿宋_GB2312" w:hAnsi="仿宋_GB2312" w:cs="仿宋_GB2312"/>
          <w:sz w:val="32"/>
          <w:szCs w:val="32"/>
        </w:rPr>
        <w:t>2017</w:t>
      </w:r>
      <w:r w:rsidRPr="00F90DB5">
        <w:rPr>
          <w:rFonts w:ascii="仿宋_GB2312" w:eastAsia="仿宋_GB2312" w:hAnsi="仿宋_GB2312" w:cs="仿宋_GB2312" w:hint="eastAsia"/>
          <w:sz w:val="32"/>
          <w:szCs w:val="32"/>
        </w:rPr>
        <w:t>年度一般公共预算财政拨款支出</w:t>
      </w:r>
      <w:r w:rsidRPr="00F90DB5">
        <w:rPr>
          <w:rFonts w:ascii="仿宋_GB2312" w:eastAsia="仿宋_GB2312" w:hAnsi="仿宋_GB2312" w:cs="仿宋_GB2312"/>
          <w:sz w:val="32"/>
          <w:szCs w:val="32"/>
        </w:rPr>
        <w:t>340.08</w:t>
      </w:r>
      <w:r w:rsidRPr="00F90DB5">
        <w:rPr>
          <w:rFonts w:ascii="仿宋_GB2312" w:eastAsia="仿宋_GB2312" w:hAnsi="仿宋_GB2312" w:cs="仿宋_GB2312" w:hint="eastAsia"/>
          <w:sz w:val="32"/>
          <w:szCs w:val="32"/>
        </w:rPr>
        <w:t>万元。与上年相比，增加</w:t>
      </w:r>
      <w:r w:rsidRPr="00F90DB5">
        <w:rPr>
          <w:rFonts w:ascii="仿宋_GB2312" w:eastAsia="仿宋_GB2312" w:hAnsi="仿宋_GB2312" w:cs="仿宋_GB2312"/>
          <w:sz w:val="32"/>
          <w:szCs w:val="32"/>
        </w:rPr>
        <w:t>14.84</w:t>
      </w:r>
      <w:r w:rsidRPr="00F90DB5">
        <w:rPr>
          <w:rFonts w:ascii="仿宋_GB2312" w:eastAsia="仿宋_GB2312" w:hAnsi="仿宋_GB2312" w:cs="仿宋_GB2312" w:hint="eastAsia"/>
          <w:sz w:val="32"/>
          <w:szCs w:val="32"/>
        </w:rPr>
        <w:t>万元，增长</w:t>
      </w:r>
      <w:r w:rsidRPr="00F90DB5">
        <w:rPr>
          <w:rFonts w:ascii="仿宋_GB2312" w:eastAsia="仿宋_GB2312" w:hAnsi="仿宋_GB2312" w:cs="仿宋_GB2312"/>
          <w:sz w:val="32"/>
          <w:szCs w:val="32"/>
        </w:rPr>
        <w:t>4.56%</w:t>
      </w:r>
      <w:r w:rsidRPr="00F90DB5">
        <w:rPr>
          <w:rFonts w:ascii="仿宋_GB2312" w:eastAsia="仿宋_GB2312" w:hAnsi="仿宋_GB2312" w:cs="仿宋_GB2312" w:hint="eastAsia"/>
          <w:sz w:val="32"/>
          <w:szCs w:val="32"/>
        </w:rPr>
        <w:t>。增加的主要原因是：人员经费增加。其中：按功能分类科目，一般公共服务支出</w:t>
      </w:r>
      <w:r w:rsidRPr="00F90DB5">
        <w:rPr>
          <w:rFonts w:ascii="仿宋_GB2312" w:eastAsia="仿宋_GB2312" w:hAnsi="仿宋_GB2312" w:cs="仿宋_GB2312"/>
          <w:sz w:val="32"/>
          <w:szCs w:val="32"/>
        </w:rPr>
        <w:t>281.22</w:t>
      </w:r>
      <w:r w:rsidRPr="00F90DB5">
        <w:rPr>
          <w:rFonts w:ascii="仿宋_GB2312" w:eastAsia="仿宋_GB2312" w:hAnsi="仿宋_GB2312" w:cs="仿宋_GB2312" w:hint="eastAsia"/>
          <w:sz w:val="32"/>
          <w:szCs w:val="32"/>
        </w:rPr>
        <w:t>万元，社会保障和就业支出</w:t>
      </w:r>
      <w:r w:rsidRPr="00F90DB5">
        <w:rPr>
          <w:rFonts w:ascii="仿宋_GB2312" w:eastAsia="仿宋_GB2312" w:hAnsi="仿宋_GB2312" w:cs="仿宋_GB2312"/>
          <w:sz w:val="32"/>
          <w:szCs w:val="32"/>
        </w:rPr>
        <w:t>35.14</w:t>
      </w:r>
      <w:r w:rsidRPr="00F90DB5">
        <w:rPr>
          <w:rFonts w:ascii="仿宋_GB2312" w:eastAsia="仿宋_GB2312" w:hAnsi="仿宋_GB2312" w:cs="仿宋_GB2312" w:hint="eastAsia"/>
          <w:sz w:val="32"/>
          <w:szCs w:val="32"/>
        </w:rPr>
        <w:t>万元，住房保障支出</w:t>
      </w:r>
      <w:r w:rsidRPr="00F90DB5">
        <w:rPr>
          <w:rFonts w:ascii="仿宋_GB2312" w:eastAsia="仿宋_GB2312" w:hAnsi="仿宋_GB2312" w:cs="仿宋_GB2312"/>
          <w:sz w:val="32"/>
          <w:szCs w:val="32"/>
        </w:rPr>
        <w:t>23.2</w:t>
      </w:r>
      <w:r w:rsidRPr="00F90DB5">
        <w:rPr>
          <w:rFonts w:ascii="仿宋_GB2312" w:eastAsia="仿宋_GB2312" w:hAnsi="仿宋_GB2312" w:cs="仿宋_GB2312" w:hint="eastAsia"/>
          <w:sz w:val="32"/>
          <w:szCs w:val="32"/>
        </w:rPr>
        <w:t>万元，按经济分类科目，工资福利支出</w:t>
      </w:r>
      <w:r w:rsidRPr="00F90DB5">
        <w:rPr>
          <w:rFonts w:ascii="仿宋_GB2312" w:eastAsia="仿宋_GB2312" w:hAnsi="仿宋_GB2312" w:cs="仿宋_GB2312"/>
          <w:sz w:val="32"/>
          <w:szCs w:val="32"/>
        </w:rPr>
        <w:t>272.67</w:t>
      </w:r>
      <w:r w:rsidRPr="00F90DB5">
        <w:rPr>
          <w:rFonts w:ascii="仿宋_GB2312" w:eastAsia="仿宋_GB2312" w:hAnsi="仿宋_GB2312" w:cs="仿宋_GB2312" w:hint="eastAsia"/>
          <w:sz w:val="32"/>
          <w:szCs w:val="32"/>
        </w:rPr>
        <w:t>万元，商品和服务支出</w:t>
      </w:r>
      <w:r w:rsidRPr="00F90DB5">
        <w:rPr>
          <w:rFonts w:ascii="仿宋_GB2312" w:eastAsia="仿宋_GB2312" w:hAnsi="仿宋_GB2312" w:cs="仿宋_GB2312"/>
          <w:sz w:val="32"/>
          <w:szCs w:val="32"/>
        </w:rPr>
        <w:t>37.40</w:t>
      </w:r>
      <w:r w:rsidRPr="00F90DB5">
        <w:rPr>
          <w:rFonts w:ascii="仿宋_GB2312" w:eastAsia="仿宋_GB2312" w:hAnsi="仿宋_GB2312" w:cs="仿宋_GB2312" w:hint="eastAsia"/>
          <w:sz w:val="32"/>
          <w:szCs w:val="32"/>
        </w:rPr>
        <w:t>万元。对个人和家庭的补助</w:t>
      </w:r>
      <w:r w:rsidRPr="00F90DB5">
        <w:rPr>
          <w:rFonts w:ascii="仿宋_GB2312" w:eastAsia="仿宋_GB2312" w:hAnsi="仿宋_GB2312" w:cs="仿宋_GB2312"/>
          <w:sz w:val="32"/>
          <w:szCs w:val="32"/>
        </w:rPr>
        <w:t>30.01</w:t>
      </w:r>
      <w:r w:rsidRPr="00F90DB5">
        <w:rPr>
          <w:rFonts w:ascii="仿宋_GB2312" w:eastAsia="仿宋_GB2312" w:hAnsi="仿宋_GB2312" w:cs="仿宋_GB2312" w:hint="eastAsia"/>
          <w:sz w:val="32"/>
          <w:szCs w:val="32"/>
        </w:rPr>
        <w:t>万元。</w:t>
      </w:r>
      <w:bookmarkStart w:id="0" w:name="_GoBack"/>
      <w:bookmarkEnd w:id="0"/>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与预算对比情况。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与预算相比，减少</w:t>
      </w:r>
      <w:r>
        <w:rPr>
          <w:rFonts w:ascii="仿宋_GB2312" w:eastAsia="仿宋_GB2312" w:hAnsi="仿宋_GB2312" w:cs="仿宋_GB2312"/>
          <w:sz w:val="32"/>
          <w:szCs w:val="32"/>
        </w:rPr>
        <w:t>44.72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降低</w:t>
      </w:r>
      <w:r>
        <w:rPr>
          <w:rFonts w:ascii="仿宋_GB2312" w:eastAsia="仿宋_GB2312" w:hAnsi="仿宋_GB2312" w:cs="仿宋_GB2312"/>
          <w:sz w:val="32"/>
          <w:szCs w:val="32"/>
        </w:rPr>
        <w:t>11.62%</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340.08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与预算相比，减少</w:t>
      </w:r>
      <w:r>
        <w:rPr>
          <w:rFonts w:ascii="仿宋_GB2312" w:eastAsia="仿宋_GB2312" w:hAnsi="仿宋_GB2312" w:cs="仿宋_GB2312"/>
          <w:sz w:val="32"/>
          <w:szCs w:val="32"/>
        </w:rPr>
        <w:t>44.72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降低</w:t>
      </w:r>
      <w:r>
        <w:rPr>
          <w:rFonts w:ascii="仿宋_GB2312" w:eastAsia="仿宋_GB2312" w:hAnsi="仿宋_GB2312" w:cs="仿宋_GB2312"/>
          <w:sz w:val="32"/>
          <w:szCs w:val="32"/>
        </w:rPr>
        <w:t>11.62%</w:t>
      </w:r>
      <w:r>
        <w:rPr>
          <w:rFonts w:ascii="仿宋_GB2312" w:eastAsia="仿宋_GB2312" w:hAnsi="仿宋_GB2312" w:cs="仿宋_GB2312" w:hint="eastAsia"/>
          <w:sz w:val="32"/>
          <w:szCs w:val="32"/>
        </w:rPr>
        <w:t>，减少的主要原因是人员经费减少。</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EE574E" w:rsidRDefault="00EE574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政府性基金预算财政拨款支出。</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EE574E" w:rsidRDefault="00EE574E">
      <w:pPr>
        <w:spacing w:line="560" w:lineRule="exact"/>
        <w:ind w:firstLineChars="200" w:firstLine="640"/>
        <w:rPr>
          <w:rFonts w:eastAsia="仿宋_GB231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EE574E" w:rsidRDefault="00EE574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政府性基金预算支出。其中：按功能分类科目，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万元。按经济分类科目，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w:t>
      </w:r>
    </w:p>
    <w:p w:rsidR="00EE574E" w:rsidRDefault="00EE574E">
      <w:pPr>
        <w:spacing w:line="560" w:lineRule="exact"/>
        <w:ind w:firstLineChars="200" w:firstLine="640"/>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三、部门结转结余情况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年末结转结余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int="eastAsia"/>
          <w:sz w:val="32"/>
          <w:szCs w:val="32"/>
        </w:rPr>
        <w:t>无。</w:t>
      </w:r>
    </w:p>
    <w:p w:rsidR="00EE574E" w:rsidRDefault="00EE57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四、一般公共预算“三公”经费支出情况</w:t>
      </w:r>
    </w:p>
    <w:p w:rsidR="00EE574E" w:rsidRDefault="00EE574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6</w:t>
      </w:r>
      <w:r>
        <w:rPr>
          <w:rFonts w:ascii="仿宋_GB2312" w:eastAsia="仿宋_GB2312" w:hint="eastAsia"/>
          <w:sz w:val="32"/>
          <w:szCs w:val="32"/>
        </w:rPr>
        <w:t>万元，比上年增加（减少）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，增加（减少）原因是与上年持平。其中，因公出国（境）费支出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6</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，增加（减少）原因是与上年持平；公务接待费支出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仿宋_GB2312" w:cs="仿宋_GB2312" w:hint="eastAsia"/>
          <w:sz w:val="32"/>
          <w:szCs w:val="32"/>
        </w:rPr>
        <w:t>塔什库尔干县纪律检查委员会</w:t>
      </w:r>
      <w:r>
        <w:rPr>
          <w:rFonts w:ascii="仿宋_GB2312" w:eastAsia="仿宋_GB2312" w:hint="eastAsia"/>
          <w:sz w:val="32"/>
          <w:szCs w:val="32"/>
        </w:rPr>
        <w:t>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6</w:t>
      </w:r>
      <w:r>
        <w:rPr>
          <w:rFonts w:ascii="仿宋_GB2312" w:eastAsia="仿宋_GB2312" w:hint="eastAsia"/>
          <w:sz w:val="32"/>
          <w:szCs w:val="32"/>
        </w:rPr>
        <w:t>万元。主要用于车辆加油和维护费用。</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2</w:t>
      </w:r>
      <w:r>
        <w:rPr>
          <w:rFonts w:ascii="仿宋_GB2312" w:eastAsia="仿宋_GB2312" w:hint="eastAsia"/>
          <w:sz w:val="32"/>
          <w:szCs w:val="32"/>
        </w:rPr>
        <w:t>辆。</w:t>
      </w:r>
    </w:p>
    <w:p w:rsidR="00EE574E" w:rsidRDefault="00EE574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w:t>
      </w:r>
      <w:r>
        <w:rPr>
          <w:rFonts w:ascii="仿宋_GB2312" w:eastAsia="仿宋_GB2312" w:hAnsi="仿宋_GB2312" w:cs="仿宋_GB2312" w:hint="eastAsia"/>
          <w:sz w:val="32"/>
          <w:szCs w:val="32"/>
        </w:rPr>
        <w:t>塔什库尔干县纪律检查委员会</w:t>
      </w:r>
      <w:r>
        <w:rPr>
          <w:rFonts w:ascii="仿宋_GB2312" w:eastAsia="仿宋_GB2312" w:hint="eastAsia"/>
          <w:sz w:val="32"/>
          <w:szCs w:val="32"/>
        </w:rPr>
        <w:t>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EE574E" w:rsidRDefault="00EE57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与预算相比情况：与预算相比无变动。</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五、机关运行经费支出情况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年度塔什库尔干县纪律检查委员会机关运行经费支出</w:t>
      </w:r>
      <w:r>
        <w:rPr>
          <w:rFonts w:ascii="仿宋_GB2312" w:eastAsia="仿宋_GB2312" w:hAnsi="仿宋_GB2312" w:cs="仿宋_GB2312"/>
          <w:sz w:val="32"/>
          <w:szCs w:val="32"/>
        </w:rPr>
        <w:t>32.40</w:t>
      </w:r>
      <w:r>
        <w:rPr>
          <w:rFonts w:ascii="仿宋_GB2312" w:eastAsia="仿宋_GB2312" w:hAnsi="仿宋_GB2312" w:cs="仿宋_GB2312" w:hint="eastAsia"/>
          <w:sz w:val="32"/>
          <w:szCs w:val="32"/>
        </w:rPr>
        <w:t>万元，比上年增加</w:t>
      </w:r>
      <w:r>
        <w:rPr>
          <w:rFonts w:ascii="仿宋_GB2312" w:eastAsia="仿宋_GB2312" w:hAnsi="仿宋_GB2312" w:cs="仿宋_GB2312"/>
          <w:sz w:val="32"/>
          <w:szCs w:val="32"/>
        </w:rPr>
        <w:t>5.59</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20.85%</w:t>
      </w:r>
      <w:r>
        <w:rPr>
          <w:rFonts w:ascii="仿宋_GB2312" w:eastAsia="仿宋_GB2312" w:hAnsi="仿宋_GB2312" w:cs="仿宋_GB2312" w:hint="eastAsia"/>
          <w:sz w:val="32"/>
          <w:szCs w:val="32"/>
        </w:rPr>
        <w:t>，主要原因是督导检查次数增多导致公务用车费用增多。</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EE574E" w:rsidRDefault="00EE574E">
      <w:pPr>
        <w:spacing w:line="56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塔什库尔干县纪律检查委员会</w:t>
      </w:r>
      <w:r>
        <w:rPr>
          <w:rFonts w:ascii="仿宋_GB2312" w:eastAsia="仿宋_GB2312" w:hint="eastAsia"/>
          <w:sz w:val="32"/>
          <w:szCs w:val="32"/>
        </w:rPr>
        <w:t>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EE574E" w:rsidRDefault="00EE574E">
      <w:pPr>
        <w:spacing w:line="560" w:lineRule="exact"/>
        <w:ind w:firstLineChars="200" w:firstLine="640"/>
        <w:rPr>
          <w:rFonts w:eastAsia="仿宋_GB231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七、其他重要事项的情况</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（一）国有资产占用情况说明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日，资产总计</w:t>
      </w:r>
      <w:r>
        <w:rPr>
          <w:rFonts w:ascii="仿宋_GB2312" w:eastAsia="仿宋_GB2312" w:hAnsi="仿宋_GB2312" w:cs="仿宋_GB2312"/>
          <w:sz w:val="32"/>
          <w:szCs w:val="32"/>
        </w:rPr>
        <w:t>257.02</w:t>
      </w:r>
      <w:r>
        <w:rPr>
          <w:rFonts w:ascii="仿宋_GB2312" w:eastAsia="仿宋_GB2312" w:hAnsi="仿宋_GB2312" w:cs="仿宋_GB2312" w:hint="eastAsia"/>
          <w:sz w:val="32"/>
          <w:szCs w:val="32"/>
        </w:rPr>
        <w:t>万元，其中：流动资产</w:t>
      </w:r>
      <w:r>
        <w:rPr>
          <w:rFonts w:ascii="仿宋_GB2312" w:eastAsia="仿宋_GB2312" w:hAnsi="仿宋_GB2312" w:cs="仿宋_GB2312"/>
          <w:sz w:val="32"/>
          <w:szCs w:val="32"/>
        </w:rPr>
        <w:t>163.06</w:t>
      </w:r>
      <w:r>
        <w:rPr>
          <w:rFonts w:ascii="仿宋_GB2312" w:eastAsia="仿宋_GB2312" w:hAnsi="仿宋_GB2312" w:cs="仿宋_GB2312" w:hint="eastAsia"/>
          <w:sz w:val="32"/>
          <w:szCs w:val="32"/>
        </w:rPr>
        <w:t>万元，固定资产</w:t>
      </w:r>
      <w:r>
        <w:rPr>
          <w:rFonts w:ascii="仿宋_GB2312" w:eastAsia="仿宋_GB2312" w:hAnsi="仿宋_GB2312" w:cs="仿宋_GB2312"/>
          <w:sz w:val="32"/>
          <w:szCs w:val="32"/>
        </w:rPr>
        <w:t>93.96</w:t>
      </w:r>
      <w:r>
        <w:rPr>
          <w:rFonts w:ascii="仿宋_GB2312" w:eastAsia="仿宋_GB2312" w:hAnsi="仿宋_GB2312" w:cs="仿宋_GB2312" w:hint="eastAsia"/>
          <w:sz w:val="32"/>
          <w:szCs w:val="32"/>
        </w:rPr>
        <w:t>万元，</w:t>
      </w:r>
      <w:r>
        <w:rPr>
          <w:rFonts w:ascii="仿宋_GB2312" w:eastAsia="仿宋_GB2312" w:hint="eastAsia"/>
          <w:sz w:val="32"/>
          <w:szCs w:val="32"/>
        </w:rPr>
        <w:t>其中：房屋</w:t>
      </w:r>
      <w:r>
        <w:rPr>
          <w:rFonts w:ascii="仿宋_GB2312" w:eastAsia="仿宋_GB2312"/>
          <w:sz w:val="32"/>
          <w:szCs w:val="32"/>
        </w:rPr>
        <w:t>0</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万元，共有车辆</w:t>
      </w:r>
      <w:r>
        <w:rPr>
          <w:rFonts w:ascii="仿宋_GB2312" w:eastAsia="仿宋_GB2312"/>
          <w:sz w:val="32"/>
          <w:szCs w:val="32"/>
        </w:rPr>
        <w:t>2</w:t>
      </w:r>
      <w:r>
        <w:rPr>
          <w:rFonts w:ascii="仿宋_GB2312" w:eastAsia="仿宋_GB2312" w:hint="eastAsia"/>
          <w:sz w:val="32"/>
          <w:szCs w:val="32"/>
        </w:rPr>
        <w:t>辆，价值</w:t>
      </w:r>
      <w:r>
        <w:rPr>
          <w:rFonts w:ascii="仿宋_GB2312" w:eastAsia="仿宋_GB2312"/>
          <w:sz w:val="32"/>
          <w:szCs w:val="32"/>
        </w:rPr>
        <w:t>22.53</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2</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辆（其他用车主要是：无）；单位价值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71.42</w:t>
      </w:r>
      <w:r>
        <w:rPr>
          <w:rFonts w:ascii="仿宋_GB2312" w:eastAsia="仿宋_GB2312" w:hint="eastAsia"/>
          <w:sz w:val="32"/>
          <w:szCs w:val="32"/>
        </w:rPr>
        <w:t>万元。</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（二）国有资产收益征缴情况说明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日，塔什库尔干县纪律检查委员会资产有偿使用收入合计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万元，资产处置收入合计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万元。其中：已缴国库</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万元，已缴财政专户</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万元，应缴未缴</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万元，单位留用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EE574E" w:rsidRDefault="00EE574E">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（三）部门项目支出情况和项目绩效评价情况说明</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年度，本部门单位实行绩效管理的项目</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个，涉及预算</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万元，项目支出决算</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万元。年末本部门单位民生项目和重点支出项目的绩效评价开展情况及结果：</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1.2017</w:t>
      </w:r>
      <w:r>
        <w:rPr>
          <w:rFonts w:ascii="仿宋_GB2312" w:eastAsia="仿宋_GB2312" w:hAnsi="仿宋_GB2312" w:cs="仿宋_GB2312" w:hint="eastAsia"/>
          <w:sz w:val="32"/>
          <w:szCs w:val="32"/>
        </w:rPr>
        <w:t>地方纪检办案中央补助项目支出</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万元。</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EE574E" w:rsidRDefault="00EE574E">
      <w:pPr>
        <w:spacing w:line="560" w:lineRule="exact"/>
        <w:ind w:firstLineChars="200" w:firstLine="640"/>
        <w:rPr>
          <w:rFonts w:ascii="仿宋_GB2312" w:eastAsia="仿宋_GB2312"/>
          <w:sz w:val="32"/>
          <w:szCs w:val="32"/>
        </w:rPr>
      </w:pPr>
    </w:p>
    <w:p w:rsidR="00EE574E" w:rsidRDefault="00EE574E">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财政拨款收入：指同级财政当年拨付的资金。</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上级补助收入：指事业单位从主管部门和上级单位取得的非财政补助收入。</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事业收入：指事业单位开展专业业务活动及其辅助活动所取得的收入。</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经营收入：指事业单位在专业业务活动及其辅助活动之外开展非独立核算经营活动取得的收入。</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附属单位缴款：指事业单位附属的独立核算单位按有关规定上缴的收入。</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其他收入：指除上述“财政拨款收入”、“事业收入”、“经营收入”、“附属单位缴款”等之外取得的收入。</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结余分配：反映单位当年结余的分配情况。</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基本支出：指为保障机构正常运转、完成日常工作任务而发生的人员支出和公用支出。</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项目支出：指在基本支出之外为完成特定行政任务和事业发展目标所发生的支出。</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对附属单位补助支出：指事业单位发生的用非财政预算资金对附属单位的补助支出。</w:t>
      </w:r>
    </w:p>
    <w:p w:rsidR="00EE574E" w:rsidRDefault="00EE574E">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E574E" w:rsidRDefault="00EE574E">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11</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11</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（项）：指其他纪检监察事务支出。</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E574E" w:rsidRDefault="00EE574E">
      <w:pPr>
        <w:spacing w:line="560" w:lineRule="exact"/>
        <w:ind w:firstLineChars="200" w:firstLine="643"/>
        <w:rPr>
          <w:rFonts w:ascii="仿宋_GB2312" w:eastAsia="仿宋_GB2312" w:hAnsi="仿宋_GB2312" w:cs="仿宋_GB2312"/>
          <w:b/>
          <w:sz w:val="32"/>
          <w:szCs w:val="32"/>
        </w:rPr>
      </w:pPr>
    </w:p>
    <w:p w:rsidR="00EE574E" w:rsidRDefault="00EE574E">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一、报表封面</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二、《收入支出决算总表》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三、《收入决算表》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六、《项目收入支出决算表》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七、《行政事业类项目收入支出决算表》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八、《基本建设类项目收入支出决算表》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十、《基本支出决算明细表》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十一、《项目支出决算明细表》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十二、《财政专户管理资金收入支出决算表》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十三、《财政拨款收入支出决算总表》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十四、《一般公共预算财政拨款收入支出决算表》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十五、《一般公共预算财政拨款支出决算明细表》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十六、《一般公共预算财政拨款基本支出决算明细表》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十七、《一般公共预算财政拨款项目支出决算明细表》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十八、《政府性基金预算财政拨款收入支出决算表》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十九、《政府性基金预算财政拨款支出决算明细表》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二十、《政府性基金预算财政拨款基本支出决算明细表》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二十一、《政府性基金预算财政拨款项目支出决算明细表》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二十二、《资产负债简表》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二十三、《资产情况表》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二十四、《国有资产收益征缴情况表》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二十五、《基本数字表》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二十六、《机构人员情况表》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二十七、《非税收入征缴情况表》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二十八、《部门决算相关信息统计表》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二十九、《政府采购情况表》</w:t>
      </w:r>
    </w:p>
    <w:p w:rsidR="00EE574E" w:rsidRDefault="00EE574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三十、《</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年度一般公共预算“三公”经费支出情况表》</w:t>
      </w:r>
    </w:p>
    <w:p w:rsidR="00EE574E" w:rsidRDefault="00EE574E">
      <w:pPr>
        <w:rPr>
          <w:rFonts w:ascii="仿宋_GB2312" w:eastAsia="仿宋_GB2312" w:hAnsi="仿宋_GB2312" w:cs="仿宋_GB2312"/>
          <w:sz w:val="32"/>
          <w:szCs w:val="32"/>
        </w:rPr>
      </w:pPr>
    </w:p>
    <w:sectPr w:rsidR="00EE574E" w:rsidSect="00C91C20">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74E" w:rsidRDefault="00EE574E" w:rsidP="00C91C20">
      <w:r>
        <w:separator/>
      </w:r>
    </w:p>
  </w:endnote>
  <w:endnote w:type="continuationSeparator" w:id="0">
    <w:p w:rsidR="00EE574E" w:rsidRDefault="00EE574E" w:rsidP="00C91C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_GB2312">
    <w:altName w:val="Times New Roman"/>
    <w:panose1 w:val="00000000000000000000"/>
    <w:charset w:val="00"/>
    <w:family w:val="auto"/>
    <w:notTrueType/>
    <w:pitch w:val="default"/>
    <w:sig w:usb0="00000003" w:usb1="00000000" w:usb2="00000000" w:usb3="00000000" w:csb0="00000001"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74E" w:rsidRDefault="00EE57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E574E" w:rsidRDefault="00EE574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74E" w:rsidRDefault="00EE574E">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12</w:t>
    </w:r>
    <w:r>
      <w:rPr>
        <w:rStyle w:val="PageNumber"/>
        <w:sz w:val="28"/>
        <w:szCs w:val="28"/>
      </w:rPr>
      <w:fldChar w:fldCharType="end"/>
    </w:r>
    <w:r>
      <w:rPr>
        <w:rStyle w:val="PageNumber"/>
      </w:rPr>
      <w:t>—</w:t>
    </w:r>
  </w:p>
  <w:p w:rsidR="00EE574E" w:rsidRDefault="00EE574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74E" w:rsidRDefault="00EE57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74E" w:rsidRDefault="00EE574E" w:rsidP="00C91C20">
      <w:r>
        <w:separator/>
      </w:r>
    </w:p>
  </w:footnote>
  <w:footnote w:type="continuationSeparator" w:id="0">
    <w:p w:rsidR="00EE574E" w:rsidRDefault="00EE574E" w:rsidP="00C91C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74E" w:rsidRDefault="00EE57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74E" w:rsidRDefault="00EE574E" w:rsidP="00F90DB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74E" w:rsidRDefault="00EE57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EB1AA5F"/>
    <w:multiLevelType w:val="singleLevel"/>
    <w:tmpl w:val="DEB1AA5F"/>
    <w:lvl w:ilvl="0">
      <w:start w:val="3"/>
      <w:numFmt w:val="chineseCounting"/>
      <w:suff w:val="nothing"/>
      <w:lvlText w:val="（%1）"/>
      <w:lvlJc w:val="left"/>
      <w:rPr>
        <w:rFonts w:cs="Times New Roman" w:hint="eastAsia"/>
      </w:rPr>
    </w:lvl>
  </w:abstractNum>
  <w:abstractNum w:abstractNumId="1">
    <w:nsid w:val="1164C7C5"/>
    <w:multiLevelType w:val="singleLevel"/>
    <w:tmpl w:val="1164C7C5"/>
    <w:lvl w:ilvl="0">
      <w:start w:val="2"/>
      <w:numFmt w:val="chineseCounting"/>
      <w:suff w:val="nothing"/>
      <w:lvlText w:val="%1、"/>
      <w:lvlJc w:val="left"/>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16A47"/>
    <w:rsid w:val="00020E9B"/>
    <w:rsid w:val="00113CAD"/>
    <w:rsid w:val="00114A57"/>
    <w:rsid w:val="001676F9"/>
    <w:rsid w:val="0018212F"/>
    <w:rsid w:val="001E064D"/>
    <w:rsid w:val="00202555"/>
    <w:rsid w:val="00244A8E"/>
    <w:rsid w:val="002A5759"/>
    <w:rsid w:val="002C5DB7"/>
    <w:rsid w:val="0031498D"/>
    <w:rsid w:val="0032500C"/>
    <w:rsid w:val="00370DF3"/>
    <w:rsid w:val="003B3C45"/>
    <w:rsid w:val="003D641E"/>
    <w:rsid w:val="00434D40"/>
    <w:rsid w:val="004370A6"/>
    <w:rsid w:val="00442996"/>
    <w:rsid w:val="00456D0F"/>
    <w:rsid w:val="0046309A"/>
    <w:rsid w:val="004A41A3"/>
    <w:rsid w:val="004E7CCE"/>
    <w:rsid w:val="004F2611"/>
    <w:rsid w:val="004F50AB"/>
    <w:rsid w:val="00523225"/>
    <w:rsid w:val="0053607B"/>
    <w:rsid w:val="00561D9C"/>
    <w:rsid w:val="005728E9"/>
    <w:rsid w:val="005A0237"/>
    <w:rsid w:val="005A6280"/>
    <w:rsid w:val="005B492F"/>
    <w:rsid w:val="005E409D"/>
    <w:rsid w:val="005E5C1C"/>
    <w:rsid w:val="005E75D4"/>
    <w:rsid w:val="006100A9"/>
    <w:rsid w:val="00611EDF"/>
    <w:rsid w:val="00623A2C"/>
    <w:rsid w:val="00642BB5"/>
    <w:rsid w:val="006566B5"/>
    <w:rsid w:val="00665659"/>
    <w:rsid w:val="006720DA"/>
    <w:rsid w:val="006B7F97"/>
    <w:rsid w:val="006F176A"/>
    <w:rsid w:val="0072103F"/>
    <w:rsid w:val="00727906"/>
    <w:rsid w:val="00753324"/>
    <w:rsid w:val="007549F2"/>
    <w:rsid w:val="00773F20"/>
    <w:rsid w:val="007815D0"/>
    <w:rsid w:val="007B5026"/>
    <w:rsid w:val="007D170A"/>
    <w:rsid w:val="007F24D6"/>
    <w:rsid w:val="00814586"/>
    <w:rsid w:val="00823C09"/>
    <w:rsid w:val="00840D32"/>
    <w:rsid w:val="0086643B"/>
    <w:rsid w:val="008856DA"/>
    <w:rsid w:val="008912D2"/>
    <w:rsid w:val="00897568"/>
    <w:rsid w:val="008A6BFA"/>
    <w:rsid w:val="008B4E92"/>
    <w:rsid w:val="008B7A64"/>
    <w:rsid w:val="008C2B0B"/>
    <w:rsid w:val="0090286D"/>
    <w:rsid w:val="00982211"/>
    <w:rsid w:val="00985C71"/>
    <w:rsid w:val="00990D3F"/>
    <w:rsid w:val="009B5BF9"/>
    <w:rsid w:val="009C4280"/>
    <w:rsid w:val="009E1190"/>
    <w:rsid w:val="009F3AEB"/>
    <w:rsid w:val="009F635E"/>
    <w:rsid w:val="00A24349"/>
    <w:rsid w:val="00A25B81"/>
    <w:rsid w:val="00A55CC6"/>
    <w:rsid w:val="00A5635C"/>
    <w:rsid w:val="00A56599"/>
    <w:rsid w:val="00A71730"/>
    <w:rsid w:val="00A81C82"/>
    <w:rsid w:val="00A845B5"/>
    <w:rsid w:val="00AA5B24"/>
    <w:rsid w:val="00AD4E4D"/>
    <w:rsid w:val="00B05931"/>
    <w:rsid w:val="00B1755F"/>
    <w:rsid w:val="00B34FD7"/>
    <w:rsid w:val="00B447CD"/>
    <w:rsid w:val="00B67EB1"/>
    <w:rsid w:val="00BB351C"/>
    <w:rsid w:val="00BB59D1"/>
    <w:rsid w:val="00C10D4E"/>
    <w:rsid w:val="00C13678"/>
    <w:rsid w:val="00C2192F"/>
    <w:rsid w:val="00C50F42"/>
    <w:rsid w:val="00C91C20"/>
    <w:rsid w:val="00CA27C6"/>
    <w:rsid w:val="00CA71E1"/>
    <w:rsid w:val="00CB2F3A"/>
    <w:rsid w:val="00CF70B4"/>
    <w:rsid w:val="00D04F7D"/>
    <w:rsid w:val="00D43374"/>
    <w:rsid w:val="00D673E0"/>
    <w:rsid w:val="00D94C29"/>
    <w:rsid w:val="00E06E52"/>
    <w:rsid w:val="00E82D6F"/>
    <w:rsid w:val="00EA32C6"/>
    <w:rsid w:val="00EA67F1"/>
    <w:rsid w:val="00EB7894"/>
    <w:rsid w:val="00EE574E"/>
    <w:rsid w:val="00F02BF9"/>
    <w:rsid w:val="00F24628"/>
    <w:rsid w:val="00F25A34"/>
    <w:rsid w:val="00F2606C"/>
    <w:rsid w:val="00F76E0D"/>
    <w:rsid w:val="00F90DB5"/>
    <w:rsid w:val="00FB28A0"/>
    <w:rsid w:val="00FB52E9"/>
    <w:rsid w:val="00FC0A17"/>
    <w:rsid w:val="00FC723D"/>
    <w:rsid w:val="00FF227A"/>
    <w:rsid w:val="02D443DC"/>
    <w:rsid w:val="044871BD"/>
    <w:rsid w:val="046E5CA5"/>
    <w:rsid w:val="04805631"/>
    <w:rsid w:val="0573535C"/>
    <w:rsid w:val="058D0978"/>
    <w:rsid w:val="06C95A8E"/>
    <w:rsid w:val="06E33DF0"/>
    <w:rsid w:val="07101495"/>
    <w:rsid w:val="081B2206"/>
    <w:rsid w:val="08AF577E"/>
    <w:rsid w:val="09934138"/>
    <w:rsid w:val="09971C51"/>
    <w:rsid w:val="0A85613C"/>
    <w:rsid w:val="0C1B1F75"/>
    <w:rsid w:val="0CA43ABA"/>
    <w:rsid w:val="0D1B3E8A"/>
    <w:rsid w:val="0E1813BD"/>
    <w:rsid w:val="0E632A9C"/>
    <w:rsid w:val="0EF92E1A"/>
    <w:rsid w:val="0F344260"/>
    <w:rsid w:val="0F9B1131"/>
    <w:rsid w:val="0FA84E2F"/>
    <w:rsid w:val="10243B18"/>
    <w:rsid w:val="108A442B"/>
    <w:rsid w:val="1151064F"/>
    <w:rsid w:val="11AD05BB"/>
    <w:rsid w:val="11DA10C1"/>
    <w:rsid w:val="12831CC5"/>
    <w:rsid w:val="12CD2781"/>
    <w:rsid w:val="139A4802"/>
    <w:rsid w:val="140F41B0"/>
    <w:rsid w:val="14225218"/>
    <w:rsid w:val="150518AC"/>
    <w:rsid w:val="157A7F3D"/>
    <w:rsid w:val="15DC4FD4"/>
    <w:rsid w:val="16542446"/>
    <w:rsid w:val="165B2B27"/>
    <w:rsid w:val="16BD6273"/>
    <w:rsid w:val="16CE4D60"/>
    <w:rsid w:val="16FA79EB"/>
    <w:rsid w:val="17422A68"/>
    <w:rsid w:val="179E3C26"/>
    <w:rsid w:val="18B72863"/>
    <w:rsid w:val="1935073F"/>
    <w:rsid w:val="193D1F16"/>
    <w:rsid w:val="195A7785"/>
    <w:rsid w:val="196C2769"/>
    <w:rsid w:val="1B06672E"/>
    <w:rsid w:val="1B340EAA"/>
    <w:rsid w:val="1B777FAE"/>
    <w:rsid w:val="1BFE6E9B"/>
    <w:rsid w:val="1C3A55E6"/>
    <w:rsid w:val="1C3C7A87"/>
    <w:rsid w:val="1CA94DCD"/>
    <w:rsid w:val="1EA81F2D"/>
    <w:rsid w:val="1F1B6B8F"/>
    <w:rsid w:val="225F4357"/>
    <w:rsid w:val="22931C65"/>
    <w:rsid w:val="22EF79D6"/>
    <w:rsid w:val="231458DC"/>
    <w:rsid w:val="231E11D0"/>
    <w:rsid w:val="235C2350"/>
    <w:rsid w:val="238961DE"/>
    <w:rsid w:val="242573C6"/>
    <w:rsid w:val="25AD778B"/>
    <w:rsid w:val="265A2EC6"/>
    <w:rsid w:val="28083726"/>
    <w:rsid w:val="283D6664"/>
    <w:rsid w:val="2850500E"/>
    <w:rsid w:val="287627AE"/>
    <w:rsid w:val="287E393D"/>
    <w:rsid w:val="29CF71B9"/>
    <w:rsid w:val="2B4E185A"/>
    <w:rsid w:val="2B896F93"/>
    <w:rsid w:val="2BDE3944"/>
    <w:rsid w:val="2C2941FA"/>
    <w:rsid w:val="2D351B94"/>
    <w:rsid w:val="2E114166"/>
    <w:rsid w:val="2F4D4BF5"/>
    <w:rsid w:val="2FC8697C"/>
    <w:rsid w:val="2FD32BDD"/>
    <w:rsid w:val="2FDB49D4"/>
    <w:rsid w:val="2FF8026F"/>
    <w:rsid w:val="2FFB2122"/>
    <w:rsid w:val="305B0727"/>
    <w:rsid w:val="30DB1ED6"/>
    <w:rsid w:val="32F12C4C"/>
    <w:rsid w:val="33055BCA"/>
    <w:rsid w:val="342A660F"/>
    <w:rsid w:val="34411141"/>
    <w:rsid w:val="34F672A5"/>
    <w:rsid w:val="358808B2"/>
    <w:rsid w:val="35AE5954"/>
    <w:rsid w:val="35B5001E"/>
    <w:rsid w:val="35D90114"/>
    <w:rsid w:val="369C23CD"/>
    <w:rsid w:val="36D73DE6"/>
    <w:rsid w:val="36DE38E2"/>
    <w:rsid w:val="376B05C9"/>
    <w:rsid w:val="3902278F"/>
    <w:rsid w:val="39201DD3"/>
    <w:rsid w:val="395E04A8"/>
    <w:rsid w:val="3989029D"/>
    <w:rsid w:val="3A422403"/>
    <w:rsid w:val="3B225FB4"/>
    <w:rsid w:val="3B3F06A7"/>
    <w:rsid w:val="3BD510C2"/>
    <w:rsid w:val="3C2170E8"/>
    <w:rsid w:val="3C3238C9"/>
    <w:rsid w:val="3C6F1EA8"/>
    <w:rsid w:val="3D324C57"/>
    <w:rsid w:val="3D8144CD"/>
    <w:rsid w:val="3D9A74E2"/>
    <w:rsid w:val="3E177DE3"/>
    <w:rsid w:val="3EB65FF4"/>
    <w:rsid w:val="3F7D23F5"/>
    <w:rsid w:val="41240ECD"/>
    <w:rsid w:val="4174723B"/>
    <w:rsid w:val="417742C6"/>
    <w:rsid w:val="42EF413F"/>
    <w:rsid w:val="43935755"/>
    <w:rsid w:val="43A26222"/>
    <w:rsid w:val="445F659C"/>
    <w:rsid w:val="447273A9"/>
    <w:rsid w:val="448C0A56"/>
    <w:rsid w:val="4563427C"/>
    <w:rsid w:val="4660474E"/>
    <w:rsid w:val="466801E0"/>
    <w:rsid w:val="4710266D"/>
    <w:rsid w:val="47564156"/>
    <w:rsid w:val="47A52A2A"/>
    <w:rsid w:val="48685A1B"/>
    <w:rsid w:val="486B1880"/>
    <w:rsid w:val="48D30327"/>
    <w:rsid w:val="496F0E49"/>
    <w:rsid w:val="4BF85ABA"/>
    <w:rsid w:val="4BFA3A34"/>
    <w:rsid w:val="4C0537C1"/>
    <w:rsid w:val="4C4A7E5F"/>
    <w:rsid w:val="4CA8383A"/>
    <w:rsid w:val="4CE3658C"/>
    <w:rsid w:val="4CE43298"/>
    <w:rsid w:val="4D714C64"/>
    <w:rsid w:val="4DD34EA8"/>
    <w:rsid w:val="4E1339F9"/>
    <w:rsid w:val="4E956353"/>
    <w:rsid w:val="4EFE06F2"/>
    <w:rsid w:val="4FA122F4"/>
    <w:rsid w:val="5050084C"/>
    <w:rsid w:val="50662D01"/>
    <w:rsid w:val="51065922"/>
    <w:rsid w:val="52124BA1"/>
    <w:rsid w:val="52AF1EE8"/>
    <w:rsid w:val="539647C2"/>
    <w:rsid w:val="53AD66C5"/>
    <w:rsid w:val="549C708D"/>
    <w:rsid w:val="55D347D7"/>
    <w:rsid w:val="55DC45A0"/>
    <w:rsid w:val="561E7E27"/>
    <w:rsid w:val="583B05DA"/>
    <w:rsid w:val="58CF776D"/>
    <w:rsid w:val="58E25114"/>
    <w:rsid w:val="58F277A2"/>
    <w:rsid w:val="59CE6DBC"/>
    <w:rsid w:val="5ADD246F"/>
    <w:rsid w:val="5B59070A"/>
    <w:rsid w:val="5BBB0780"/>
    <w:rsid w:val="5C7963B9"/>
    <w:rsid w:val="5C7F1970"/>
    <w:rsid w:val="5D505D45"/>
    <w:rsid w:val="5D817DEF"/>
    <w:rsid w:val="5DBF212A"/>
    <w:rsid w:val="5E861173"/>
    <w:rsid w:val="5FA269BD"/>
    <w:rsid w:val="61316D1E"/>
    <w:rsid w:val="61814DCD"/>
    <w:rsid w:val="62042B4F"/>
    <w:rsid w:val="63A91C12"/>
    <w:rsid w:val="64065BDB"/>
    <w:rsid w:val="642D6292"/>
    <w:rsid w:val="64B151AD"/>
    <w:rsid w:val="65134AAE"/>
    <w:rsid w:val="659E7293"/>
    <w:rsid w:val="65B946C0"/>
    <w:rsid w:val="66230F9B"/>
    <w:rsid w:val="666A5A84"/>
    <w:rsid w:val="6706549D"/>
    <w:rsid w:val="67261F88"/>
    <w:rsid w:val="674021AF"/>
    <w:rsid w:val="67ED05CE"/>
    <w:rsid w:val="681B0CCC"/>
    <w:rsid w:val="68D11DBB"/>
    <w:rsid w:val="69201710"/>
    <w:rsid w:val="69953C81"/>
    <w:rsid w:val="6A325154"/>
    <w:rsid w:val="6A735979"/>
    <w:rsid w:val="6ACF4F75"/>
    <w:rsid w:val="6AFC045A"/>
    <w:rsid w:val="6C5C31A3"/>
    <w:rsid w:val="6D0F3EA8"/>
    <w:rsid w:val="6D510304"/>
    <w:rsid w:val="6DC36BB6"/>
    <w:rsid w:val="6E785E45"/>
    <w:rsid w:val="6E800B8C"/>
    <w:rsid w:val="6F921145"/>
    <w:rsid w:val="6FAB29C1"/>
    <w:rsid w:val="6FC970D0"/>
    <w:rsid w:val="6FE51DE3"/>
    <w:rsid w:val="70677920"/>
    <w:rsid w:val="713D7A28"/>
    <w:rsid w:val="71BB330F"/>
    <w:rsid w:val="71D65F68"/>
    <w:rsid w:val="72147E50"/>
    <w:rsid w:val="730B0D59"/>
    <w:rsid w:val="733C7CFE"/>
    <w:rsid w:val="733F4984"/>
    <w:rsid w:val="7478365E"/>
    <w:rsid w:val="74B63F75"/>
    <w:rsid w:val="74CA7761"/>
    <w:rsid w:val="75470BF8"/>
    <w:rsid w:val="75940898"/>
    <w:rsid w:val="75F851A7"/>
    <w:rsid w:val="76A00741"/>
    <w:rsid w:val="76AC014E"/>
    <w:rsid w:val="76D50A2C"/>
    <w:rsid w:val="76E13B25"/>
    <w:rsid w:val="774C6064"/>
    <w:rsid w:val="78992DE1"/>
    <w:rsid w:val="7A312A3B"/>
    <w:rsid w:val="7AAD3FD5"/>
    <w:rsid w:val="7AD751B7"/>
    <w:rsid w:val="7B105B81"/>
    <w:rsid w:val="7F414042"/>
    <w:rsid w:val="7F4509AC"/>
    <w:rsid w:val="7FF37F7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C20"/>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C91C20"/>
    <w:pPr>
      <w:jc w:val="left"/>
    </w:pPr>
  </w:style>
  <w:style w:type="character" w:customStyle="1" w:styleId="CommentTextChar">
    <w:name w:val="Comment Text Char"/>
    <w:basedOn w:val="DefaultParagraphFont"/>
    <w:link w:val="CommentText"/>
    <w:uiPriority w:val="99"/>
    <w:semiHidden/>
    <w:rsid w:val="00853819"/>
    <w:rPr>
      <w:rFonts w:ascii="Times New Roman" w:hAnsi="Times New Roman"/>
      <w:kern w:val="0"/>
      <w:szCs w:val="24"/>
    </w:rPr>
  </w:style>
  <w:style w:type="paragraph" w:styleId="PlainText">
    <w:name w:val="Plain Text"/>
    <w:basedOn w:val="Normal"/>
    <w:link w:val="PlainTextChar"/>
    <w:uiPriority w:val="99"/>
    <w:rsid w:val="00C91C20"/>
    <w:rPr>
      <w:rFonts w:ascii="宋体" w:cs="Courier New"/>
      <w:szCs w:val="21"/>
    </w:rPr>
  </w:style>
  <w:style w:type="character" w:customStyle="1" w:styleId="PlainTextChar">
    <w:name w:val="Plain Text Char"/>
    <w:basedOn w:val="DefaultParagraphFont"/>
    <w:link w:val="PlainText"/>
    <w:uiPriority w:val="99"/>
    <w:semiHidden/>
    <w:rsid w:val="00853819"/>
    <w:rPr>
      <w:rFonts w:ascii="宋体" w:hAnsi="Courier New" w:cs="Courier New"/>
      <w:kern w:val="0"/>
      <w:szCs w:val="21"/>
    </w:rPr>
  </w:style>
  <w:style w:type="paragraph" w:styleId="Footer">
    <w:name w:val="footer"/>
    <w:basedOn w:val="Normal"/>
    <w:link w:val="FooterChar"/>
    <w:uiPriority w:val="99"/>
    <w:rsid w:val="00C91C20"/>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C91C20"/>
    <w:rPr>
      <w:rFonts w:cs="Times New Roman"/>
      <w:sz w:val="18"/>
      <w:szCs w:val="18"/>
    </w:rPr>
  </w:style>
  <w:style w:type="paragraph" w:styleId="Header">
    <w:name w:val="header"/>
    <w:basedOn w:val="Normal"/>
    <w:link w:val="HeaderChar"/>
    <w:uiPriority w:val="99"/>
    <w:rsid w:val="00C91C20"/>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C91C20"/>
    <w:rPr>
      <w:rFonts w:cs="Times New Roman"/>
      <w:sz w:val="18"/>
      <w:szCs w:val="18"/>
    </w:rPr>
  </w:style>
  <w:style w:type="paragraph" w:styleId="NormalWeb">
    <w:name w:val="Normal (Web)"/>
    <w:basedOn w:val="Normal"/>
    <w:uiPriority w:val="99"/>
    <w:rsid w:val="00C91C20"/>
    <w:pPr>
      <w:widowControl/>
      <w:spacing w:before="100" w:beforeAutospacing="1" w:after="240"/>
      <w:jc w:val="left"/>
    </w:pPr>
    <w:rPr>
      <w:rFonts w:ascii="宋体" w:hAnsi="宋体" w:cs="宋体"/>
      <w:sz w:val="24"/>
    </w:rPr>
  </w:style>
  <w:style w:type="character" w:styleId="PageNumber">
    <w:name w:val="page number"/>
    <w:basedOn w:val="DefaultParagraphFont"/>
    <w:uiPriority w:val="99"/>
    <w:rsid w:val="00C91C20"/>
    <w:rPr>
      <w:rFonts w:cs="Times New Roman"/>
    </w:rPr>
  </w:style>
  <w:style w:type="character" w:styleId="CommentReference">
    <w:name w:val="annotation reference"/>
    <w:basedOn w:val="DefaultParagraphFont"/>
    <w:uiPriority w:val="99"/>
    <w:semiHidden/>
    <w:rsid w:val="00C91C20"/>
    <w:rPr>
      <w:rFonts w:cs="Times New Roman"/>
      <w:sz w:val="21"/>
      <w:szCs w:val="21"/>
    </w:rPr>
  </w:style>
  <w:style w:type="paragraph" w:styleId="BalloonText">
    <w:name w:val="Balloon Text"/>
    <w:basedOn w:val="Normal"/>
    <w:link w:val="BalloonTextChar"/>
    <w:uiPriority w:val="99"/>
    <w:semiHidden/>
    <w:rsid w:val="00F90DB5"/>
    <w:rPr>
      <w:sz w:val="18"/>
      <w:szCs w:val="18"/>
    </w:rPr>
  </w:style>
  <w:style w:type="character" w:customStyle="1" w:styleId="BalloonTextChar">
    <w:name w:val="Balloon Text Char"/>
    <w:basedOn w:val="DefaultParagraphFont"/>
    <w:link w:val="BalloonText"/>
    <w:uiPriority w:val="99"/>
    <w:semiHidden/>
    <w:rsid w:val="00853819"/>
    <w:rPr>
      <w:rFonts w:ascii="Times New Roman" w:hAnsi="Times New Roman"/>
      <w:kern w:val="0"/>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15</Pages>
  <Words>970</Words>
  <Characters>5531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188</cp:revision>
  <dcterms:created xsi:type="dcterms:W3CDTF">2018-04-24T05:40:00Z</dcterms:created>
  <dcterms:modified xsi:type="dcterms:W3CDTF">2019-01-10T12:47:00Z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