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both"/>
        <w:rPr>
          <w:rFonts w:ascii="黑体" w:hAnsi="黑体" w:eastAsia="黑体"/>
          <w:sz w:val="32"/>
          <w:szCs w:val="32"/>
        </w:rPr>
      </w:pPr>
    </w:p>
    <w:p>
      <w:pPr>
        <w:spacing w:line="580" w:lineRule="exact"/>
        <w:jc w:val="center"/>
        <w:rPr>
          <w:rFonts w:hint="eastAsia" w:ascii="宋体" w:hAnsi="宋体" w:eastAsia="宋体" w:cs="宋体"/>
          <w:b w:val="0"/>
          <w:bCs w:val="0"/>
          <w:sz w:val="44"/>
          <w:szCs w:val="44"/>
        </w:rPr>
      </w:pPr>
      <w:r>
        <w:rPr>
          <w:rFonts w:hint="eastAsia" w:ascii="宋体" w:hAnsi="宋体" w:eastAsia="宋体" w:cs="宋体"/>
          <w:b w:val="0"/>
          <w:bCs w:val="0"/>
          <w:sz w:val="44"/>
          <w:szCs w:val="44"/>
        </w:rPr>
        <w:t>201</w:t>
      </w:r>
      <w:r>
        <w:rPr>
          <w:rFonts w:hint="eastAsia" w:ascii="宋体" w:hAnsi="宋体" w:eastAsia="宋体" w:cs="宋体"/>
          <w:b w:val="0"/>
          <w:bCs w:val="0"/>
          <w:sz w:val="44"/>
          <w:szCs w:val="44"/>
          <w:lang w:val="en-US" w:eastAsia="zh-CN"/>
        </w:rPr>
        <w:t>7</w:t>
      </w:r>
      <w:r>
        <w:rPr>
          <w:rFonts w:hint="eastAsia" w:ascii="宋体" w:hAnsi="宋体" w:eastAsia="宋体" w:cs="宋体"/>
          <w:b w:val="0"/>
          <w:bCs w:val="0"/>
          <w:sz w:val="44"/>
          <w:szCs w:val="44"/>
        </w:rPr>
        <w:t>年度塔什库尔干县环境保护管理局部门决算公开说明</w:t>
      </w:r>
    </w:p>
    <w:p>
      <w:pPr>
        <w:spacing w:line="580" w:lineRule="exact"/>
        <w:jc w:val="both"/>
        <w:outlineLvl w:val="1"/>
        <w:rPr>
          <w:rFonts w:ascii="华文中宋" w:hAnsi="华文中宋" w:eastAsia="华文中宋"/>
          <w:b/>
          <w:sz w:val="32"/>
          <w:szCs w:val="32"/>
        </w:rPr>
      </w:pPr>
    </w:p>
    <w:p>
      <w:pPr>
        <w:keepNext w:val="0"/>
        <w:keepLines w:val="0"/>
        <w:pageBreakBefore w:val="0"/>
        <w:widowControl w:val="0"/>
        <w:kinsoku/>
        <w:wordWrap/>
        <w:overflowPunct/>
        <w:topLinePunct w:val="0"/>
        <w:bidi w:val="0"/>
        <w:snapToGrid/>
        <w:spacing w:line="560" w:lineRule="exact"/>
        <w:ind w:right="0" w:rightChars="0" w:firstLine="3534" w:firstLineChars="1100"/>
        <w:textAlignment w:val="auto"/>
        <w:outlineLvl w:val="1"/>
        <w:rPr>
          <w:rFonts w:ascii="华文中宋" w:hAnsi="华文中宋" w:eastAsia="华文中宋"/>
          <w:b/>
          <w:sz w:val="32"/>
          <w:szCs w:val="32"/>
        </w:rPr>
      </w:pPr>
      <w:r>
        <w:rPr>
          <w:rFonts w:hint="eastAsia" w:ascii="华文中宋" w:hAnsi="华文中宋" w:eastAsia="华文中宋"/>
          <w:b/>
          <w:sz w:val="32"/>
          <w:szCs w:val="32"/>
        </w:rPr>
        <w:t>目</w:t>
      </w:r>
      <w:r>
        <w:rPr>
          <w:rFonts w:ascii="华文中宋" w:hAnsi="华文中宋" w:eastAsia="华文中宋"/>
          <w:b/>
          <w:sz w:val="32"/>
          <w:szCs w:val="32"/>
        </w:rPr>
        <w:t xml:space="preserve">  </w:t>
      </w:r>
      <w:r>
        <w:rPr>
          <w:rFonts w:hint="eastAsia" w:ascii="华文中宋" w:hAnsi="华文中宋" w:eastAsia="华文中宋"/>
          <w:b/>
          <w:sz w:val="32"/>
          <w:szCs w:val="32"/>
        </w:rPr>
        <w:t>录</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第一部分</w:t>
      </w:r>
      <w:r>
        <w:rPr>
          <w:rFonts w:ascii="黑体" w:hAnsi="黑体" w:eastAsia="黑体"/>
          <w:sz w:val="32"/>
          <w:szCs w:val="32"/>
        </w:rPr>
        <w:t xml:space="preserve"> </w:t>
      </w:r>
      <w:r>
        <w:rPr>
          <w:rFonts w:hint="eastAsia" w:ascii="黑体" w:hAnsi="黑体" w:eastAsia="黑体"/>
          <w:sz w:val="32"/>
          <w:szCs w:val="32"/>
        </w:rPr>
        <w:t>塔什库尔干县环境保护管理局单位概况</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outlineLvl w:val="1"/>
        <w:rPr>
          <w:rFonts w:ascii="仿宋_GB2312" w:hAnsi="宋体" w:eastAsia="仿宋_GB2312"/>
          <w:sz w:val="32"/>
          <w:szCs w:val="32"/>
        </w:rPr>
      </w:pPr>
      <w:r>
        <w:rPr>
          <w:rFonts w:hint="eastAsia" w:ascii="仿宋_GB2312" w:hAnsi="宋体" w:eastAsia="仿宋_GB2312"/>
          <w:sz w:val="32"/>
          <w:szCs w:val="32"/>
        </w:rPr>
        <w:t>一、主要职能、机构设置及人员情况</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outlineLvl w:val="1"/>
        <w:rPr>
          <w:rFonts w:ascii="仿宋_GB2312" w:eastAsia="仿宋_GB2312"/>
          <w:sz w:val="32"/>
          <w:szCs w:val="32"/>
        </w:rPr>
      </w:pPr>
      <w:r>
        <w:rPr>
          <w:rFonts w:hint="eastAsia" w:ascii="仿宋_GB2312" w:hAnsi="宋体" w:eastAsia="仿宋_GB2312"/>
          <w:sz w:val="32"/>
          <w:szCs w:val="32"/>
        </w:rPr>
        <w:t>二、</w:t>
      </w:r>
      <w:r>
        <w:rPr>
          <w:rFonts w:hint="eastAsia" w:ascii="仿宋_GB2312" w:eastAsia="仿宋_GB2312"/>
          <w:sz w:val="32"/>
          <w:szCs w:val="32"/>
        </w:rPr>
        <w:t>部门决算单位构成</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第二部分</w:t>
      </w:r>
      <w:r>
        <w:rPr>
          <w:rFonts w:ascii="黑体" w:hAnsi="黑体" w:eastAsia="黑体"/>
          <w:sz w:val="32"/>
          <w:szCs w:val="32"/>
        </w:rPr>
        <w:t xml:space="preserve"> </w:t>
      </w:r>
      <w:r>
        <w:rPr>
          <w:rFonts w:hint="eastAsia" w:ascii="黑体" w:hAnsi="黑体" w:eastAsia="黑体"/>
          <w:sz w:val="32"/>
          <w:szCs w:val="32"/>
        </w:rPr>
        <w:t>部门决算情况说明</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outlineLvl w:val="1"/>
        <w:rPr>
          <w:rFonts w:ascii="仿宋_GB2312" w:eastAsia="仿宋_GB2312"/>
          <w:sz w:val="32"/>
          <w:szCs w:val="32"/>
        </w:rPr>
      </w:pPr>
      <w:r>
        <w:rPr>
          <w:rFonts w:hint="eastAsia" w:ascii="仿宋_GB2312" w:eastAsia="仿宋_GB2312"/>
          <w:sz w:val="32"/>
          <w:szCs w:val="32"/>
        </w:rPr>
        <w:t>一、部门收支总体情况</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outlineLvl w:val="1"/>
        <w:rPr>
          <w:rFonts w:ascii="仿宋_GB2312" w:eastAsia="仿宋_GB2312"/>
          <w:sz w:val="32"/>
          <w:szCs w:val="32"/>
        </w:rPr>
      </w:pPr>
      <w:r>
        <w:rPr>
          <w:rFonts w:hint="eastAsia" w:ascii="仿宋_GB2312" w:eastAsia="仿宋_GB2312"/>
          <w:sz w:val="32"/>
          <w:szCs w:val="32"/>
        </w:rPr>
        <w:t>（一）部门收入支出决算总体情况说明</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（二）部门收入总体情况说明</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（三）部门支出总体情况说明</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二、部门财政拨款收支情况</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（一）财政拨款收支总体情况说明</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（二）一般公共预算支出决算情况说明</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（三）政府性基金预算收支决算情况说明</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（四）政府性基金预算支出决算情况说明</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三、部门结转结余情况</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四、一般公共预算“三公”经费支出情况</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五、机关运行经费支出情况</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六、政府采购情况</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七、其他重要事项的情况</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（一）国有资产占用情况说明</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（二）国有资产收益征缴情况说明</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（三）部门项目支出情况和项目绩效评价情况说明</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第三部分</w:t>
      </w:r>
      <w:r>
        <w:rPr>
          <w:rFonts w:ascii="黑体" w:hAnsi="黑体" w:eastAsia="黑体"/>
          <w:sz w:val="32"/>
          <w:szCs w:val="32"/>
        </w:rPr>
        <w:t xml:space="preserve"> </w:t>
      </w:r>
      <w:r>
        <w:rPr>
          <w:rFonts w:hint="eastAsia" w:ascii="黑体" w:hAnsi="黑体" w:eastAsia="黑体"/>
          <w:sz w:val="32"/>
          <w:szCs w:val="32"/>
        </w:rPr>
        <w:t>专业名词解释</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第四部分</w:t>
      </w:r>
      <w:r>
        <w:rPr>
          <w:rFonts w:ascii="黑体" w:hAnsi="黑体" w:eastAsia="黑体"/>
          <w:sz w:val="32"/>
          <w:szCs w:val="32"/>
        </w:rPr>
        <w:t xml:space="preserve"> </w:t>
      </w:r>
      <w:r>
        <w:rPr>
          <w:rFonts w:hint="eastAsia" w:ascii="黑体" w:hAnsi="黑体" w:eastAsia="黑体"/>
          <w:sz w:val="32"/>
          <w:szCs w:val="32"/>
        </w:rPr>
        <w:t>部门决算报表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outlineLvl w:val="1"/>
        <w:rPr>
          <w:rFonts w:ascii="仿宋_GB2312" w:eastAsia="仿宋_GB2312"/>
          <w:sz w:val="32"/>
          <w:szCs w:val="32"/>
        </w:rPr>
      </w:pPr>
      <w:r>
        <w:rPr>
          <w:rFonts w:hint="eastAsia" w:ascii="仿宋_GB2312" w:eastAsia="仿宋_GB2312"/>
          <w:sz w:val="32"/>
          <w:szCs w:val="32"/>
        </w:rPr>
        <w:t>一、报表封面</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二、部门收支总体情况（</w:t>
      </w:r>
      <w:r>
        <w:rPr>
          <w:rFonts w:ascii="仿宋_GB2312" w:eastAsia="仿宋_GB2312"/>
          <w:sz w:val="32"/>
          <w:szCs w:val="32"/>
        </w:rPr>
        <w:t>11</w:t>
      </w:r>
      <w:r>
        <w:rPr>
          <w:rFonts w:hint="eastAsia" w:ascii="仿宋_GB2312" w:eastAsia="仿宋_GB2312"/>
          <w:sz w:val="32"/>
          <w:szCs w:val="32"/>
        </w:rPr>
        <w:t>张）：</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《收入支出决算总表》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《收入决算表》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《支出决算表》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《收入支出决算表》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《项目收入支出决算表》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《行政事业类项目收入支出决算表》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《基本建设类项目收入支出决算表》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《支出决算明细表》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《基本支出决算明细表》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《项目支出决算明细表》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《财政专户管理资金收入支出决算表》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三、财政拨款收支情况（</w:t>
      </w:r>
      <w:r>
        <w:rPr>
          <w:rFonts w:ascii="仿宋_GB2312" w:eastAsia="仿宋_GB2312"/>
          <w:sz w:val="32"/>
          <w:szCs w:val="32"/>
        </w:rPr>
        <w:t>9</w:t>
      </w:r>
      <w:r>
        <w:rPr>
          <w:rFonts w:hint="eastAsia" w:ascii="仿宋_GB2312" w:eastAsia="仿宋_GB2312"/>
          <w:sz w:val="32"/>
          <w:szCs w:val="32"/>
        </w:rPr>
        <w:t>张）</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《财政拨款收入支出决算总表》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《一般公共预算财政拨款收入支出决算表》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《一般公共预算财政拨款支出决算明细表》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《一般公共预算财政拨款基本支出决算明细表》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《一般公共预算财政拨款项目支出决算明细表》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《政府性基金预算财政拨款收入支出决算表》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《政府性基金预算财政拨款支出决算明细表》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《政府性基金预算财政拨款基本支出决算明细表》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《政府性基金预算财政拨款项目支出决算明细表》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四、单位资产负责情况（</w:t>
      </w:r>
      <w:r>
        <w:rPr>
          <w:rFonts w:ascii="仿宋_GB2312" w:eastAsia="仿宋_GB2312"/>
          <w:sz w:val="32"/>
          <w:szCs w:val="32"/>
        </w:rPr>
        <w:t>1</w:t>
      </w:r>
      <w:r>
        <w:rPr>
          <w:rFonts w:hint="eastAsia" w:ascii="仿宋_GB2312" w:eastAsia="仿宋_GB2312"/>
          <w:sz w:val="32"/>
          <w:szCs w:val="32"/>
        </w:rPr>
        <w:t>张）：《资产负债简表》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五、部门决算附表（</w:t>
      </w:r>
      <w:r>
        <w:rPr>
          <w:rFonts w:ascii="仿宋_GB2312" w:eastAsia="仿宋_GB2312"/>
          <w:sz w:val="32"/>
          <w:szCs w:val="32"/>
        </w:rPr>
        <w:t>5</w:t>
      </w:r>
      <w:r>
        <w:rPr>
          <w:rFonts w:hint="eastAsia" w:ascii="仿宋_GB2312" w:eastAsia="仿宋_GB2312"/>
          <w:sz w:val="32"/>
          <w:szCs w:val="32"/>
        </w:rPr>
        <w:t>张）</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《资产情况表》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《国有资产收益征缴情况表》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《基本数字表》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《机构人员情况表》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《非税收入征缴情况表》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六、填报说明附表（</w:t>
      </w:r>
      <w:r>
        <w:rPr>
          <w:rFonts w:ascii="仿宋_GB2312" w:eastAsia="仿宋_GB2312"/>
          <w:sz w:val="32"/>
          <w:szCs w:val="32"/>
        </w:rPr>
        <w:t>2</w:t>
      </w:r>
      <w:r>
        <w:rPr>
          <w:rFonts w:hint="eastAsia" w:ascii="仿宋_GB2312" w:eastAsia="仿宋_GB2312"/>
          <w:sz w:val="32"/>
          <w:szCs w:val="32"/>
        </w:rPr>
        <w:t>张）</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《部门决算相关信息统计表》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《政府采购情况表》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七、“三公”经费支出情况</w:t>
      </w:r>
      <w:r>
        <w:rPr>
          <w:rFonts w:ascii="仿宋_GB2312" w:eastAsia="仿宋_GB2312"/>
          <w:sz w:val="32"/>
          <w:szCs w:val="32"/>
        </w:rPr>
        <w:t>(1</w:t>
      </w:r>
      <w:r>
        <w:rPr>
          <w:rFonts w:hint="eastAsia" w:ascii="仿宋_GB2312" w:eastAsia="仿宋_GB2312"/>
          <w:sz w:val="32"/>
          <w:szCs w:val="32"/>
        </w:rPr>
        <w:t>张</w:t>
      </w:r>
      <w:r>
        <w:rPr>
          <w:rFonts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2017</w:t>
      </w:r>
      <w:r>
        <w:rPr>
          <w:rFonts w:hint="eastAsia" w:ascii="仿宋_GB2312" w:eastAsia="仿宋_GB2312"/>
          <w:sz w:val="32"/>
          <w:szCs w:val="32"/>
        </w:rPr>
        <w:t>年度一般公共预算“三公”经费支出情况表》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p>
    <w:p>
      <w:pPr>
        <w:keepNext w:val="0"/>
        <w:keepLines w:val="0"/>
        <w:pageBreakBefore w:val="0"/>
        <w:widowControl w:val="0"/>
        <w:kinsoku/>
        <w:wordWrap/>
        <w:overflowPunct/>
        <w:topLinePunct w:val="0"/>
        <w:bidi w:val="0"/>
        <w:snapToGrid/>
        <w:spacing w:line="560" w:lineRule="exact"/>
        <w:ind w:left="0" w:leftChars="0" w:right="0" w:rightChars="0" w:firstLine="640" w:firstLineChars="200"/>
        <w:jc w:val="center"/>
        <w:textAlignment w:val="auto"/>
        <w:rPr>
          <w:rFonts w:ascii="黑体" w:hAnsi="黑体" w:eastAsia="黑体"/>
          <w:sz w:val="32"/>
          <w:szCs w:val="32"/>
        </w:rPr>
      </w:pPr>
      <w:r>
        <w:rPr>
          <w:rFonts w:hint="eastAsia" w:ascii="黑体" w:hAnsi="黑体" w:eastAsia="黑体"/>
          <w:sz w:val="32"/>
          <w:szCs w:val="32"/>
        </w:rPr>
        <w:t>第一部分</w:t>
      </w:r>
      <w:r>
        <w:rPr>
          <w:rFonts w:ascii="黑体" w:hAnsi="黑体" w:eastAsia="黑体"/>
          <w:sz w:val="32"/>
          <w:szCs w:val="32"/>
        </w:rPr>
        <w:t xml:space="preserve"> </w:t>
      </w:r>
      <w:r>
        <w:rPr>
          <w:rFonts w:hint="eastAsia" w:ascii="黑体" w:hAnsi="黑体" w:eastAsia="黑体"/>
          <w:sz w:val="32"/>
          <w:szCs w:val="32"/>
        </w:rPr>
        <w:t>部门单位概况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一、部门单位基本情况，包括：部门主要职能和机构设置情况、年末编制情况、实有人数情况等。</w:t>
      </w:r>
    </w:p>
    <w:p>
      <w:pPr>
        <w:keepNext w:val="0"/>
        <w:keepLines w:val="0"/>
        <w:pageBreakBefore w:val="0"/>
        <w:widowControl w:val="0"/>
        <w:kinsoku/>
        <w:wordWrap/>
        <w:overflowPunct/>
        <w:topLinePunct w:val="0"/>
        <w:bidi w:val="0"/>
        <w:snapToGrid/>
        <w:spacing w:line="560" w:lineRule="exact"/>
        <w:ind w:right="0" w:rightChars="0"/>
        <w:textAlignment w:val="auto"/>
        <w:rPr>
          <w:rFonts w:hint="eastAsia"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（一）</w:t>
      </w:r>
      <w:r>
        <w:rPr>
          <w:rFonts w:hint="eastAsia" w:ascii="仿宋_GB2312" w:eastAsia="仿宋_GB2312"/>
          <w:sz w:val="32"/>
          <w:szCs w:val="32"/>
        </w:rPr>
        <w:t>部门主要职能</w:t>
      </w:r>
    </w:p>
    <w:p>
      <w:pPr>
        <w:keepNext w:val="0"/>
        <w:keepLines w:val="0"/>
        <w:pageBreakBefore w:val="0"/>
        <w:widowControl w:val="0"/>
        <w:kinsoku/>
        <w:wordWrap/>
        <w:overflowPunct/>
        <w:topLinePunct w:val="0"/>
        <w:bidi w:val="0"/>
        <w:snapToGrid/>
        <w:spacing w:line="560" w:lineRule="exact"/>
        <w:ind w:left="0" w:leftChars="0" w:right="0" w:rightChars="0" w:firstLine="616" w:firstLineChars="200"/>
        <w:textAlignment w:val="auto"/>
        <w:rPr>
          <w:rFonts w:ascii="仿宋_GB2312" w:eastAsia="仿宋_GB2312"/>
          <w:spacing w:val="-6"/>
          <w:sz w:val="32"/>
          <w:szCs w:val="32"/>
        </w:rPr>
      </w:pPr>
      <w:r>
        <w:rPr>
          <w:rFonts w:hint="eastAsia" w:ascii="仿宋_GB2312" w:eastAsia="仿宋_GB2312"/>
          <w:spacing w:val="-6"/>
          <w:sz w:val="32"/>
          <w:szCs w:val="32"/>
          <w:lang w:eastAsia="zh-CN"/>
        </w:rPr>
        <w:t>塔什库尔干</w:t>
      </w:r>
      <w:r>
        <w:rPr>
          <w:rFonts w:hint="eastAsia" w:ascii="仿宋_GB2312" w:eastAsia="仿宋_GB2312"/>
          <w:spacing w:val="-6"/>
          <w:sz w:val="32"/>
          <w:szCs w:val="32"/>
        </w:rPr>
        <w:t>县环境保护局是县人民政府直属的全额预算管理的正科级行政单位、财务核算方面实行独立核算。单位的经费来源主要靠财政拨款、各类专项资金在暂存款科目进行核算。</w:t>
      </w:r>
      <w:r>
        <w:rPr>
          <w:rFonts w:hint="eastAsia" w:ascii="仿宋_GB2312" w:eastAsia="仿宋_GB2312"/>
          <w:spacing w:val="-6"/>
          <w:sz w:val="32"/>
          <w:szCs w:val="32"/>
          <w:lang w:eastAsia="zh-CN"/>
        </w:rPr>
        <w:t>本</w:t>
      </w:r>
      <w:r>
        <w:rPr>
          <w:rFonts w:hint="eastAsia" w:ascii="仿宋_GB2312" w:eastAsia="仿宋_GB2312"/>
          <w:spacing w:val="-6"/>
          <w:sz w:val="32"/>
          <w:szCs w:val="32"/>
        </w:rPr>
        <w:t>单位的主要职责是主管全县环境保护、环境保护规划、环境监测、环境执法监察、生态保护、农村环境保护、建设项目环评与监督、核与辐射安全监督、污染防治和其他自然生态保护管理工作。</w:t>
      </w:r>
    </w:p>
    <w:p>
      <w:pPr>
        <w:keepNext w:val="0"/>
        <w:keepLines w:val="0"/>
        <w:pageBreakBefore w:val="0"/>
        <w:widowControl w:val="0"/>
        <w:numPr>
          <w:ilvl w:val="0"/>
          <w:numId w:val="1"/>
        </w:numPr>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机构设置情况</w:t>
      </w:r>
    </w:p>
    <w:p>
      <w:pPr>
        <w:keepNext w:val="0"/>
        <w:keepLines w:val="0"/>
        <w:pageBreakBefore w:val="0"/>
        <w:widowControl w:val="0"/>
        <w:numPr>
          <w:ilvl w:val="0"/>
          <w:numId w:val="0"/>
        </w:numPr>
        <w:kinsoku/>
        <w:wordWrap/>
        <w:overflowPunct/>
        <w:topLinePunct w:val="0"/>
        <w:bidi w:val="0"/>
        <w:snapToGrid/>
        <w:spacing w:line="560" w:lineRule="exact"/>
        <w:ind w:leftChars="200" w:right="0" w:rightChars="0"/>
        <w:textAlignment w:val="auto"/>
        <w:rPr>
          <w:rFonts w:hint="eastAsia" w:ascii="仿宋_GB2312" w:eastAsia="仿宋_GB2312"/>
          <w:spacing w:val="-6"/>
          <w:sz w:val="32"/>
          <w:szCs w:val="32"/>
        </w:rPr>
      </w:pPr>
      <w:r>
        <w:rPr>
          <w:rFonts w:hint="eastAsia" w:ascii="仿宋_GB2312" w:eastAsia="仿宋_GB2312"/>
          <w:spacing w:val="-6"/>
          <w:sz w:val="32"/>
          <w:szCs w:val="32"/>
          <w:lang w:val="en-US" w:eastAsia="zh-CN"/>
        </w:rPr>
        <w:t xml:space="preserve">  </w:t>
      </w:r>
      <w:r>
        <w:rPr>
          <w:rFonts w:hint="eastAsia" w:ascii="仿宋_GB2312" w:eastAsia="仿宋_GB2312"/>
          <w:spacing w:val="-6"/>
          <w:sz w:val="32"/>
          <w:szCs w:val="32"/>
          <w:lang w:eastAsia="zh-CN"/>
        </w:rPr>
        <w:t>塔什库尔干</w:t>
      </w:r>
      <w:r>
        <w:rPr>
          <w:rFonts w:hint="eastAsia" w:ascii="仿宋_GB2312" w:eastAsia="仿宋_GB2312"/>
          <w:spacing w:val="-6"/>
          <w:sz w:val="32"/>
          <w:szCs w:val="32"/>
        </w:rPr>
        <w:t>县环境保护局单位性质为行政单位，全额拨款，</w:t>
      </w:r>
    </w:p>
    <w:p>
      <w:pPr>
        <w:keepNext w:val="0"/>
        <w:keepLines w:val="0"/>
        <w:pageBreakBefore w:val="0"/>
        <w:widowControl w:val="0"/>
        <w:numPr>
          <w:ilvl w:val="0"/>
          <w:numId w:val="0"/>
        </w:numPr>
        <w:kinsoku/>
        <w:wordWrap/>
        <w:overflowPunct/>
        <w:topLinePunct w:val="0"/>
        <w:bidi w:val="0"/>
        <w:snapToGrid/>
        <w:spacing w:line="560" w:lineRule="exact"/>
        <w:ind w:right="0" w:rightChars="0"/>
        <w:textAlignment w:val="auto"/>
        <w:rPr>
          <w:rFonts w:hint="eastAsia" w:ascii="仿宋_GB2312" w:eastAsia="仿宋_GB2312"/>
          <w:spacing w:val="-6"/>
          <w:sz w:val="32"/>
          <w:szCs w:val="32"/>
        </w:rPr>
      </w:pPr>
      <w:r>
        <w:rPr>
          <w:rFonts w:hint="eastAsia" w:ascii="仿宋_GB2312" w:eastAsia="仿宋_GB2312"/>
          <w:spacing w:val="-6"/>
          <w:sz w:val="32"/>
          <w:szCs w:val="32"/>
        </w:rPr>
        <w:t>执行会计制度为行政会计制度。独立编制机构</w:t>
      </w:r>
      <w:r>
        <w:rPr>
          <w:rFonts w:ascii="仿宋_GB2312" w:eastAsia="仿宋_GB2312"/>
          <w:spacing w:val="-6"/>
          <w:sz w:val="32"/>
          <w:szCs w:val="32"/>
        </w:rPr>
        <w:t>1</w:t>
      </w:r>
      <w:r>
        <w:rPr>
          <w:rFonts w:hint="eastAsia" w:ascii="仿宋_GB2312" w:eastAsia="仿宋_GB2312"/>
          <w:spacing w:val="-6"/>
          <w:sz w:val="32"/>
          <w:szCs w:val="32"/>
        </w:rPr>
        <w:t>个，单位内设</w:t>
      </w:r>
      <w:r>
        <w:rPr>
          <w:rFonts w:ascii="仿宋_GB2312" w:eastAsia="仿宋_GB2312"/>
          <w:spacing w:val="-6"/>
          <w:sz w:val="32"/>
          <w:szCs w:val="32"/>
        </w:rPr>
        <w:t>4</w:t>
      </w:r>
      <w:r>
        <w:rPr>
          <w:rFonts w:hint="eastAsia" w:ascii="仿宋_GB2312" w:eastAsia="仿宋_GB2312"/>
          <w:spacing w:val="-6"/>
          <w:sz w:val="32"/>
          <w:szCs w:val="32"/>
        </w:rPr>
        <w:t>个职能股室。</w:t>
      </w:r>
    </w:p>
    <w:p>
      <w:pPr>
        <w:keepNext w:val="0"/>
        <w:keepLines w:val="0"/>
        <w:pageBreakBefore w:val="0"/>
        <w:widowControl w:val="0"/>
        <w:numPr>
          <w:ilvl w:val="0"/>
          <w:numId w:val="0"/>
        </w:numPr>
        <w:kinsoku/>
        <w:wordWrap/>
        <w:overflowPunct/>
        <w:topLinePunct w:val="0"/>
        <w:bidi w:val="0"/>
        <w:snapToGrid/>
        <w:spacing w:line="560" w:lineRule="exact"/>
        <w:ind w:leftChars="200" w:right="0" w:rightChars="0"/>
        <w:textAlignment w:val="auto"/>
        <w:rPr>
          <w:rFonts w:hint="eastAsia" w:ascii="仿宋_GB2312" w:eastAsia="仿宋_GB2312"/>
          <w:spacing w:val="-6"/>
          <w:sz w:val="32"/>
          <w:szCs w:val="32"/>
          <w:lang w:val="en-US" w:eastAsia="zh-CN"/>
        </w:rPr>
      </w:pPr>
      <w:r>
        <w:rPr>
          <w:rFonts w:hint="eastAsia" w:ascii="仿宋_GB2312" w:eastAsia="仿宋_GB2312"/>
          <w:spacing w:val="-6"/>
          <w:sz w:val="32"/>
          <w:szCs w:val="32"/>
          <w:lang w:val="en-US" w:eastAsia="zh-CN"/>
        </w:rPr>
        <w:t>（三）年末编制情况</w:t>
      </w:r>
    </w:p>
    <w:p>
      <w:pPr>
        <w:keepNext w:val="0"/>
        <w:keepLines w:val="0"/>
        <w:pageBreakBefore w:val="0"/>
        <w:widowControl w:val="0"/>
        <w:numPr>
          <w:ilvl w:val="0"/>
          <w:numId w:val="0"/>
        </w:numPr>
        <w:kinsoku/>
        <w:wordWrap/>
        <w:overflowPunct/>
        <w:topLinePunct w:val="0"/>
        <w:bidi w:val="0"/>
        <w:snapToGrid/>
        <w:spacing w:line="560" w:lineRule="exact"/>
        <w:ind w:leftChars="200" w:right="0" w:rightChars="0"/>
        <w:jc w:val="left"/>
        <w:textAlignment w:val="auto"/>
        <w:rPr>
          <w:rFonts w:hint="eastAsia" w:ascii="仿宋_GB2312" w:eastAsia="仿宋_GB2312"/>
          <w:spacing w:val="-6"/>
          <w:sz w:val="32"/>
          <w:szCs w:val="32"/>
          <w:lang w:val="en-US" w:eastAsia="zh-CN"/>
        </w:rPr>
      </w:pPr>
      <w:r>
        <w:rPr>
          <w:rFonts w:hint="eastAsia" w:ascii="仿宋_GB2312" w:eastAsia="仿宋_GB2312"/>
          <w:spacing w:val="-6"/>
          <w:sz w:val="32"/>
          <w:szCs w:val="32"/>
          <w:lang w:val="en-US" w:eastAsia="zh-CN"/>
        </w:rPr>
        <w:t xml:space="preserve"> 编制人数6人，其中：行政人员编制2人，参照公务员管理</w:t>
      </w:r>
    </w:p>
    <w:p>
      <w:pPr>
        <w:keepNext w:val="0"/>
        <w:keepLines w:val="0"/>
        <w:pageBreakBefore w:val="0"/>
        <w:widowControl w:val="0"/>
        <w:numPr>
          <w:ilvl w:val="0"/>
          <w:numId w:val="0"/>
        </w:numPr>
        <w:kinsoku/>
        <w:wordWrap/>
        <w:overflowPunct/>
        <w:topLinePunct w:val="0"/>
        <w:bidi w:val="0"/>
        <w:snapToGrid/>
        <w:spacing w:line="560" w:lineRule="exact"/>
        <w:ind w:right="0" w:rightChars="0"/>
        <w:jc w:val="left"/>
        <w:textAlignment w:val="auto"/>
        <w:rPr>
          <w:rFonts w:hint="eastAsia" w:ascii="仿宋_GB2312" w:eastAsia="仿宋_GB2312"/>
          <w:spacing w:val="-6"/>
          <w:sz w:val="32"/>
          <w:szCs w:val="32"/>
          <w:lang w:val="en-US" w:eastAsia="zh-CN"/>
        </w:rPr>
      </w:pPr>
      <w:r>
        <w:rPr>
          <w:rFonts w:hint="eastAsia" w:ascii="仿宋_GB2312" w:eastAsia="仿宋_GB2312"/>
          <w:spacing w:val="-6"/>
          <w:sz w:val="32"/>
          <w:szCs w:val="32"/>
          <w:lang w:val="en-US" w:eastAsia="zh-CN"/>
        </w:rPr>
        <w:t>事业单位人员编制4人，全额拨款事业单位人员编制0人。实有人数情况：实有在职人数4人，其中：行政在职1人，参照公务员管理的事业单位人员3人，事业在职0人，工勤在职人数0人。离退休人员1人，其中：离休人员0人，退休人员1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hanging="616" w:hangingChars="200"/>
        <w:textAlignment w:val="auto"/>
        <w:outlineLvl w:val="9"/>
        <w:rPr>
          <w:rFonts w:hint="eastAsia" w:ascii="仿宋_GB2312" w:eastAsia="仿宋_GB2312"/>
          <w:spacing w:val="-6"/>
          <w:sz w:val="32"/>
          <w:szCs w:val="32"/>
        </w:rPr>
      </w:pPr>
      <w:r>
        <w:rPr>
          <w:rFonts w:hint="eastAsia" w:ascii="仿宋_GB2312" w:eastAsia="仿宋_GB2312"/>
          <w:spacing w:val="-6"/>
          <w:sz w:val="32"/>
          <w:szCs w:val="32"/>
          <w:lang w:val="en-US" w:eastAsia="zh-CN"/>
        </w:rPr>
        <w:t xml:space="preserve">    </w:t>
      </w:r>
      <w:r>
        <w:rPr>
          <w:rFonts w:hint="eastAsia" w:ascii="仿宋_GB2312" w:eastAsia="仿宋_GB2312"/>
          <w:spacing w:val="-6"/>
          <w:sz w:val="32"/>
          <w:szCs w:val="32"/>
        </w:rPr>
        <w:t>二、部门决算单位构成。</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hanging="616" w:hangingChars="200"/>
        <w:textAlignment w:val="auto"/>
        <w:outlineLvl w:val="9"/>
        <w:rPr>
          <w:rFonts w:hint="eastAsia" w:ascii="仿宋_GB2312" w:eastAsia="仿宋_GB2312"/>
          <w:spacing w:val="-6"/>
          <w:sz w:val="32"/>
          <w:szCs w:val="32"/>
        </w:rPr>
      </w:pPr>
      <w:r>
        <w:rPr>
          <w:rFonts w:hint="eastAsia" w:ascii="仿宋_GB2312" w:eastAsia="仿宋_GB2312"/>
          <w:spacing w:val="-6"/>
          <w:sz w:val="32"/>
          <w:szCs w:val="32"/>
          <w:lang w:val="en-US" w:eastAsia="zh-CN"/>
        </w:rPr>
        <w:t xml:space="preserve">    </w:t>
      </w:r>
      <w:r>
        <w:rPr>
          <w:rFonts w:hint="eastAsia" w:ascii="仿宋_GB2312" w:eastAsia="仿宋_GB2312"/>
          <w:spacing w:val="-6"/>
          <w:sz w:val="32"/>
          <w:szCs w:val="32"/>
        </w:rPr>
        <w:t>从决算单位构成看，</w:t>
      </w:r>
      <w:r>
        <w:rPr>
          <w:rFonts w:hint="eastAsia" w:ascii="仿宋_GB2312" w:eastAsia="仿宋_GB2312"/>
          <w:spacing w:val="-6"/>
          <w:sz w:val="32"/>
          <w:szCs w:val="32"/>
          <w:lang w:eastAsia="zh-CN"/>
        </w:rPr>
        <w:t>塔什库尔干</w:t>
      </w:r>
      <w:r>
        <w:rPr>
          <w:rFonts w:hint="eastAsia" w:ascii="仿宋_GB2312" w:eastAsia="仿宋_GB2312"/>
          <w:spacing w:val="-6"/>
          <w:sz w:val="32"/>
          <w:szCs w:val="32"/>
        </w:rPr>
        <w:t>县环境保护局部门决算包括：</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hanging="616" w:hangingChars="200"/>
        <w:textAlignment w:val="auto"/>
        <w:outlineLvl w:val="9"/>
        <w:rPr>
          <w:rFonts w:hint="eastAsia" w:ascii="仿宋_GB2312" w:eastAsia="仿宋_GB2312"/>
          <w:spacing w:val="-6"/>
          <w:sz w:val="32"/>
          <w:szCs w:val="32"/>
        </w:rPr>
      </w:pPr>
      <w:r>
        <w:rPr>
          <w:rFonts w:hint="eastAsia" w:ascii="仿宋_GB2312" w:eastAsia="仿宋_GB2312"/>
          <w:spacing w:val="-6"/>
          <w:sz w:val="32"/>
          <w:szCs w:val="32"/>
          <w:lang w:eastAsia="zh-CN"/>
        </w:rPr>
        <w:t>塔库尔干</w:t>
      </w:r>
      <w:r>
        <w:rPr>
          <w:rFonts w:hint="eastAsia" w:ascii="仿宋_GB2312" w:eastAsia="仿宋_GB2312"/>
          <w:spacing w:val="-6"/>
          <w:sz w:val="32"/>
          <w:szCs w:val="32"/>
        </w:rPr>
        <w:t>县环境保护局部门本级决算</w:t>
      </w:r>
      <w:r>
        <w:rPr>
          <w:rFonts w:hint="eastAsia" w:ascii="仿宋_GB2312" w:eastAsia="仿宋_GB2312"/>
          <w:spacing w:val="-6"/>
          <w:sz w:val="32"/>
          <w:szCs w:val="32"/>
          <w:lang w:eastAsia="zh-CN"/>
        </w:rPr>
        <w:t>、所属单位决算等</w:t>
      </w:r>
      <w:r>
        <w:rPr>
          <w:rFonts w:hint="eastAsia" w:ascii="仿宋_GB2312" w:eastAsia="仿宋_GB2312"/>
          <w:spacing w:val="-6"/>
          <w:sz w:val="32"/>
          <w:szCs w:val="32"/>
        </w:rPr>
        <w:t>。</w:t>
      </w:r>
    </w:p>
    <w:p>
      <w:pPr>
        <w:keepNext w:val="0"/>
        <w:keepLines w:val="0"/>
        <w:pageBreakBefore w:val="0"/>
        <w:widowControl w:val="0"/>
        <w:kinsoku/>
        <w:wordWrap/>
        <w:overflowPunct/>
        <w:topLinePunct w:val="0"/>
        <w:bidi w:val="0"/>
        <w:snapToGrid/>
        <w:spacing w:line="560" w:lineRule="exact"/>
        <w:ind w:left="0" w:leftChars="0" w:right="0" w:rightChars="0" w:firstLine="616" w:firstLineChars="200"/>
        <w:textAlignment w:val="auto"/>
        <w:rPr>
          <w:rFonts w:hint="eastAsia" w:ascii="仿宋_GB2312" w:eastAsia="仿宋_GB2312"/>
          <w:spacing w:val="-6"/>
          <w:sz w:val="32"/>
          <w:szCs w:val="32"/>
        </w:rPr>
      </w:pPr>
      <w:r>
        <w:rPr>
          <w:rFonts w:hint="eastAsia" w:ascii="仿宋_GB2312" w:eastAsia="仿宋_GB2312"/>
          <w:spacing w:val="-6"/>
          <w:sz w:val="32"/>
          <w:szCs w:val="32"/>
        </w:rPr>
        <w:t>纳入</w:t>
      </w:r>
      <w:r>
        <w:rPr>
          <w:rFonts w:hint="eastAsia" w:ascii="仿宋_GB2312" w:eastAsia="仿宋_GB2312"/>
          <w:spacing w:val="-6"/>
          <w:sz w:val="32"/>
          <w:szCs w:val="32"/>
          <w:lang w:eastAsia="zh-CN"/>
        </w:rPr>
        <w:t>塔什库尔干</w:t>
      </w:r>
      <w:r>
        <w:rPr>
          <w:rFonts w:hint="eastAsia" w:ascii="仿宋_GB2312" w:eastAsia="仿宋_GB2312"/>
          <w:spacing w:val="-6"/>
          <w:sz w:val="32"/>
          <w:szCs w:val="32"/>
        </w:rPr>
        <w:t>县环境保护局2017年部门决算编制范围的单位名单见下表：</w:t>
      </w:r>
    </w:p>
    <w:tbl>
      <w:tblPr>
        <w:tblStyle w:val="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8"/>
        <w:gridCol w:w="4950"/>
        <w:gridCol w:w="23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808"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16" w:firstLineChars="200"/>
              <w:textAlignment w:val="auto"/>
              <w:rPr>
                <w:rFonts w:hint="eastAsia" w:ascii="仿宋_GB2312" w:eastAsia="仿宋_GB2312"/>
                <w:spacing w:val="-6"/>
                <w:sz w:val="32"/>
                <w:szCs w:val="32"/>
              </w:rPr>
            </w:pPr>
            <w:r>
              <w:rPr>
                <w:rFonts w:hint="eastAsia" w:ascii="仿宋_GB2312" w:eastAsia="仿宋_GB2312"/>
                <w:spacing w:val="-6"/>
                <w:sz w:val="32"/>
                <w:szCs w:val="32"/>
              </w:rPr>
              <w:t>序号</w:t>
            </w:r>
          </w:p>
        </w:tc>
        <w:tc>
          <w:tcPr>
            <w:tcW w:w="4950"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16" w:firstLineChars="200"/>
              <w:jc w:val="both"/>
              <w:textAlignment w:val="auto"/>
              <w:rPr>
                <w:rFonts w:hint="eastAsia" w:ascii="仿宋_GB2312" w:eastAsia="仿宋_GB2312"/>
                <w:spacing w:val="-6"/>
                <w:sz w:val="32"/>
                <w:szCs w:val="32"/>
              </w:rPr>
            </w:pPr>
            <w:r>
              <w:rPr>
                <w:rFonts w:hint="eastAsia" w:ascii="仿宋_GB2312" w:eastAsia="仿宋_GB2312"/>
                <w:spacing w:val="-6"/>
                <w:sz w:val="32"/>
                <w:szCs w:val="32"/>
                <w:lang w:val="en-US" w:eastAsia="zh-CN"/>
              </w:rPr>
              <w:t xml:space="preserve">        </w:t>
            </w:r>
            <w:r>
              <w:rPr>
                <w:rFonts w:hint="eastAsia" w:ascii="仿宋_GB2312" w:eastAsia="仿宋_GB2312"/>
                <w:spacing w:val="-6"/>
                <w:sz w:val="32"/>
                <w:szCs w:val="32"/>
              </w:rPr>
              <w:t>单位名称</w:t>
            </w:r>
          </w:p>
        </w:tc>
        <w:tc>
          <w:tcPr>
            <w:tcW w:w="2302"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16" w:firstLineChars="200"/>
              <w:textAlignment w:val="auto"/>
              <w:rPr>
                <w:rFonts w:hint="eastAsia" w:ascii="仿宋_GB2312" w:eastAsia="仿宋_GB2312"/>
                <w:spacing w:val="-6"/>
                <w:sz w:val="32"/>
                <w:szCs w:val="32"/>
              </w:rPr>
            </w:pPr>
            <w:r>
              <w:rPr>
                <w:rFonts w:hint="eastAsia" w:ascii="仿宋_GB2312" w:eastAsia="仿宋_GB2312"/>
                <w:spacing w:val="-6"/>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808"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1</w:t>
            </w:r>
          </w:p>
        </w:tc>
        <w:tc>
          <w:tcPr>
            <w:tcW w:w="4950" w:type="dxa"/>
            <w:vAlign w:val="center"/>
          </w:tcPr>
          <w:p>
            <w:pPr>
              <w:keepNext w:val="0"/>
              <w:keepLines w:val="0"/>
              <w:pageBreakBefore w:val="0"/>
              <w:widowControl w:val="0"/>
              <w:kinsoku/>
              <w:wordWrap/>
              <w:overflowPunct/>
              <w:topLinePunct w:val="0"/>
              <w:bidi w:val="0"/>
              <w:snapToGrid/>
              <w:spacing w:line="560" w:lineRule="exact"/>
              <w:ind w:right="0" w:rightChars="0"/>
              <w:textAlignment w:val="auto"/>
              <w:rPr>
                <w:rFonts w:ascii="仿宋_GB2312" w:eastAsia="仿宋_GB2312"/>
                <w:sz w:val="32"/>
                <w:szCs w:val="32"/>
              </w:rPr>
            </w:pPr>
            <w:r>
              <w:rPr>
                <w:rFonts w:hint="eastAsia" w:ascii="仿宋_GB2312" w:eastAsia="仿宋_GB2312"/>
                <w:sz w:val="32"/>
                <w:szCs w:val="32"/>
                <w:lang w:val="en-US" w:eastAsia="zh-CN"/>
              </w:rPr>
              <w:t xml:space="preserve">  塔什库尔干县环境保护管理局</w:t>
            </w:r>
          </w:p>
        </w:tc>
        <w:tc>
          <w:tcPr>
            <w:tcW w:w="2302"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p>
        </w:tc>
      </w:tr>
    </w:tbl>
    <w:p>
      <w:pPr>
        <w:keepNext w:val="0"/>
        <w:keepLines w:val="0"/>
        <w:pageBreakBefore w:val="0"/>
        <w:widowControl w:val="0"/>
        <w:kinsoku/>
        <w:wordWrap/>
        <w:overflowPunct/>
        <w:topLinePunct w:val="0"/>
        <w:bidi w:val="0"/>
        <w:snapToGrid/>
        <w:spacing w:line="560" w:lineRule="exact"/>
        <w:ind w:left="0" w:leftChars="0" w:right="0" w:rightChars="0" w:firstLine="640" w:firstLineChars="200"/>
        <w:jc w:val="center"/>
        <w:textAlignment w:val="auto"/>
        <w:rPr>
          <w:rFonts w:hint="eastAsia" w:ascii="黑体" w:hAnsi="黑体" w:eastAsia="黑体"/>
          <w:sz w:val="32"/>
          <w:szCs w:val="32"/>
        </w:rPr>
      </w:pPr>
    </w:p>
    <w:p>
      <w:pPr>
        <w:keepNext w:val="0"/>
        <w:keepLines w:val="0"/>
        <w:pageBreakBefore w:val="0"/>
        <w:widowControl w:val="0"/>
        <w:kinsoku/>
        <w:wordWrap/>
        <w:overflowPunct/>
        <w:topLinePunct w:val="0"/>
        <w:bidi w:val="0"/>
        <w:snapToGrid/>
        <w:spacing w:line="560" w:lineRule="exact"/>
        <w:ind w:left="0" w:leftChars="0" w:right="0" w:rightChars="0" w:firstLine="640" w:firstLineChars="200"/>
        <w:jc w:val="center"/>
        <w:textAlignment w:val="auto"/>
        <w:rPr>
          <w:rFonts w:hint="eastAsia" w:ascii="黑体" w:hAnsi="黑体" w:eastAsia="黑体"/>
          <w:sz w:val="32"/>
          <w:szCs w:val="32"/>
        </w:rPr>
      </w:pPr>
      <w:r>
        <w:rPr>
          <w:rFonts w:hint="eastAsia" w:ascii="黑体" w:hAnsi="黑体" w:eastAsia="黑体"/>
          <w:sz w:val="32"/>
          <w:szCs w:val="32"/>
        </w:rPr>
        <w:t>第二部分</w:t>
      </w:r>
      <w:r>
        <w:rPr>
          <w:rFonts w:ascii="黑体" w:hAnsi="黑体" w:eastAsia="黑体"/>
          <w:sz w:val="32"/>
          <w:szCs w:val="32"/>
        </w:rPr>
        <w:t xml:space="preserve"> </w:t>
      </w:r>
      <w:r>
        <w:rPr>
          <w:rFonts w:hint="eastAsia" w:ascii="黑体" w:hAnsi="黑体" w:eastAsia="黑体"/>
          <w:sz w:val="32"/>
          <w:szCs w:val="32"/>
        </w:rPr>
        <w:t>部门决算情况说明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一、部门收支总体情况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（一）部门收入支出决算总体情况说明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201</w:t>
      </w:r>
      <w:r>
        <w:rPr>
          <w:rFonts w:hint="eastAsia" w:ascii="仿宋_GB2312" w:eastAsia="仿宋_GB2312"/>
          <w:sz w:val="32"/>
          <w:szCs w:val="32"/>
        </w:rPr>
        <w:t>7年度收入854.15万元</w:t>
      </w:r>
      <w:r>
        <w:rPr>
          <w:rFonts w:ascii="仿宋_GB2312" w:eastAsia="仿宋_GB2312"/>
          <w:sz w:val="32"/>
          <w:szCs w:val="32"/>
        </w:rPr>
        <w:t>,</w:t>
      </w:r>
      <w:r>
        <w:rPr>
          <w:rFonts w:hint="eastAsia" w:ascii="仿宋_GB2312" w:eastAsia="仿宋_GB2312"/>
          <w:sz w:val="32"/>
          <w:szCs w:val="32"/>
        </w:rPr>
        <w:t>与上年相比，增加49.93万元，增长6.21</w:t>
      </w:r>
      <w:r>
        <w:rPr>
          <w:rFonts w:ascii="仿宋_GB2312" w:eastAsia="仿宋_GB2312"/>
          <w:sz w:val="32"/>
          <w:szCs w:val="32"/>
        </w:rPr>
        <w:t>%</w:t>
      </w:r>
      <w:r>
        <w:rPr>
          <w:rFonts w:hint="eastAsia" w:ascii="仿宋_GB2312" w:eastAsia="仿宋_GB2312"/>
          <w:sz w:val="32"/>
          <w:szCs w:val="32"/>
        </w:rPr>
        <w:t>，支出854.15万元</w:t>
      </w:r>
      <w:r>
        <w:rPr>
          <w:rFonts w:ascii="仿宋_GB2312" w:eastAsia="仿宋_GB2312"/>
          <w:sz w:val="32"/>
          <w:szCs w:val="32"/>
        </w:rPr>
        <w:t>,</w:t>
      </w:r>
      <w:r>
        <w:rPr>
          <w:rFonts w:hint="eastAsia" w:ascii="仿宋_GB2312" w:eastAsia="仿宋_GB2312"/>
          <w:sz w:val="32"/>
          <w:szCs w:val="32"/>
        </w:rPr>
        <w:t>与上年相比，增加49.93万元，增长</w:t>
      </w:r>
      <w:r>
        <w:rPr>
          <w:rFonts w:hint="eastAsia" w:ascii="仿宋_GB2312" w:eastAsia="仿宋_GB2312"/>
          <w:sz w:val="32"/>
          <w:szCs w:val="32"/>
          <w:lang w:val="en-US" w:eastAsia="zh-CN"/>
        </w:rPr>
        <w:t>6.21</w:t>
      </w:r>
      <w:r>
        <w:rPr>
          <w:rFonts w:ascii="仿宋_GB2312" w:eastAsia="仿宋_GB2312"/>
          <w:sz w:val="32"/>
          <w:szCs w:val="32"/>
        </w:rPr>
        <w:t>%</w:t>
      </w:r>
      <w:r>
        <w:rPr>
          <w:rFonts w:hint="eastAsia" w:ascii="仿宋_GB2312" w:eastAsia="仿宋_GB2312"/>
          <w:sz w:val="32"/>
          <w:szCs w:val="32"/>
        </w:rPr>
        <w:t>，结余0万元，与上年相比，增加</w:t>
      </w:r>
      <w:r>
        <w:rPr>
          <w:rFonts w:hint="eastAsia" w:ascii="仿宋_GB2312" w:eastAsia="仿宋_GB2312"/>
          <w:sz w:val="32"/>
          <w:szCs w:val="32"/>
          <w:lang w:eastAsia="zh-CN"/>
        </w:rPr>
        <w:t>（减少）</w:t>
      </w:r>
      <w:r>
        <w:rPr>
          <w:rFonts w:hint="eastAsia" w:ascii="仿宋_GB2312" w:eastAsia="仿宋_GB2312"/>
          <w:sz w:val="32"/>
          <w:szCs w:val="32"/>
        </w:rPr>
        <w:t>0万元，增长</w:t>
      </w:r>
      <w:r>
        <w:rPr>
          <w:rFonts w:hint="eastAsia" w:ascii="仿宋_GB2312" w:eastAsia="仿宋_GB2312"/>
          <w:sz w:val="32"/>
          <w:szCs w:val="32"/>
          <w:lang w:eastAsia="zh-CN"/>
        </w:rPr>
        <w:t>（降低）</w:t>
      </w:r>
      <w:r>
        <w:rPr>
          <w:rFonts w:hint="eastAsia" w:ascii="仿宋_GB2312" w:eastAsia="仿宋_GB2312"/>
          <w:sz w:val="32"/>
          <w:szCs w:val="32"/>
        </w:rPr>
        <w:t>0</w:t>
      </w:r>
      <w:r>
        <w:rPr>
          <w:rFonts w:ascii="仿宋_GB2312" w:eastAsia="仿宋_GB2312"/>
          <w:sz w:val="32"/>
          <w:szCs w:val="32"/>
        </w:rPr>
        <w:t>%</w:t>
      </w:r>
      <w:r>
        <w:rPr>
          <w:rFonts w:hint="eastAsia" w:ascii="仿宋_GB2312" w:eastAsia="仿宋_GB2312"/>
          <w:sz w:val="32"/>
          <w:szCs w:val="32"/>
        </w:rPr>
        <w:t>。增</w:t>
      </w:r>
      <w:r>
        <w:rPr>
          <w:rFonts w:hint="eastAsia" w:ascii="仿宋_GB2312" w:eastAsia="仿宋_GB2312"/>
          <w:sz w:val="32"/>
          <w:szCs w:val="32"/>
          <w:lang w:eastAsia="zh-CN"/>
        </w:rPr>
        <w:t>加的</w:t>
      </w:r>
      <w:r>
        <w:rPr>
          <w:rFonts w:hint="eastAsia" w:ascii="仿宋_GB2312" w:eastAsia="仿宋_GB2312"/>
          <w:sz w:val="32"/>
          <w:szCs w:val="32"/>
        </w:rPr>
        <w:t>主要原因是：增加自然保护区自动检测站项目。</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rPr>
        <w:t>与预算相比情况：</w:t>
      </w:r>
      <w:r>
        <w:rPr>
          <w:rFonts w:hint="eastAsia" w:ascii="仿宋_GB2312" w:eastAsia="仿宋_GB2312"/>
          <w:sz w:val="32"/>
          <w:szCs w:val="32"/>
          <w:lang w:val="en-US" w:eastAsia="zh-CN"/>
        </w:rPr>
        <w:t>2017年</w:t>
      </w:r>
      <w:r>
        <w:rPr>
          <w:rFonts w:hint="eastAsia" w:ascii="仿宋_GB2312" w:eastAsia="仿宋_GB2312"/>
          <w:sz w:val="32"/>
          <w:szCs w:val="32"/>
        </w:rPr>
        <w:t>年初预算数93.46万元，</w:t>
      </w:r>
      <w:r>
        <w:rPr>
          <w:rFonts w:ascii="仿宋_GB2312" w:eastAsia="仿宋_GB2312"/>
          <w:sz w:val="32"/>
          <w:szCs w:val="32"/>
        </w:rPr>
        <w:t>201</w:t>
      </w:r>
      <w:r>
        <w:rPr>
          <w:rFonts w:hint="eastAsia" w:ascii="仿宋_GB2312" w:eastAsia="仿宋_GB2312"/>
          <w:sz w:val="32"/>
          <w:szCs w:val="32"/>
        </w:rPr>
        <w:t>7年度收入854.15万元，与预算相比</w:t>
      </w:r>
      <w:r>
        <w:rPr>
          <w:rFonts w:hint="eastAsia" w:ascii="仿宋_GB2312" w:eastAsia="仿宋_GB2312"/>
          <w:sz w:val="32"/>
          <w:szCs w:val="32"/>
          <w:lang w:eastAsia="zh-CN"/>
        </w:rPr>
        <w:t>，</w:t>
      </w:r>
      <w:r>
        <w:rPr>
          <w:rFonts w:hint="eastAsia" w:ascii="仿宋_GB2312" w:eastAsia="仿宋_GB2312"/>
          <w:sz w:val="32"/>
          <w:szCs w:val="32"/>
        </w:rPr>
        <w:t>增加760.69万元，增长</w:t>
      </w:r>
      <w:r>
        <w:rPr>
          <w:rFonts w:hint="eastAsia" w:ascii="仿宋_GB2312" w:eastAsia="仿宋_GB2312"/>
          <w:sz w:val="32"/>
          <w:szCs w:val="32"/>
          <w:lang w:val="en-US" w:eastAsia="zh-CN"/>
        </w:rPr>
        <w:t>813.92%，</w:t>
      </w:r>
      <w:r>
        <w:rPr>
          <w:rFonts w:hint="eastAsia" w:ascii="仿宋_GB2312" w:eastAsia="仿宋_GB2312"/>
          <w:sz w:val="32"/>
          <w:szCs w:val="32"/>
        </w:rPr>
        <w:t>支出854.15万元</w:t>
      </w:r>
      <w:r>
        <w:rPr>
          <w:rFonts w:ascii="仿宋_GB2312" w:eastAsia="仿宋_GB2312"/>
          <w:sz w:val="32"/>
          <w:szCs w:val="32"/>
        </w:rPr>
        <w:t>,</w:t>
      </w:r>
      <w:r>
        <w:rPr>
          <w:rFonts w:hint="eastAsia" w:ascii="仿宋_GB2312" w:eastAsia="仿宋_GB2312"/>
          <w:sz w:val="32"/>
          <w:szCs w:val="32"/>
        </w:rPr>
        <w:t>与预算相比</w:t>
      </w:r>
      <w:r>
        <w:rPr>
          <w:rFonts w:hint="eastAsia" w:ascii="仿宋_GB2312" w:eastAsia="仿宋_GB2312"/>
          <w:sz w:val="32"/>
          <w:szCs w:val="32"/>
          <w:lang w:eastAsia="zh-CN"/>
        </w:rPr>
        <w:t>，</w:t>
      </w:r>
      <w:r>
        <w:rPr>
          <w:rFonts w:hint="eastAsia" w:ascii="仿宋_GB2312" w:eastAsia="仿宋_GB2312"/>
          <w:sz w:val="32"/>
          <w:szCs w:val="32"/>
        </w:rPr>
        <w:t>增加760.69万元，增长</w:t>
      </w:r>
      <w:r>
        <w:rPr>
          <w:rFonts w:hint="eastAsia" w:ascii="仿宋_GB2312" w:eastAsia="仿宋_GB2312"/>
          <w:sz w:val="32"/>
          <w:szCs w:val="32"/>
          <w:lang w:val="en-US" w:eastAsia="zh-CN"/>
        </w:rPr>
        <w:t>813.92</w:t>
      </w:r>
      <w:r>
        <w:rPr>
          <w:rFonts w:ascii="仿宋_GB2312" w:eastAsia="仿宋_GB2312"/>
          <w:sz w:val="32"/>
          <w:szCs w:val="32"/>
        </w:rPr>
        <w:t>%</w:t>
      </w:r>
      <w:r>
        <w:rPr>
          <w:rFonts w:hint="eastAsia" w:ascii="仿宋_GB2312" w:eastAsia="仿宋_GB2312"/>
          <w:sz w:val="32"/>
          <w:szCs w:val="32"/>
        </w:rPr>
        <w:t>。增</w:t>
      </w:r>
      <w:r>
        <w:rPr>
          <w:rFonts w:hint="eastAsia" w:ascii="仿宋_GB2312" w:eastAsia="仿宋_GB2312"/>
          <w:sz w:val="32"/>
          <w:szCs w:val="32"/>
          <w:lang w:eastAsia="zh-CN"/>
        </w:rPr>
        <w:t>加的</w:t>
      </w:r>
      <w:r>
        <w:rPr>
          <w:rFonts w:hint="eastAsia" w:ascii="仿宋_GB2312" w:eastAsia="仿宋_GB2312"/>
          <w:sz w:val="32"/>
          <w:szCs w:val="32"/>
        </w:rPr>
        <w:t>主要原因是：增加自然保护区自动检测站项目</w:t>
      </w:r>
      <w:r>
        <w:rPr>
          <w:rFonts w:hint="eastAsia" w:ascii="仿宋_GB2312" w:eastAsia="仿宋_GB2312"/>
          <w:sz w:val="32"/>
          <w:szCs w:val="32"/>
          <w:lang w:eastAsia="zh-CN"/>
        </w:rPr>
        <w:t>年初未做预算</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（二）部门收入总体情况说明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本年收入合计854.15万元，其中：财政拨款收入854.15万元，占100</w:t>
      </w:r>
      <w:r>
        <w:rPr>
          <w:rFonts w:ascii="仿宋_GB2312" w:eastAsia="仿宋_GB2312"/>
          <w:sz w:val="32"/>
          <w:szCs w:val="32"/>
        </w:rPr>
        <w:t>%</w:t>
      </w:r>
      <w:r>
        <w:rPr>
          <w:rFonts w:hint="eastAsia" w:ascii="仿宋_GB2312" w:eastAsia="仿宋_GB2312"/>
          <w:sz w:val="32"/>
          <w:szCs w:val="32"/>
        </w:rPr>
        <w:t>；上级补助收入0万元，占0</w:t>
      </w:r>
      <w:r>
        <w:rPr>
          <w:rFonts w:ascii="仿宋_GB2312" w:eastAsia="仿宋_GB2312"/>
          <w:sz w:val="32"/>
          <w:szCs w:val="32"/>
        </w:rPr>
        <w:t>%</w:t>
      </w:r>
      <w:r>
        <w:rPr>
          <w:rFonts w:hint="eastAsia" w:ascii="仿宋_GB2312" w:eastAsia="仿宋_GB2312"/>
          <w:sz w:val="32"/>
          <w:szCs w:val="32"/>
        </w:rPr>
        <w:t>；事业收入0万元，占0</w:t>
      </w:r>
      <w:r>
        <w:rPr>
          <w:rFonts w:ascii="仿宋_GB2312" w:eastAsia="仿宋_GB2312"/>
          <w:sz w:val="32"/>
          <w:szCs w:val="32"/>
        </w:rPr>
        <w:t>%</w:t>
      </w:r>
      <w:r>
        <w:rPr>
          <w:rFonts w:hint="eastAsia" w:ascii="仿宋_GB2312" w:eastAsia="仿宋_GB2312"/>
          <w:sz w:val="32"/>
          <w:szCs w:val="32"/>
        </w:rPr>
        <w:t>；经营收入0万元，占0</w:t>
      </w:r>
      <w:r>
        <w:rPr>
          <w:rFonts w:ascii="仿宋_GB2312" w:eastAsia="仿宋_GB2312"/>
          <w:sz w:val="32"/>
          <w:szCs w:val="32"/>
        </w:rPr>
        <w:t>%</w:t>
      </w:r>
      <w:r>
        <w:rPr>
          <w:rFonts w:hint="eastAsia" w:ascii="仿宋_GB2312" w:eastAsia="仿宋_GB2312"/>
          <w:sz w:val="32"/>
          <w:szCs w:val="32"/>
        </w:rPr>
        <w:t>；附属单位缴款0万元，占0</w:t>
      </w:r>
      <w:r>
        <w:rPr>
          <w:rFonts w:ascii="仿宋_GB2312" w:eastAsia="仿宋_GB2312"/>
          <w:sz w:val="32"/>
          <w:szCs w:val="32"/>
        </w:rPr>
        <w:t>%</w:t>
      </w:r>
      <w:r>
        <w:rPr>
          <w:rFonts w:hint="eastAsia" w:ascii="仿宋_GB2312" w:eastAsia="仿宋_GB2312"/>
          <w:sz w:val="32"/>
          <w:szCs w:val="32"/>
        </w:rPr>
        <w:t>；其他收入0万元，占0</w:t>
      </w:r>
      <w:r>
        <w:rPr>
          <w:rFonts w:ascii="仿宋_GB2312" w:eastAsia="仿宋_GB2312"/>
          <w:sz w:val="32"/>
          <w:szCs w:val="32"/>
        </w:rPr>
        <w:t>%</w:t>
      </w:r>
      <w:r>
        <w:rPr>
          <w:rFonts w:hint="eastAsia" w:ascii="仿宋_GB2312" w:eastAsia="仿宋_GB2312"/>
          <w:sz w:val="32"/>
          <w:szCs w:val="32"/>
        </w:rPr>
        <w:t>。增</w:t>
      </w:r>
      <w:r>
        <w:rPr>
          <w:rFonts w:hint="eastAsia" w:ascii="仿宋_GB2312" w:eastAsia="仿宋_GB2312"/>
          <w:sz w:val="32"/>
          <w:szCs w:val="32"/>
          <w:lang w:eastAsia="zh-CN"/>
        </w:rPr>
        <w:t>加的</w:t>
      </w:r>
      <w:r>
        <w:rPr>
          <w:rFonts w:hint="eastAsia" w:ascii="仿宋_GB2312" w:eastAsia="仿宋_GB2312"/>
          <w:sz w:val="32"/>
          <w:szCs w:val="32"/>
        </w:rPr>
        <w:t>主要原因是：增加自然保护区自动检测站项目。</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rPr>
        <w:t>与预算相比情况：</w:t>
      </w:r>
      <w:r>
        <w:rPr>
          <w:rFonts w:hint="eastAsia" w:ascii="仿宋_GB2312" w:eastAsia="仿宋_GB2312"/>
          <w:sz w:val="32"/>
          <w:szCs w:val="32"/>
          <w:lang w:val="en-US" w:eastAsia="zh-CN"/>
        </w:rPr>
        <w:t>2017年</w:t>
      </w:r>
      <w:r>
        <w:rPr>
          <w:rFonts w:hint="eastAsia" w:ascii="仿宋_GB2312" w:eastAsia="仿宋_GB2312"/>
          <w:sz w:val="32"/>
          <w:szCs w:val="32"/>
        </w:rPr>
        <w:t>年初预算数93.46万元，本年收入合计854.15万元，与预算相比</w:t>
      </w:r>
      <w:r>
        <w:rPr>
          <w:rFonts w:hint="eastAsia" w:ascii="仿宋_GB2312" w:eastAsia="仿宋_GB2312"/>
          <w:sz w:val="32"/>
          <w:szCs w:val="32"/>
          <w:lang w:eastAsia="zh-CN"/>
        </w:rPr>
        <w:t>，</w:t>
      </w:r>
      <w:r>
        <w:rPr>
          <w:rFonts w:hint="eastAsia" w:ascii="仿宋_GB2312" w:eastAsia="仿宋_GB2312"/>
          <w:sz w:val="32"/>
          <w:szCs w:val="32"/>
        </w:rPr>
        <w:t>增加760.69万元，增长</w:t>
      </w:r>
      <w:r>
        <w:rPr>
          <w:rFonts w:hint="eastAsia" w:ascii="仿宋_GB2312" w:eastAsia="仿宋_GB2312"/>
          <w:sz w:val="32"/>
          <w:szCs w:val="32"/>
          <w:lang w:val="en-US" w:eastAsia="zh-CN"/>
        </w:rPr>
        <w:t>813.92%。</w:t>
      </w:r>
      <w:r>
        <w:rPr>
          <w:rFonts w:hint="eastAsia" w:ascii="仿宋_GB2312" w:eastAsia="仿宋_GB2312"/>
          <w:sz w:val="32"/>
          <w:szCs w:val="32"/>
        </w:rPr>
        <w:t>增</w:t>
      </w:r>
      <w:r>
        <w:rPr>
          <w:rFonts w:hint="eastAsia" w:ascii="仿宋_GB2312" w:eastAsia="仿宋_GB2312"/>
          <w:sz w:val="32"/>
          <w:szCs w:val="32"/>
          <w:lang w:eastAsia="zh-CN"/>
        </w:rPr>
        <w:t>加的</w:t>
      </w:r>
      <w:r>
        <w:rPr>
          <w:rFonts w:hint="eastAsia" w:ascii="仿宋_GB2312" w:eastAsia="仿宋_GB2312"/>
          <w:sz w:val="32"/>
          <w:szCs w:val="32"/>
        </w:rPr>
        <w:t>主要原因是：增加自然保护区自动检测站项目</w:t>
      </w:r>
      <w:r>
        <w:rPr>
          <w:rFonts w:hint="eastAsia" w:ascii="仿宋_GB2312" w:eastAsia="仿宋_GB2312"/>
          <w:sz w:val="32"/>
          <w:szCs w:val="32"/>
          <w:lang w:eastAsia="zh-CN"/>
        </w:rPr>
        <w:t>年初未做预算</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（三）部门支出总体情况说明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本年支出合计854.15万元，其中：基本支出87.56万元，占10.2</w:t>
      </w:r>
      <w:r>
        <w:rPr>
          <w:rFonts w:ascii="仿宋_GB2312" w:eastAsia="仿宋_GB2312"/>
          <w:sz w:val="32"/>
          <w:szCs w:val="32"/>
        </w:rPr>
        <w:t>%</w:t>
      </w:r>
      <w:r>
        <w:rPr>
          <w:rFonts w:hint="eastAsia" w:ascii="仿宋_GB2312" w:eastAsia="仿宋_GB2312"/>
          <w:sz w:val="32"/>
          <w:szCs w:val="32"/>
        </w:rPr>
        <w:t>；项目支出766.58万元，占89.8</w:t>
      </w:r>
      <w:r>
        <w:rPr>
          <w:rFonts w:ascii="仿宋_GB2312" w:eastAsia="仿宋_GB2312"/>
          <w:sz w:val="32"/>
          <w:szCs w:val="32"/>
        </w:rPr>
        <w:t>%</w:t>
      </w:r>
      <w:r>
        <w:rPr>
          <w:rFonts w:hint="eastAsia" w:ascii="仿宋_GB2312" w:eastAsia="仿宋_GB2312"/>
          <w:sz w:val="32"/>
          <w:szCs w:val="32"/>
        </w:rPr>
        <w:t>；上缴上级支出0万元，占0</w:t>
      </w:r>
      <w:r>
        <w:rPr>
          <w:rFonts w:ascii="仿宋_GB2312" w:eastAsia="仿宋_GB2312"/>
          <w:sz w:val="32"/>
          <w:szCs w:val="32"/>
        </w:rPr>
        <w:t>%</w:t>
      </w:r>
      <w:r>
        <w:rPr>
          <w:rFonts w:hint="eastAsia" w:ascii="仿宋_GB2312" w:eastAsia="仿宋_GB2312"/>
          <w:sz w:val="32"/>
          <w:szCs w:val="32"/>
        </w:rPr>
        <w:t>；经营支出0万元，占0</w:t>
      </w:r>
      <w:r>
        <w:rPr>
          <w:rFonts w:ascii="仿宋_GB2312" w:eastAsia="仿宋_GB2312"/>
          <w:sz w:val="32"/>
          <w:szCs w:val="32"/>
        </w:rPr>
        <w:t>%</w:t>
      </w:r>
      <w:r>
        <w:rPr>
          <w:rFonts w:hint="eastAsia" w:ascii="仿宋_GB2312" w:eastAsia="仿宋_GB2312"/>
          <w:sz w:val="32"/>
          <w:szCs w:val="32"/>
        </w:rPr>
        <w:t>；对附属单位补助支出0万元，占0</w:t>
      </w:r>
      <w:r>
        <w:rPr>
          <w:rFonts w:ascii="仿宋_GB2312" w:eastAsia="仿宋_GB2312"/>
          <w:sz w:val="32"/>
          <w:szCs w:val="32"/>
        </w:rPr>
        <w:t>%</w:t>
      </w:r>
      <w:r>
        <w:rPr>
          <w:rFonts w:hint="eastAsia" w:ascii="仿宋_GB2312" w:eastAsia="仿宋_GB2312"/>
          <w:sz w:val="32"/>
          <w:szCs w:val="32"/>
        </w:rPr>
        <w:t>。增</w:t>
      </w:r>
      <w:r>
        <w:rPr>
          <w:rFonts w:hint="eastAsia" w:ascii="仿宋_GB2312" w:eastAsia="仿宋_GB2312"/>
          <w:sz w:val="32"/>
          <w:szCs w:val="32"/>
          <w:lang w:eastAsia="zh-CN"/>
        </w:rPr>
        <w:t>加的</w:t>
      </w:r>
      <w:r>
        <w:rPr>
          <w:rFonts w:hint="eastAsia" w:ascii="仿宋_GB2312" w:eastAsia="仿宋_GB2312"/>
          <w:sz w:val="32"/>
          <w:szCs w:val="32"/>
        </w:rPr>
        <w:t>主要原因是：增加自然保护区自动检测站项目。</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rPr>
        <w:t>与预算相比情况：</w:t>
      </w:r>
      <w:r>
        <w:rPr>
          <w:rFonts w:hint="eastAsia" w:ascii="仿宋_GB2312" w:eastAsia="仿宋_GB2312"/>
          <w:sz w:val="32"/>
          <w:szCs w:val="32"/>
          <w:lang w:val="en-US" w:eastAsia="zh-CN"/>
        </w:rPr>
        <w:t>2017年</w:t>
      </w:r>
      <w:r>
        <w:rPr>
          <w:rFonts w:hint="eastAsia" w:ascii="仿宋_GB2312" w:eastAsia="仿宋_GB2312"/>
          <w:sz w:val="32"/>
          <w:szCs w:val="32"/>
        </w:rPr>
        <w:t>年初预算数93.46万元，本年</w:t>
      </w:r>
      <w:r>
        <w:rPr>
          <w:rFonts w:hint="eastAsia" w:ascii="仿宋_GB2312" w:eastAsia="仿宋_GB2312"/>
          <w:sz w:val="32"/>
          <w:szCs w:val="32"/>
          <w:lang w:eastAsia="zh-CN"/>
        </w:rPr>
        <w:t>支出</w:t>
      </w:r>
      <w:r>
        <w:rPr>
          <w:rFonts w:hint="eastAsia" w:ascii="仿宋_GB2312" w:eastAsia="仿宋_GB2312"/>
          <w:sz w:val="32"/>
          <w:szCs w:val="32"/>
        </w:rPr>
        <w:t>合计854.15万元，与预算相比</w:t>
      </w:r>
      <w:r>
        <w:rPr>
          <w:rFonts w:hint="eastAsia" w:ascii="仿宋_GB2312" w:eastAsia="仿宋_GB2312"/>
          <w:sz w:val="32"/>
          <w:szCs w:val="32"/>
          <w:lang w:eastAsia="zh-CN"/>
        </w:rPr>
        <w:t>，</w:t>
      </w:r>
      <w:r>
        <w:rPr>
          <w:rFonts w:hint="eastAsia" w:ascii="仿宋_GB2312" w:eastAsia="仿宋_GB2312"/>
          <w:sz w:val="32"/>
          <w:szCs w:val="32"/>
        </w:rPr>
        <w:t>增加760.69万元，增长</w:t>
      </w:r>
      <w:r>
        <w:rPr>
          <w:rFonts w:hint="eastAsia" w:ascii="仿宋_GB2312" w:eastAsia="仿宋_GB2312"/>
          <w:sz w:val="32"/>
          <w:szCs w:val="32"/>
          <w:lang w:val="en-US" w:eastAsia="zh-CN"/>
        </w:rPr>
        <w:t>813.92%。</w:t>
      </w:r>
      <w:r>
        <w:rPr>
          <w:rFonts w:hint="eastAsia" w:ascii="仿宋_GB2312" w:eastAsia="仿宋_GB2312"/>
          <w:sz w:val="32"/>
          <w:szCs w:val="32"/>
        </w:rPr>
        <w:t>增</w:t>
      </w:r>
      <w:r>
        <w:rPr>
          <w:rFonts w:hint="eastAsia" w:ascii="仿宋_GB2312" w:eastAsia="仿宋_GB2312"/>
          <w:sz w:val="32"/>
          <w:szCs w:val="32"/>
          <w:lang w:eastAsia="zh-CN"/>
        </w:rPr>
        <w:t>加的</w:t>
      </w:r>
      <w:r>
        <w:rPr>
          <w:rFonts w:hint="eastAsia" w:ascii="仿宋_GB2312" w:eastAsia="仿宋_GB2312"/>
          <w:sz w:val="32"/>
          <w:szCs w:val="32"/>
        </w:rPr>
        <w:t>主要原因是：增加自然保护区自动检测站项目</w:t>
      </w:r>
      <w:r>
        <w:rPr>
          <w:rFonts w:hint="eastAsia" w:ascii="仿宋_GB2312" w:eastAsia="仿宋_GB2312"/>
          <w:sz w:val="32"/>
          <w:szCs w:val="32"/>
          <w:lang w:eastAsia="zh-CN"/>
        </w:rPr>
        <w:t>年初未做预算</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二、部门财政拨款收支情况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（一）财政拨款收支总体情况说明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2017年度财政拨款收入854.15万元，与上年相比，增加49.93万元，增长6.21</w:t>
      </w:r>
      <w:r>
        <w:rPr>
          <w:rFonts w:ascii="仿宋_GB2312" w:eastAsia="仿宋_GB2312"/>
          <w:sz w:val="32"/>
          <w:szCs w:val="32"/>
        </w:rPr>
        <w:t>%</w:t>
      </w:r>
      <w:r>
        <w:rPr>
          <w:rFonts w:hint="eastAsia" w:ascii="仿宋_GB2312" w:eastAsia="仿宋_GB2312"/>
          <w:sz w:val="32"/>
          <w:szCs w:val="32"/>
        </w:rPr>
        <w:t>。增</w:t>
      </w:r>
      <w:r>
        <w:rPr>
          <w:rFonts w:hint="eastAsia" w:ascii="仿宋_GB2312" w:eastAsia="仿宋_GB2312"/>
          <w:sz w:val="32"/>
          <w:szCs w:val="32"/>
          <w:lang w:eastAsia="zh-CN"/>
        </w:rPr>
        <w:t>加的</w:t>
      </w:r>
      <w:r>
        <w:rPr>
          <w:rFonts w:hint="eastAsia" w:ascii="仿宋_GB2312" w:eastAsia="仿宋_GB2312"/>
          <w:sz w:val="32"/>
          <w:szCs w:val="32"/>
        </w:rPr>
        <w:t>主要原因是：增加自然保护区自动检测站项目。财政拨款支出854.15万元，与上年相比，增加49.93万元，增长6.21</w:t>
      </w:r>
      <w:r>
        <w:rPr>
          <w:rFonts w:ascii="仿宋_GB2312" w:eastAsia="仿宋_GB2312"/>
          <w:sz w:val="32"/>
          <w:szCs w:val="32"/>
        </w:rPr>
        <w:t>%</w:t>
      </w:r>
      <w:r>
        <w:rPr>
          <w:rFonts w:hint="eastAsia" w:ascii="仿宋_GB2312" w:eastAsia="仿宋_GB2312"/>
          <w:sz w:val="32"/>
          <w:szCs w:val="32"/>
        </w:rPr>
        <w:t>。其中：基本支出87.56万元，项目支出766.58万元。增</w:t>
      </w:r>
      <w:r>
        <w:rPr>
          <w:rFonts w:hint="eastAsia" w:ascii="仿宋_GB2312" w:eastAsia="仿宋_GB2312"/>
          <w:sz w:val="32"/>
          <w:szCs w:val="32"/>
          <w:lang w:eastAsia="zh-CN"/>
        </w:rPr>
        <w:t>加的</w:t>
      </w:r>
      <w:r>
        <w:rPr>
          <w:rFonts w:hint="eastAsia" w:ascii="仿宋_GB2312" w:eastAsia="仿宋_GB2312"/>
          <w:sz w:val="32"/>
          <w:szCs w:val="32"/>
        </w:rPr>
        <w:t>主要原因是：增加自然保护区自动检测站项目。财政拨款结转结余0万元，与上年相比，增加（减少）0万元，增长（降低）0</w:t>
      </w:r>
      <w:r>
        <w:rPr>
          <w:rFonts w:ascii="仿宋_GB2312" w:eastAsia="仿宋_GB2312"/>
          <w:sz w:val="32"/>
          <w:szCs w:val="32"/>
        </w:rPr>
        <w:t>%</w:t>
      </w:r>
      <w:r>
        <w:rPr>
          <w:rFonts w:hint="eastAsia" w:ascii="仿宋_GB2312" w:eastAsia="仿宋_GB2312"/>
          <w:sz w:val="32"/>
          <w:szCs w:val="32"/>
        </w:rPr>
        <w:t>。</w:t>
      </w:r>
      <w:r>
        <w:rPr>
          <w:rFonts w:hint="eastAsia" w:ascii="仿宋_GB2312" w:eastAsia="仿宋_GB2312"/>
          <w:sz w:val="32"/>
          <w:szCs w:val="32"/>
          <w:lang w:eastAsia="zh-CN"/>
        </w:rPr>
        <w:t>增加（减少）的原因是本单位无</w:t>
      </w:r>
      <w:r>
        <w:rPr>
          <w:rFonts w:hint="eastAsia" w:ascii="仿宋_GB2312" w:eastAsia="仿宋_GB2312"/>
          <w:sz w:val="32"/>
          <w:szCs w:val="32"/>
        </w:rPr>
        <w:t>财政拨款</w:t>
      </w:r>
      <w:r>
        <w:rPr>
          <w:rFonts w:hint="eastAsia" w:ascii="仿宋_GB2312" w:eastAsia="仿宋_GB2312"/>
          <w:sz w:val="32"/>
          <w:szCs w:val="32"/>
          <w:lang w:eastAsia="zh-CN"/>
        </w:rPr>
        <w:t>结转结余。</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rPr>
        <w:t>与预算相比情况：</w:t>
      </w:r>
      <w:r>
        <w:rPr>
          <w:rFonts w:hint="eastAsia" w:ascii="仿宋_GB2312" w:eastAsia="仿宋_GB2312"/>
          <w:sz w:val="32"/>
          <w:szCs w:val="32"/>
          <w:lang w:val="en-US" w:eastAsia="zh-CN"/>
        </w:rPr>
        <w:t>2017年</w:t>
      </w:r>
      <w:r>
        <w:rPr>
          <w:rFonts w:hint="eastAsia" w:ascii="仿宋_GB2312" w:eastAsia="仿宋_GB2312"/>
          <w:sz w:val="32"/>
          <w:szCs w:val="32"/>
        </w:rPr>
        <w:t>年初预算数93.46万元，2017年度财政拨款收入854.15万元，与预算相比</w:t>
      </w:r>
      <w:r>
        <w:rPr>
          <w:rFonts w:hint="eastAsia" w:ascii="仿宋_GB2312" w:eastAsia="仿宋_GB2312"/>
          <w:sz w:val="32"/>
          <w:szCs w:val="32"/>
          <w:lang w:eastAsia="zh-CN"/>
        </w:rPr>
        <w:t>，</w:t>
      </w:r>
      <w:r>
        <w:rPr>
          <w:rFonts w:hint="eastAsia" w:ascii="仿宋_GB2312" w:eastAsia="仿宋_GB2312"/>
          <w:sz w:val="32"/>
          <w:szCs w:val="32"/>
        </w:rPr>
        <w:t>增加760.69万元，增长</w:t>
      </w:r>
      <w:r>
        <w:rPr>
          <w:rFonts w:hint="eastAsia" w:ascii="仿宋_GB2312" w:eastAsia="仿宋_GB2312"/>
          <w:sz w:val="32"/>
          <w:szCs w:val="32"/>
          <w:lang w:val="en-US" w:eastAsia="zh-CN"/>
        </w:rPr>
        <w:t>813.92%，</w:t>
      </w:r>
      <w:r>
        <w:rPr>
          <w:rFonts w:hint="eastAsia" w:ascii="仿宋_GB2312" w:eastAsia="仿宋_GB2312"/>
          <w:sz w:val="32"/>
          <w:szCs w:val="32"/>
        </w:rPr>
        <w:t>财政拨款支出854.15万元</w:t>
      </w:r>
      <w:r>
        <w:rPr>
          <w:rFonts w:ascii="仿宋_GB2312" w:eastAsia="仿宋_GB2312"/>
          <w:sz w:val="32"/>
          <w:szCs w:val="32"/>
        </w:rPr>
        <w:t>,</w:t>
      </w:r>
      <w:r>
        <w:rPr>
          <w:rFonts w:hint="eastAsia" w:ascii="仿宋_GB2312" w:eastAsia="仿宋_GB2312"/>
          <w:sz w:val="32"/>
          <w:szCs w:val="32"/>
        </w:rPr>
        <w:t>与预算相比</w:t>
      </w:r>
      <w:r>
        <w:rPr>
          <w:rFonts w:hint="eastAsia" w:ascii="仿宋_GB2312" w:eastAsia="仿宋_GB2312"/>
          <w:sz w:val="32"/>
          <w:szCs w:val="32"/>
          <w:lang w:eastAsia="zh-CN"/>
        </w:rPr>
        <w:t>，</w:t>
      </w:r>
      <w:r>
        <w:rPr>
          <w:rFonts w:hint="eastAsia" w:ascii="仿宋_GB2312" w:eastAsia="仿宋_GB2312"/>
          <w:sz w:val="32"/>
          <w:szCs w:val="32"/>
        </w:rPr>
        <w:t>增加760.69万元，增长</w:t>
      </w:r>
      <w:r>
        <w:rPr>
          <w:rFonts w:hint="eastAsia" w:ascii="仿宋_GB2312" w:eastAsia="仿宋_GB2312"/>
          <w:sz w:val="32"/>
          <w:szCs w:val="32"/>
          <w:lang w:val="en-US" w:eastAsia="zh-CN"/>
        </w:rPr>
        <w:t>813.92</w:t>
      </w:r>
      <w:r>
        <w:rPr>
          <w:rFonts w:ascii="仿宋_GB2312" w:eastAsia="仿宋_GB2312"/>
          <w:sz w:val="32"/>
          <w:szCs w:val="32"/>
        </w:rPr>
        <w:t>%</w:t>
      </w:r>
      <w:r>
        <w:rPr>
          <w:rFonts w:hint="eastAsia" w:ascii="仿宋_GB2312" w:eastAsia="仿宋_GB2312"/>
          <w:sz w:val="32"/>
          <w:szCs w:val="32"/>
        </w:rPr>
        <w:t>。增</w:t>
      </w:r>
      <w:r>
        <w:rPr>
          <w:rFonts w:hint="eastAsia" w:ascii="仿宋_GB2312" w:eastAsia="仿宋_GB2312"/>
          <w:sz w:val="32"/>
          <w:szCs w:val="32"/>
          <w:lang w:eastAsia="zh-CN"/>
        </w:rPr>
        <w:t>加的</w:t>
      </w:r>
      <w:r>
        <w:rPr>
          <w:rFonts w:hint="eastAsia" w:ascii="仿宋_GB2312" w:eastAsia="仿宋_GB2312"/>
          <w:sz w:val="32"/>
          <w:szCs w:val="32"/>
        </w:rPr>
        <w:t>主要原因是：增加自然保护区自动检测站项目</w:t>
      </w:r>
      <w:r>
        <w:rPr>
          <w:rFonts w:hint="eastAsia" w:ascii="仿宋_GB2312" w:eastAsia="仿宋_GB2312"/>
          <w:sz w:val="32"/>
          <w:szCs w:val="32"/>
          <w:lang w:eastAsia="zh-CN"/>
        </w:rPr>
        <w:t>年初未做预算</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（二）一般公共预算支出决算情况说明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2017年度一般公共预算财政拨款支出854.15万元。与上年相比，增加49.93万元，增长6.21</w:t>
      </w:r>
      <w:r>
        <w:rPr>
          <w:rFonts w:ascii="仿宋_GB2312" w:eastAsia="仿宋_GB2312"/>
          <w:sz w:val="32"/>
          <w:szCs w:val="32"/>
        </w:rPr>
        <w:t>%</w:t>
      </w:r>
      <w:r>
        <w:rPr>
          <w:rFonts w:hint="eastAsia" w:ascii="仿宋_GB2312" w:eastAsia="仿宋_GB2312"/>
          <w:sz w:val="32"/>
          <w:szCs w:val="32"/>
        </w:rPr>
        <w:t>。增减变化的主要原因是：增加自然保护区自动检测站项目。其中：按功能分类科目，社会保障和就业支出9.62万元，节能保护支出315.16万元，农林水支出523万元，住房保障支出6.36万元。按经济分类科目，工资福利支出</w:t>
      </w:r>
      <w:r>
        <w:rPr>
          <w:rFonts w:hint="eastAsia" w:ascii="仿宋_GB2312" w:eastAsia="仿宋_GB2312"/>
          <w:sz w:val="32"/>
          <w:szCs w:val="32"/>
          <w:lang w:val="en-US" w:eastAsia="zh-CN"/>
        </w:rPr>
        <w:t>71.76万元，商品和服务支出7.53万元，对个人和家庭的补助8.28万元，基本建设支出766.58万元。</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rPr>
        <w:t>与预算相比情况：</w:t>
      </w:r>
      <w:r>
        <w:rPr>
          <w:rFonts w:hint="eastAsia" w:ascii="仿宋_GB2312" w:eastAsia="仿宋_GB2312"/>
          <w:sz w:val="32"/>
          <w:szCs w:val="32"/>
          <w:lang w:val="en-US" w:eastAsia="zh-CN"/>
        </w:rPr>
        <w:t>2017年</w:t>
      </w:r>
      <w:r>
        <w:rPr>
          <w:rFonts w:hint="eastAsia" w:ascii="仿宋_GB2312" w:eastAsia="仿宋_GB2312"/>
          <w:sz w:val="32"/>
          <w:szCs w:val="32"/>
        </w:rPr>
        <w:t>年初预算数93.46万元，2017年度财政拨款收入854.15万元，与预算相比</w:t>
      </w:r>
      <w:r>
        <w:rPr>
          <w:rFonts w:hint="eastAsia" w:ascii="仿宋_GB2312" w:eastAsia="仿宋_GB2312"/>
          <w:sz w:val="32"/>
          <w:szCs w:val="32"/>
          <w:lang w:eastAsia="zh-CN"/>
        </w:rPr>
        <w:t>，</w:t>
      </w:r>
      <w:r>
        <w:rPr>
          <w:rFonts w:hint="eastAsia" w:ascii="仿宋_GB2312" w:eastAsia="仿宋_GB2312"/>
          <w:sz w:val="32"/>
          <w:szCs w:val="32"/>
        </w:rPr>
        <w:t>增加760.69万元，增长</w:t>
      </w:r>
      <w:r>
        <w:rPr>
          <w:rFonts w:hint="eastAsia" w:ascii="仿宋_GB2312" w:eastAsia="仿宋_GB2312"/>
          <w:sz w:val="32"/>
          <w:szCs w:val="32"/>
          <w:lang w:val="en-US" w:eastAsia="zh-CN"/>
        </w:rPr>
        <w:t>813.92%，</w:t>
      </w:r>
      <w:r>
        <w:rPr>
          <w:rFonts w:hint="eastAsia" w:ascii="仿宋_GB2312" w:eastAsia="仿宋_GB2312"/>
          <w:sz w:val="32"/>
          <w:szCs w:val="32"/>
        </w:rPr>
        <w:t>财政拨款支出854.15万元</w:t>
      </w:r>
      <w:r>
        <w:rPr>
          <w:rFonts w:ascii="仿宋_GB2312" w:eastAsia="仿宋_GB2312"/>
          <w:sz w:val="32"/>
          <w:szCs w:val="32"/>
        </w:rPr>
        <w:t>,</w:t>
      </w:r>
      <w:r>
        <w:rPr>
          <w:rFonts w:hint="eastAsia" w:ascii="仿宋_GB2312" w:eastAsia="仿宋_GB2312"/>
          <w:sz w:val="32"/>
          <w:szCs w:val="32"/>
        </w:rPr>
        <w:t>与预算相比</w:t>
      </w:r>
      <w:r>
        <w:rPr>
          <w:rFonts w:hint="eastAsia" w:ascii="仿宋_GB2312" w:eastAsia="仿宋_GB2312"/>
          <w:sz w:val="32"/>
          <w:szCs w:val="32"/>
          <w:lang w:eastAsia="zh-CN"/>
        </w:rPr>
        <w:t>，</w:t>
      </w:r>
      <w:r>
        <w:rPr>
          <w:rFonts w:hint="eastAsia" w:ascii="仿宋_GB2312" w:eastAsia="仿宋_GB2312"/>
          <w:sz w:val="32"/>
          <w:szCs w:val="32"/>
        </w:rPr>
        <w:t>增加760.69万元，增长</w:t>
      </w:r>
      <w:r>
        <w:rPr>
          <w:rFonts w:hint="eastAsia" w:ascii="仿宋_GB2312" w:eastAsia="仿宋_GB2312"/>
          <w:sz w:val="32"/>
          <w:szCs w:val="32"/>
          <w:lang w:val="en-US" w:eastAsia="zh-CN"/>
        </w:rPr>
        <w:t>813.92</w:t>
      </w:r>
      <w:r>
        <w:rPr>
          <w:rFonts w:ascii="仿宋_GB2312" w:eastAsia="仿宋_GB2312"/>
          <w:sz w:val="32"/>
          <w:szCs w:val="32"/>
        </w:rPr>
        <w:t>%</w:t>
      </w:r>
      <w:r>
        <w:rPr>
          <w:rFonts w:hint="eastAsia" w:ascii="仿宋_GB2312" w:eastAsia="仿宋_GB2312"/>
          <w:sz w:val="32"/>
          <w:szCs w:val="32"/>
        </w:rPr>
        <w:t>。增</w:t>
      </w:r>
      <w:r>
        <w:rPr>
          <w:rFonts w:hint="eastAsia" w:ascii="仿宋_GB2312" w:eastAsia="仿宋_GB2312"/>
          <w:sz w:val="32"/>
          <w:szCs w:val="32"/>
          <w:lang w:eastAsia="zh-CN"/>
        </w:rPr>
        <w:t>加的</w:t>
      </w:r>
      <w:r>
        <w:rPr>
          <w:rFonts w:hint="eastAsia" w:ascii="仿宋_GB2312" w:eastAsia="仿宋_GB2312"/>
          <w:sz w:val="32"/>
          <w:szCs w:val="32"/>
        </w:rPr>
        <w:t>主要原因是：增加自然保护区自动检测站项目</w:t>
      </w:r>
      <w:r>
        <w:rPr>
          <w:rFonts w:hint="eastAsia" w:ascii="仿宋_GB2312" w:eastAsia="仿宋_GB2312"/>
          <w:sz w:val="32"/>
          <w:szCs w:val="32"/>
          <w:lang w:eastAsia="zh-CN"/>
        </w:rPr>
        <w:t>年初未做预算</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（三）政府性基金预算收支决算情况说明</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2017</w:t>
      </w:r>
      <w:r>
        <w:rPr>
          <w:rFonts w:hint="eastAsia" w:ascii="仿宋_GB2312" w:eastAsia="仿宋_GB2312"/>
          <w:sz w:val="32"/>
          <w:szCs w:val="32"/>
        </w:rPr>
        <w:t>年度政府性基金预算财政拨款收入</w:t>
      </w:r>
      <w:r>
        <w:rPr>
          <w:rFonts w:hint="eastAsia" w:ascii="仿宋_GB2312" w:eastAsia="仿宋_GB2312"/>
          <w:sz w:val="32"/>
          <w:szCs w:val="32"/>
          <w:lang w:val="en-US" w:eastAsia="zh-CN"/>
        </w:rPr>
        <w:t>0</w:t>
      </w:r>
      <w:r>
        <w:rPr>
          <w:rFonts w:hint="eastAsia" w:ascii="仿宋_GB2312" w:eastAsia="仿宋_GB2312"/>
          <w:sz w:val="32"/>
          <w:szCs w:val="32"/>
        </w:rPr>
        <w:t>万元，与上年相比，增加（减少）</w:t>
      </w:r>
      <w:r>
        <w:rPr>
          <w:rFonts w:hint="eastAsia" w:ascii="仿宋_GB2312" w:eastAsia="仿宋_GB2312"/>
          <w:sz w:val="32"/>
          <w:szCs w:val="32"/>
          <w:lang w:val="en-US" w:eastAsia="zh-CN"/>
        </w:rPr>
        <w:t>0</w:t>
      </w:r>
      <w:r>
        <w:rPr>
          <w:rFonts w:hint="eastAsia" w:ascii="仿宋_GB2312" w:eastAsia="仿宋_GB2312"/>
          <w:sz w:val="32"/>
          <w:szCs w:val="32"/>
        </w:rPr>
        <w:t>万元，增长（降低）</w:t>
      </w:r>
      <w:r>
        <w:rPr>
          <w:rFonts w:hint="eastAsia" w:ascii="仿宋_GB2312" w:eastAsia="仿宋_GB2312"/>
          <w:sz w:val="32"/>
          <w:szCs w:val="32"/>
          <w:lang w:val="en-US" w:eastAsia="zh-CN"/>
        </w:rPr>
        <w:t>0</w:t>
      </w:r>
      <w:r>
        <w:rPr>
          <w:rFonts w:hint="eastAsia" w:ascii="仿宋_GB2312" w:eastAsia="仿宋_GB2312"/>
          <w:sz w:val="32"/>
          <w:szCs w:val="32"/>
        </w:rPr>
        <w:t>%。增减变化的主要原因是：</w:t>
      </w:r>
      <w:r>
        <w:rPr>
          <w:rFonts w:hint="eastAsia" w:ascii="仿宋_GB2312" w:eastAsia="仿宋_GB2312"/>
          <w:sz w:val="32"/>
          <w:szCs w:val="32"/>
          <w:lang w:eastAsia="zh-CN"/>
        </w:rPr>
        <w:t>本单位无</w:t>
      </w:r>
      <w:r>
        <w:rPr>
          <w:rFonts w:hint="eastAsia" w:ascii="仿宋_GB2312" w:eastAsia="仿宋_GB2312"/>
          <w:sz w:val="32"/>
          <w:szCs w:val="32"/>
        </w:rPr>
        <w:t>政府性基金预算收支。政府性基金预算财政拨款支出</w:t>
      </w:r>
      <w:r>
        <w:rPr>
          <w:rFonts w:hint="eastAsia" w:ascii="仿宋_GB2312" w:eastAsia="仿宋_GB2312"/>
          <w:sz w:val="32"/>
          <w:szCs w:val="32"/>
          <w:lang w:val="en-US" w:eastAsia="zh-CN"/>
        </w:rPr>
        <w:t>0</w:t>
      </w:r>
      <w:r>
        <w:rPr>
          <w:rFonts w:hint="eastAsia" w:ascii="仿宋_GB2312" w:eastAsia="仿宋_GB2312"/>
          <w:sz w:val="32"/>
          <w:szCs w:val="32"/>
        </w:rPr>
        <w:t>万元，与上年相比，增加（减少）</w:t>
      </w:r>
      <w:r>
        <w:rPr>
          <w:rFonts w:hint="eastAsia" w:ascii="仿宋_GB2312" w:eastAsia="仿宋_GB2312"/>
          <w:sz w:val="32"/>
          <w:szCs w:val="32"/>
          <w:lang w:val="en-US" w:eastAsia="zh-CN"/>
        </w:rPr>
        <w:t>0</w:t>
      </w:r>
      <w:r>
        <w:rPr>
          <w:rFonts w:hint="eastAsia" w:ascii="仿宋_GB2312" w:eastAsia="仿宋_GB2312"/>
          <w:sz w:val="32"/>
          <w:szCs w:val="32"/>
        </w:rPr>
        <w:t>万元，增长（降低）</w:t>
      </w:r>
      <w:r>
        <w:rPr>
          <w:rFonts w:hint="eastAsia" w:ascii="仿宋_GB2312" w:eastAsia="仿宋_GB2312"/>
          <w:sz w:val="32"/>
          <w:szCs w:val="32"/>
          <w:lang w:val="en-US" w:eastAsia="zh-CN"/>
        </w:rPr>
        <w:t>0</w:t>
      </w:r>
      <w:r>
        <w:rPr>
          <w:rFonts w:hint="eastAsia" w:ascii="仿宋_GB2312" w:eastAsia="仿宋_GB2312"/>
          <w:sz w:val="32"/>
          <w:szCs w:val="32"/>
        </w:rPr>
        <w:t>%。增减变化的主要原因是：</w:t>
      </w:r>
      <w:r>
        <w:rPr>
          <w:rFonts w:hint="eastAsia" w:ascii="仿宋_GB2312" w:eastAsia="仿宋_GB2312"/>
          <w:sz w:val="32"/>
          <w:szCs w:val="32"/>
          <w:lang w:eastAsia="zh-CN"/>
        </w:rPr>
        <w:t>本单位无</w:t>
      </w:r>
      <w:r>
        <w:rPr>
          <w:rFonts w:hint="eastAsia" w:ascii="仿宋_GB2312" w:eastAsia="仿宋_GB2312"/>
          <w:sz w:val="32"/>
          <w:szCs w:val="32"/>
        </w:rPr>
        <w:t>政府性基金预算收支。</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与预算相比情况：</w:t>
      </w:r>
      <w:r>
        <w:rPr>
          <w:rFonts w:hint="eastAsia" w:ascii="仿宋_GB2312" w:eastAsia="仿宋_GB2312"/>
          <w:sz w:val="32"/>
          <w:szCs w:val="32"/>
          <w:lang w:eastAsia="zh-CN"/>
        </w:rPr>
        <w:t>本单位无</w:t>
      </w:r>
      <w:r>
        <w:rPr>
          <w:rFonts w:hint="eastAsia" w:ascii="仿宋_GB2312" w:eastAsia="仿宋_GB2312"/>
          <w:sz w:val="32"/>
          <w:szCs w:val="32"/>
        </w:rPr>
        <w:t>政府性基金预算收支。</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w:t>
      </w:r>
      <w:r>
        <w:rPr>
          <w:rFonts w:hint="eastAsia" w:ascii="仿宋_GB2312" w:eastAsia="仿宋_GB2312"/>
          <w:sz w:val="32"/>
          <w:szCs w:val="32"/>
          <w:lang w:eastAsia="zh-CN"/>
        </w:rPr>
        <w:t>无</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right="0" w:rightChars="0"/>
        <w:textAlignment w:val="auto"/>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（四）政府性基金预算支出决算情况说明</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2017</w:t>
      </w:r>
      <w:r>
        <w:rPr>
          <w:rFonts w:hint="eastAsia" w:ascii="仿宋_GB2312" w:eastAsia="仿宋_GB2312"/>
          <w:sz w:val="32"/>
          <w:szCs w:val="32"/>
        </w:rPr>
        <w:t>年度政府性基金预算支出</w:t>
      </w:r>
      <w:r>
        <w:rPr>
          <w:rFonts w:hint="eastAsia" w:ascii="仿宋_GB2312" w:eastAsia="仿宋_GB2312"/>
          <w:sz w:val="32"/>
          <w:szCs w:val="32"/>
          <w:lang w:val="en-US" w:eastAsia="zh-CN"/>
        </w:rPr>
        <w:t>0</w:t>
      </w:r>
      <w:r>
        <w:rPr>
          <w:rFonts w:hint="eastAsia" w:ascii="仿宋_GB2312" w:eastAsia="仿宋_GB2312"/>
          <w:sz w:val="32"/>
          <w:szCs w:val="32"/>
        </w:rPr>
        <w:t>万元。与上年相比，增加（减少）</w:t>
      </w:r>
      <w:r>
        <w:rPr>
          <w:rFonts w:hint="eastAsia" w:ascii="仿宋_GB2312" w:eastAsia="仿宋_GB2312"/>
          <w:sz w:val="32"/>
          <w:szCs w:val="32"/>
          <w:lang w:val="en-US" w:eastAsia="zh-CN"/>
        </w:rPr>
        <w:t>0</w:t>
      </w:r>
      <w:r>
        <w:rPr>
          <w:rFonts w:hint="eastAsia" w:ascii="仿宋_GB2312" w:eastAsia="仿宋_GB2312"/>
          <w:sz w:val="32"/>
          <w:szCs w:val="32"/>
        </w:rPr>
        <w:t>万元，增长（降低）</w:t>
      </w:r>
      <w:r>
        <w:rPr>
          <w:rFonts w:hint="eastAsia" w:ascii="仿宋_GB2312" w:eastAsia="仿宋_GB2312"/>
          <w:sz w:val="32"/>
          <w:szCs w:val="32"/>
          <w:lang w:val="en-US" w:eastAsia="zh-CN"/>
        </w:rPr>
        <w:t>0</w:t>
      </w:r>
      <w:r>
        <w:rPr>
          <w:rFonts w:hint="eastAsia" w:ascii="仿宋_GB2312" w:eastAsia="仿宋_GB2312"/>
          <w:sz w:val="32"/>
          <w:szCs w:val="32"/>
        </w:rPr>
        <w:t>%。增减变化的主要原因是：</w:t>
      </w:r>
      <w:r>
        <w:rPr>
          <w:rFonts w:hint="eastAsia" w:ascii="仿宋_GB2312" w:eastAsia="仿宋_GB2312"/>
          <w:sz w:val="32"/>
          <w:szCs w:val="32"/>
          <w:lang w:eastAsia="zh-CN"/>
        </w:rPr>
        <w:t>本单位无</w:t>
      </w:r>
      <w:r>
        <w:rPr>
          <w:rFonts w:hint="eastAsia" w:ascii="仿宋_GB2312" w:eastAsia="仿宋_GB2312"/>
          <w:sz w:val="32"/>
          <w:szCs w:val="32"/>
        </w:rPr>
        <w:t>政府性基金预算收支。</w:t>
      </w:r>
      <w:r>
        <w:rPr>
          <w:rFonts w:hint="eastAsia" w:ascii="仿宋_GB2312" w:eastAsia="仿宋_GB2312"/>
          <w:sz w:val="32"/>
          <w:szCs w:val="32"/>
          <w:lang w:eastAsia="zh-CN"/>
        </w:rPr>
        <w:t>其中：按功能分类科目，</w:t>
      </w:r>
      <w:r>
        <w:rPr>
          <w:rFonts w:hint="eastAsia" w:ascii="仿宋_GB2312" w:eastAsia="仿宋_GB2312"/>
          <w:sz w:val="32"/>
          <w:szCs w:val="32"/>
          <w:lang w:val="en-US" w:eastAsia="zh-CN"/>
        </w:rPr>
        <w:t>0支出0万元，0支出0万元。按经济分类科目，0支出0万元，0支出0万元。</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与预算相比情况：</w:t>
      </w:r>
      <w:r>
        <w:rPr>
          <w:rFonts w:hint="eastAsia" w:ascii="仿宋_GB2312" w:eastAsia="仿宋_GB2312"/>
          <w:sz w:val="32"/>
          <w:szCs w:val="32"/>
          <w:lang w:eastAsia="zh-CN"/>
        </w:rPr>
        <w:t>本单位无</w:t>
      </w:r>
      <w:r>
        <w:rPr>
          <w:rFonts w:hint="eastAsia" w:ascii="仿宋_GB2312" w:eastAsia="仿宋_GB2312"/>
          <w:sz w:val="32"/>
          <w:szCs w:val="32"/>
        </w:rPr>
        <w:t>政府性基金预算收支。</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w:t>
      </w:r>
      <w:r>
        <w:rPr>
          <w:rFonts w:hint="eastAsia" w:ascii="仿宋_GB2312" w:eastAsia="仿宋_GB2312"/>
          <w:sz w:val="32"/>
          <w:szCs w:val="32"/>
          <w:lang w:eastAsia="zh-CN"/>
        </w:rPr>
        <w:t>无</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三、部门结转结余情况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年末结转结余0万元。与上年相比，增加（减少）0万元，增长（降低）0</w:t>
      </w:r>
      <w:r>
        <w:rPr>
          <w:rFonts w:ascii="仿宋_GB2312" w:eastAsia="仿宋_GB2312"/>
          <w:sz w:val="32"/>
          <w:szCs w:val="32"/>
        </w:rPr>
        <w:t>%</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其中财政拨款结转结余0万元。与上年相比，增加（减少）0万元，增长（降低）0</w:t>
      </w:r>
      <w:r>
        <w:rPr>
          <w:rFonts w:ascii="仿宋_GB2312" w:eastAsia="仿宋_GB2312"/>
          <w:sz w:val="32"/>
          <w:szCs w:val="32"/>
        </w:rPr>
        <w:t>%</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w:t>
      </w:r>
      <w:r>
        <w:rPr>
          <w:rFonts w:hint="eastAsia" w:ascii="仿宋_GB2312" w:hAnsi="Calibri" w:eastAsia="仿宋_GB2312"/>
          <w:sz w:val="32"/>
          <w:szCs w:val="32"/>
          <w:lang w:val="en-US"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四、一般公共预算“三公”经费支出情况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2017年度一般公共预算“三公”经费支出决算1.83万元，比上年减少0.17万元，降低8.</w:t>
      </w:r>
      <w:r>
        <w:rPr>
          <w:rFonts w:hint="eastAsia" w:ascii="仿宋_GB2312" w:eastAsia="仿宋_GB2312"/>
          <w:sz w:val="32"/>
          <w:szCs w:val="32"/>
          <w:lang w:val="en-US" w:eastAsia="zh-CN"/>
        </w:rPr>
        <w:t>5</w:t>
      </w:r>
      <w:r>
        <w:rPr>
          <w:rFonts w:ascii="仿宋_GB2312" w:eastAsia="仿宋_GB2312"/>
          <w:sz w:val="32"/>
          <w:szCs w:val="32"/>
        </w:rPr>
        <w:t>%</w:t>
      </w:r>
      <w:r>
        <w:rPr>
          <w:rFonts w:hint="eastAsia" w:ascii="仿宋_GB2312" w:eastAsia="仿宋_GB2312"/>
          <w:sz w:val="32"/>
          <w:szCs w:val="32"/>
        </w:rPr>
        <w:t>，减少</w:t>
      </w:r>
      <w:r>
        <w:rPr>
          <w:rFonts w:hint="eastAsia" w:ascii="仿宋_GB2312" w:eastAsia="仿宋_GB2312"/>
          <w:sz w:val="32"/>
          <w:szCs w:val="32"/>
          <w:lang w:eastAsia="zh-CN"/>
        </w:rPr>
        <w:t>的</w:t>
      </w:r>
      <w:r>
        <w:rPr>
          <w:rFonts w:hint="eastAsia" w:ascii="仿宋_GB2312" w:eastAsia="仿宋_GB2312"/>
          <w:sz w:val="32"/>
          <w:szCs w:val="32"/>
        </w:rPr>
        <w:t>原因是</w:t>
      </w:r>
      <w:r>
        <w:rPr>
          <w:rFonts w:hint="eastAsia" w:ascii="仿宋_GB2312" w:eastAsia="仿宋_GB2312"/>
          <w:sz w:val="32"/>
          <w:szCs w:val="32"/>
          <w:lang w:eastAsia="zh-CN"/>
        </w:rPr>
        <w:t>减少公务车使用</w:t>
      </w:r>
      <w:r>
        <w:rPr>
          <w:rFonts w:hint="eastAsia" w:ascii="仿宋_GB2312" w:eastAsia="仿宋_GB2312"/>
          <w:sz w:val="32"/>
          <w:szCs w:val="32"/>
        </w:rPr>
        <w:t>。其中，因公出国（境）费支出0万元，占0</w:t>
      </w:r>
      <w:r>
        <w:rPr>
          <w:rFonts w:ascii="仿宋_GB2312" w:eastAsia="仿宋_GB2312"/>
          <w:sz w:val="32"/>
          <w:szCs w:val="32"/>
        </w:rPr>
        <w:t>%</w:t>
      </w:r>
      <w:r>
        <w:rPr>
          <w:rFonts w:hint="eastAsia" w:ascii="仿宋_GB2312" w:eastAsia="仿宋_GB2312"/>
          <w:sz w:val="32"/>
          <w:szCs w:val="32"/>
        </w:rPr>
        <w:t>，比上年增加（减少）0万元，增长（降低）0</w:t>
      </w:r>
      <w:r>
        <w:rPr>
          <w:rFonts w:ascii="仿宋_GB2312" w:eastAsia="仿宋_GB2312"/>
          <w:sz w:val="32"/>
          <w:szCs w:val="32"/>
        </w:rPr>
        <w:t>%</w:t>
      </w:r>
      <w:r>
        <w:rPr>
          <w:rFonts w:hint="eastAsia" w:ascii="仿宋_GB2312" w:eastAsia="仿宋_GB2312"/>
          <w:sz w:val="32"/>
          <w:szCs w:val="32"/>
        </w:rPr>
        <w:t>，增加（减少）原因是</w:t>
      </w:r>
      <w:r>
        <w:rPr>
          <w:rFonts w:hint="eastAsia" w:ascii="仿宋_GB2312" w:eastAsia="仿宋_GB2312"/>
          <w:sz w:val="32"/>
          <w:szCs w:val="32"/>
          <w:lang w:eastAsia="zh-CN"/>
        </w:rPr>
        <w:t>本单位无</w:t>
      </w:r>
      <w:r>
        <w:rPr>
          <w:rFonts w:hint="eastAsia" w:ascii="仿宋_GB2312" w:eastAsia="仿宋_GB2312"/>
          <w:sz w:val="32"/>
          <w:szCs w:val="32"/>
        </w:rPr>
        <w:t>因公出国（境）费支出；公务用车购置及运行维护费支出1.83万元，占100</w:t>
      </w:r>
      <w:r>
        <w:rPr>
          <w:rFonts w:ascii="仿宋_GB2312" w:eastAsia="仿宋_GB2312"/>
          <w:sz w:val="32"/>
          <w:szCs w:val="32"/>
        </w:rPr>
        <w:t>%</w:t>
      </w:r>
      <w:r>
        <w:rPr>
          <w:rFonts w:hint="eastAsia" w:ascii="仿宋_GB2312" w:eastAsia="仿宋_GB2312"/>
          <w:sz w:val="32"/>
          <w:szCs w:val="32"/>
        </w:rPr>
        <w:t>，比上年减少0.17万元，降低8.</w:t>
      </w:r>
      <w:r>
        <w:rPr>
          <w:rFonts w:hint="eastAsia" w:ascii="仿宋_GB2312" w:eastAsia="仿宋_GB2312"/>
          <w:sz w:val="32"/>
          <w:szCs w:val="32"/>
          <w:lang w:val="en-US" w:eastAsia="zh-CN"/>
        </w:rPr>
        <w:t>5</w:t>
      </w:r>
      <w:r>
        <w:rPr>
          <w:rFonts w:ascii="仿宋_GB2312" w:eastAsia="仿宋_GB2312"/>
          <w:sz w:val="32"/>
          <w:szCs w:val="32"/>
        </w:rPr>
        <w:t>%</w:t>
      </w:r>
      <w:r>
        <w:rPr>
          <w:rFonts w:hint="eastAsia" w:ascii="仿宋_GB2312" w:eastAsia="仿宋_GB2312"/>
          <w:sz w:val="32"/>
          <w:szCs w:val="32"/>
        </w:rPr>
        <w:t>，减少原因是</w:t>
      </w:r>
      <w:r>
        <w:rPr>
          <w:rFonts w:hint="eastAsia" w:ascii="仿宋_GB2312" w:eastAsia="仿宋_GB2312"/>
          <w:sz w:val="32"/>
          <w:szCs w:val="32"/>
          <w:lang w:eastAsia="zh-CN"/>
        </w:rPr>
        <w:t>减少公务车使用</w:t>
      </w:r>
      <w:r>
        <w:rPr>
          <w:rFonts w:hint="eastAsia" w:ascii="仿宋_GB2312" w:eastAsia="仿宋_GB2312"/>
          <w:sz w:val="32"/>
          <w:szCs w:val="32"/>
        </w:rPr>
        <w:t>；公务接待费支出0万元，占0</w:t>
      </w:r>
      <w:r>
        <w:rPr>
          <w:rFonts w:ascii="仿宋_GB2312" w:eastAsia="仿宋_GB2312"/>
          <w:sz w:val="32"/>
          <w:szCs w:val="32"/>
        </w:rPr>
        <w:t>%</w:t>
      </w:r>
      <w:r>
        <w:rPr>
          <w:rFonts w:hint="eastAsia" w:ascii="仿宋_GB2312" w:eastAsia="仿宋_GB2312"/>
          <w:sz w:val="32"/>
          <w:szCs w:val="32"/>
        </w:rPr>
        <w:t>，比上年增加（减少）0万元，增长（降低）0</w:t>
      </w:r>
      <w:r>
        <w:rPr>
          <w:rFonts w:ascii="仿宋_GB2312" w:eastAsia="仿宋_GB2312"/>
          <w:sz w:val="32"/>
          <w:szCs w:val="32"/>
        </w:rPr>
        <w:t>%</w:t>
      </w:r>
      <w:r>
        <w:rPr>
          <w:rFonts w:hint="eastAsia" w:ascii="仿宋_GB2312" w:eastAsia="仿宋_GB2312"/>
          <w:sz w:val="32"/>
          <w:szCs w:val="32"/>
        </w:rPr>
        <w:t>，增加（减少）原因是</w:t>
      </w:r>
      <w:r>
        <w:rPr>
          <w:rFonts w:hint="eastAsia" w:ascii="仿宋_GB2312" w:eastAsia="仿宋_GB2312"/>
          <w:sz w:val="32"/>
          <w:szCs w:val="32"/>
          <w:lang w:eastAsia="zh-CN"/>
        </w:rPr>
        <w:t>本单位公务接待费支出</w:t>
      </w:r>
      <w:r>
        <w:rPr>
          <w:rFonts w:hint="eastAsia" w:ascii="仿宋_GB2312" w:eastAsia="仿宋_GB2312"/>
          <w:sz w:val="32"/>
          <w:szCs w:val="32"/>
        </w:rPr>
        <w:t>。具体情况如下：</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因公出国（境）费支出0万元。</w:t>
      </w:r>
      <w:r>
        <w:rPr>
          <w:rFonts w:hint="eastAsia" w:ascii="仿宋_GB2312" w:eastAsia="仿宋_GB2312"/>
          <w:spacing w:val="-6"/>
          <w:sz w:val="32"/>
          <w:szCs w:val="32"/>
          <w:lang w:eastAsia="zh-CN"/>
        </w:rPr>
        <w:t>塔什库尔干</w:t>
      </w:r>
      <w:r>
        <w:rPr>
          <w:rFonts w:hint="eastAsia" w:ascii="仿宋_GB2312" w:eastAsia="仿宋_GB2312"/>
          <w:spacing w:val="-6"/>
          <w:sz w:val="32"/>
          <w:szCs w:val="32"/>
        </w:rPr>
        <w:t>县环境保护局</w:t>
      </w:r>
      <w:r>
        <w:rPr>
          <w:rFonts w:hint="eastAsia" w:ascii="仿宋_GB2312" w:eastAsia="仿宋_GB2312"/>
          <w:sz w:val="32"/>
          <w:szCs w:val="32"/>
        </w:rPr>
        <w:t>全年使用一般公共预算财政拨款安排的出国（境）团组0个，累计0人次。</w:t>
      </w:r>
      <w:r>
        <w:rPr>
          <w:rFonts w:hint="eastAsia" w:ascii="仿宋_GB2312" w:eastAsia="仿宋_GB2312"/>
          <w:sz w:val="32"/>
          <w:szCs w:val="32"/>
          <w:lang w:eastAsia="zh-CN"/>
        </w:rPr>
        <w:t>开支内容包括：无。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公务用车购置及运行维护费1.83万元</w:t>
      </w:r>
      <w:r>
        <w:rPr>
          <w:rFonts w:ascii="仿宋_GB2312" w:eastAsia="仿宋_GB2312"/>
          <w:sz w:val="32"/>
          <w:szCs w:val="32"/>
        </w:rPr>
        <w:t>,</w:t>
      </w:r>
      <w:r>
        <w:rPr>
          <w:rFonts w:hint="eastAsia" w:ascii="仿宋_GB2312" w:eastAsia="仿宋_GB2312"/>
          <w:sz w:val="32"/>
          <w:szCs w:val="32"/>
        </w:rPr>
        <w:t>其中，公务用车购置0万元，公务用车运行维护费1.83万元。主要用于车俩维护费和燃料费等。2017年，单位一般公共财政拨款安排的公务用车购置量0辆，保有量为1辆。</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公务接待费0万元。具体是：国内公务接待支出0万元</w:t>
      </w:r>
      <w:r>
        <w:rPr>
          <w:rFonts w:hint="eastAsia" w:ascii="仿宋_GB2312" w:eastAsia="仿宋_GB2312"/>
          <w:sz w:val="32"/>
          <w:szCs w:val="32"/>
          <w:lang w:eastAsia="zh-CN"/>
        </w:rPr>
        <w:t>，主要是无</w:t>
      </w:r>
      <w:r>
        <w:rPr>
          <w:rFonts w:hint="eastAsia" w:ascii="仿宋_GB2312" w:eastAsia="仿宋_GB2312"/>
          <w:sz w:val="32"/>
          <w:szCs w:val="32"/>
        </w:rPr>
        <w:t>国内公务接待支出。</w:t>
      </w:r>
      <w:r>
        <w:rPr>
          <w:rFonts w:hint="eastAsia" w:ascii="仿宋_GB2312" w:eastAsia="仿宋_GB2312"/>
          <w:spacing w:val="-6"/>
          <w:sz w:val="32"/>
          <w:szCs w:val="32"/>
          <w:lang w:eastAsia="zh-CN"/>
        </w:rPr>
        <w:t>塔什库尔干</w:t>
      </w:r>
      <w:r>
        <w:rPr>
          <w:rFonts w:hint="eastAsia" w:ascii="仿宋_GB2312" w:eastAsia="仿宋_GB2312"/>
          <w:spacing w:val="-6"/>
          <w:sz w:val="32"/>
          <w:szCs w:val="32"/>
        </w:rPr>
        <w:t>县环境保护局</w:t>
      </w:r>
      <w:r>
        <w:rPr>
          <w:rFonts w:hint="eastAsia" w:ascii="仿宋_GB2312" w:eastAsia="仿宋_GB2312"/>
          <w:sz w:val="32"/>
          <w:szCs w:val="32"/>
        </w:rPr>
        <w:t>国内公务接待0批次，0人次。</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rPr>
        <w:t>与预算相比情况</w:t>
      </w:r>
      <w:r>
        <w:rPr>
          <w:rFonts w:hint="eastAsia" w:ascii="仿宋_GB2312" w:eastAsia="仿宋_GB2312"/>
          <w:sz w:val="32"/>
          <w:szCs w:val="32"/>
          <w:lang w:eastAsia="zh-CN"/>
        </w:rPr>
        <w:t>：</w:t>
      </w:r>
      <w:r>
        <w:rPr>
          <w:rFonts w:hint="eastAsia" w:ascii="仿宋_GB2312" w:eastAsia="仿宋_GB2312"/>
          <w:sz w:val="32"/>
          <w:szCs w:val="32"/>
          <w:lang w:val="en-US" w:eastAsia="zh-CN"/>
        </w:rPr>
        <w:t>2017年年初预算数2万元，</w:t>
      </w:r>
      <w:r>
        <w:rPr>
          <w:rFonts w:hint="eastAsia" w:ascii="仿宋_GB2312" w:eastAsia="仿宋_GB2312"/>
          <w:sz w:val="32"/>
          <w:szCs w:val="32"/>
        </w:rPr>
        <w:t>2017年度一般公共预算“三公”经费支出决算1.83万元</w:t>
      </w:r>
      <w:r>
        <w:rPr>
          <w:rFonts w:hint="eastAsia" w:ascii="仿宋_GB2312" w:eastAsia="仿宋_GB2312"/>
          <w:sz w:val="32"/>
          <w:szCs w:val="32"/>
          <w:lang w:eastAsia="zh-CN"/>
        </w:rPr>
        <w:t>，</w:t>
      </w:r>
      <w:r>
        <w:rPr>
          <w:rFonts w:hint="eastAsia" w:ascii="仿宋_GB2312" w:eastAsia="仿宋_GB2312"/>
          <w:sz w:val="32"/>
          <w:szCs w:val="32"/>
          <w:lang w:val="en-US" w:eastAsia="zh-CN"/>
        </w:rPr>
        <w:t>与预算相比，减少0.17万元，降低8.5%，减少原因是：公务用车</w:t>
      </w:r>
      <w:r>
        <w:rPr>
          <w:rFonts w:hint="eastAsia" w:ascii="仿宋_GB2312" w:eastAsia="仿宋_GB2312"/>
          <w:sz w:val="32"/>
          <w:szCs w:val="32"/>
          <w:lang w:eastAsia="zh-CN"/>
        </w:rPr>
        <w:t>使用</w:t>
      </w:r>
      <w:r>
        <w:rPr>
          <w:rFonts w:hint="eastAsia" w:ascii="仿宋_GB2312" w:eastAsia="仿宋_GB2312"/>
          <w:sz w:val="32"/>
          <w:szCs w:val="32"/>
          <w:lang w:val="en-US" w:eastAsia="zh-CN"/>
        </w:rPr>
        <w:t>减少。</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五、机关运行经费支出情况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2017年度</w:t>
      </w:r>
      <w:r>
        <w:rPr>
          <w:rFonts w:hint="eastAsia" w:ascii="仿宋_GB2312" w:eastAsia="仿宋_GB2312"/>
          <w:spacing w:val="-6"/>
          <w:sz w:val="32"/>
          <w:szCs w:val="32"/>
          <w:lang w:eastAsia="zh-CN"/>
        </w:rPr>
        <w:t>塔什库尔干</w:t>
      </w:r>
      <w:r>
        <w:rPr>
          <w:rFonts w:hint="eastAsia" w:ascii="仿宋_GB2312" w:eastAsia="仿宋_GB2312"/>
          <w:spacing w:val="-6"/>
          <w:sz w:val="32"/>
          <w:szCs w:val="32"/>
        </w:rPr>
        <w:t>县环境保护局</w:t>
      </w:r>
      <w:r>
        <w:rPr>
          <w:rFonts w:hint="eastAsia" w:ascii="仿宋_GB2312" w:eastAsia="仿宋_GB2312"/>
          <w:sz w:val="32"/>
          <w:szCs w:val="32"/>
        </w:rPr>
        <w:t>机关运行经费支出7.53万元，比上年增加3.52万元，增长88</w:t>
      </w:r>
      <w:r>
        <w:rPr>
          <w:rFonts w:ascii="仿宋_GB2312" w:eastAsia="仿宋_GB2312"/>
          <w:sz w:val="32"/>
          <w:szCs w:val="32"/>
        </w:rPr>
        <w:t>%</w:t>
      </w:r>
      <w:r>
        <w:rPr>
          <w:rFonts w:hint="eastAsia" w:ascii="仿宋_GB2312" w:eastAsia="仿宋_GB2312"/>
          <w:sz w:val="32"/>
          <w:szCs w:val="32"/>
        </w:rPr>
        <w:t>，主要原因是业务经费增加。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六、政府采购情况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pacing w:val="-6"/>
          <w:sz w:val="32"/>
          <w:szCs w:val="32"/>
          <w:lang w:eastAsia="zh-CN"/>
        </w:rPr>
        <w:t>塔什库尔干</w:t>
      </w:r>
      <w:r>
        <w:rPr>
          <w:rFonts w:hint="eastAsia" w:ascii="仿宋_GB2312" w:eastAsia="仿宋_GB2312"/>
          <w:spacing w:val="-6"/>
          <w:sz w:val="32"/>
          <w:szCs w:val="32"/>
        </w:rPr>
        <w:t>县环境保护局</w:t>
      </w:r>
      <w:r>
        <w:rPr>
          <w:rFonts w:hint="eastAsia" w:ascii="仿宋_GB2312" w:eastAsia="仿宋_GB2312"/>
          <w:sz w:val="32"/>
          <w:szCs w:val="32"/>
        </w:rPr>
        <w:t>政府采购计划149.50万元，其中：政府采购货物支出149.50万元、政府采购工程支出0万元、政府采购服务支出0万元；实际采购140万元，其中：政府采购货物支出140万元、政府采购工程支出0万元、政府采购服务支出0万元。</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七、其他重要事项的情况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（一）国有资产占用情况说明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截至2017年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资产总计40.89万元，其中：流动资产8.29万元，固定资产32.60万元，其中：房屋366（平方米），价值11.68万元，共有车辆1辆，价值8.61万元，其中：部级领导干部用车0辆、一般公务用车1辆、一般执法执勤用车0辆、特种专业技术用车0辆、其他用车0辆</w:t>
      </w:r>
      <w:r>
        <w:rPr>
          <w:rFonts w:hint="eastAsia" w:ascii="仿宋_GB2312" w:eastAsia="仿宋_GB2312"/>
          <w:sz w:val="32"/>
          <w:szCs w:val="32"/>
          <w:lang w:eastAsia="zh-CN"/>
        </w:rPr>
        <w:t>（其他用车主要是：无）</w:t>
      </w:r>
      <w:r>
        <w:rPr>
          <w:rFonts w:hint="eastAsia" w:ascii="仿宋_GB2312" w:eastAsia="仿宋_GB2312"/>
          <w:sz w:val="32"/>
          <w:szCs w:val="32"/>
        </w:rPr>
        <w:t>；单位价值</w:t>
      </w:r>
      <w:r>
        <w:rPr>
          <w:rFonts w:ascii="仿宋_GB2312" w:eastAsia="仿宋_GB2312"/>
          <w:sz w:val="32"/>
          <w:szCs w:val="32"/>
        </w:rPr>
        <w:t>50</w:t>
      </w:r>
      <w:r>
        <w:rPr>
          <w:rFonts w:hint="eastAsia" w:ascii="仿宋_GB2312" w:eastAsia="仿宋_GB2312"/>
          <w:sz w:val="32"/>
          <w:szCs w:val="32"/>
        </w:rPr>
        <w:t>万元以上通用设备0台（套）、单位价值</w:t>
      </w:r>
      <w:r>
        <w:rPr>
          <w:rFonts w:ascii="仿宋_GB2312" w:eastAsia="仿宋_GB2312"/>
          <w:sz w:val="32"/>
          <w:szCs w:val="32"/>
        </w:rPr>
        <w:t>100</w:t>
      </w:r>
      <w:r>
        <w:rPr>
          <w:rFonts w:hint="eastAsia" w:ascii="仿宋_GB2312" w:eastAsia="仿宋_GB2312"/>
          <w:sz w:val="32"/>
          <w:szCs w:val="32"/>
        </w:rPr>
        <w:t>万元以上专用设备0台（套），其他固定资产价值12.31万元。</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US"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US"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（二）国有资产收益征缴情况说明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截至2017年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w:t>
      </w:r>
      <w:r>
        <w:rPr>
          <w:rFonts w:hint="eastAsia" w:ascii="仿宋_GB2312" w:eastAsia="仿宋_GB2312"/>
          <w:sz w:val="32"/>
          <w:szCs w:val="32"/>
          <w:lang w:eastAsia="zh-CN"/>
        </w:rPr>
        <w:t>塔什库尔干县</w:t>
      </w:r>
      <w:r>
        <w:rPr>
          <w:rFonts w:hint="eastAsia" w:ascii="仿宋_GB2312" w:eastAsia="仿宋_GB2312"/>
          <w:sz w:val="32"/>
          <w:szCs w:val="32"/>
        </w:rPr>
        <w:t>环境保护管理局资产有偿使用收入合计0万元，资产处置收入合计0万元。其中：已缴国库0万元，已缴财政专户0万元，应缴未缴0万元，单位留用0万元。</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（三）部门项目支出情况和项目绩效评价情况说明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2017</w:t>
      </w:r>
      <w:r>
        <w:rPr>
          <w:rFonts w:hint="eastAsia" w:ascii="仿宋_GB2312" w:hAnsi="宋体" w:eastAsia="仿宋_GB2312" w:cs="宋体"/>
          <w:sz w:val="32"/>
          <w:szCs w:val="32"/>
        </w:rPr>
        <w:t>年度，本部门单位实行绩效管理的项目2个，涉及预算</w:t>
      </w:r>
      <w:r>
        <w:rPr>
          <w:rFonts w:hint="eastAsia" w:ascii="仿宋_GB2312" w:eastAsia="仿宋_GB2312"/>
          <w:sz w:val="32"/>
          <w:szCs w:val="32"/>
        </w:rPr>
        <w:t>0万元</w:t>
      </w:r>
      <w:r>
        <w:rPr>
          <w:rFonts w:hint="eastAsia" w:ascii="仿宋_GB2312" w:hAnsi="宋体" w:eastAsia="仿宋_GB2312" w:cs="宋体"/>
          <w:sz w:val="32"/>
          <w:szCs w:val="32"/>
        </w:rPr>
        <w:t>，项目支出决算</w:t>
      </w:r>
      <w:r>
        <w:rPr>
          <w:rFonts w:hint="eastAsia" w:ascii="仿宋_GB2312" w:eastAsia="仿宋_GB2312"/>
          <w:sz w:val="32"/>
          <w:szCs w:val="32"/>
        </w:rPr>
        <w:t>766.58万元</w:t>
      </w:r>
      <w:r>
        <w:rPr>
          <w:rFonts w:hint="eastAsia" w:ascii="仿宋_GB2312" w:hAnsi="宋体" w:eastAsia="仿宋_GB2312" w:cs="宋体"/>
          <w:sz w:val="32"/>
          <w:szCs w:val="32"/>
        </w:rPr>
        <w:t>。年末</w:t>
      </w:r>
      <w:r>
        <w:rPr>
          <w:rFonts w:hint="eastAsia" w:ascii="仿宋_GB2312" w:eastAsia="仿宋_GB2312"/>
          <w:sz w:val="32"/>
          <w:szCs w:val="32"/>
        </w:rPr>
        <w:t>本部门单位民生项目和重点支出项目的绩效评价开展情况及结果：</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lang w:eastAsia="zh-CN"/>
        </w:rPr>
        <w:t>其他环境保护管理事务</w:t>
      </w:r>
      <w:r>
        <w:rPr>
          <w:rFonts w:hint="eastAsia" w:ascii="仿宋_GB2312" w:eastAsia="仿宋_GB2312"/>
          <w:sz w:val="32"/>
          <w:szCs w:val="32"/>
        </w:rPr>
        <w:t>项目</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eastAsia="zh-CN"/>
        </w:rPr>
        <w:t>该项目支出</w:t>
      </w:r>
      <w:r>
        <w:rPr>
          <w:rFonts w:hint="eastAsia" w:ascii="仿宋_GB2312" w:eastAsia="仿宋_GB2312"/>
          <w:sz w:val="32"/>
          <w:szCs w:val="32"/>
          <w:lang w:val="en-US" w:eastAsia="zh-CN"/>
        </w:rPr>
        <w:t>243.58万元</w:t>
      </w:r>
      <w:r>
        <w:rPr>
          <w:rFonts w:hint="eastAsia" w:ascii="仿宋_GB2312" w:eastAsia="仿宋_GB2312"/>
          <w:sz w:val="32"/>
          <w:szCs w:val="32"/>
          <w:lang w:eastAsia="zh-CN"/>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lang w:eastAsia="zh-CN"/>
        </w:rPr>
        <w:t>湿地保护</w:t>
      </w:r>
      <w:r>
        <w:rPr>
          <w:rFonts w:hint="eastAsia" w:ascii="仿宋_GB2312" w:eastAsia="仿宋_GB2312"/>
          <w:sz w:val="32"/>
          <w:szCs w:val="32"/>
        </w:rPr>
        <w:t>项目</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eastAsia="zh-CN"/>
        </w:rPr>
        <w:t>该项目支出</w:t>
      </w:r>
      <w:r>
        <w:rPr>
          <w:rFonts w:hint="eastAsia" w:ascii="仿宋_GB2312" w:eastAsia="仿宋_GB2312"/>
          <w:sz w:val="32"/>
          <w:szCs w:val="32"/>
          <w:lang w:val="en-US" w:eastAsia="zh-CN"/>
        </w:rPr>
        <w:t>523.00万元。</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3" w:firstLineChars="200"/>
        <w:textAlignment w:val="auto"/>
        <w:rPr>
          <w:rFonts w:ascii="仿宋_GB2312" w:eastAsia="仿宋_GB2312"/>
          <w:b/>
          <w:sz w:val="32"/>
          <w:szCs w:val="32"/>
        </w:rPr>
      </w:pPr>
    </w:p>
    <w:p>
      <w:pPr>
        <w:keepNext w:val="0"/>
        <w:keepLines w:val="0"/>
        <w:pageBreakBefore w:val="0"/>
        <w:widowControl w:val="0"/>
        <w:kinsoku/>
        <w:wordWrap/>
        <w:overflowPunct/>
        <w:topLinePunct w:val="0"/>
        <w:bidi w:val="0"/>
        <w:snapToGrid/>
        <w:spacing w:line="560" w:lineRule="exact"/>
        <w:ind w:left="0" w:leftChars="0" w:right="0" w:rightChars="0" w:firstLine="640" w:firstLineChars="200"/>
        <w:jc w:val="center"/>
        <w:textAlignment w:val="auto"/>
        <w:rPr>
          <w:rFonts w:ascii="黑体" w:hAnsi="黑体" w:eastAsia="黑体"/>
          <w:sz w:val="32"/>
          <w:szCs w:val="32"/>
        </w:rPr>
      </w:pPr>
      <w:r>
        <w:rPr>
          <w:rFonts w:hint="eastAsia" w:ascii="黑体" w:hAnsi="黑体" w:eastAsia="黑体"/>
          <w:sz w:val="32"/>
          <w:szCs w:val="32"/>
        </w:rPr>
        <w:t>第三部分</w:t>
      </w:r>
      <w:r>
        <w:rPr>
          <w:rFonts w:ascii="黑体" w:hAnsi="黑体" w:eastAsia="黑体"/>
          <w:sz w:val="32"/>
          <w:szCs w:val="32"/>
        </w:rPr>
        <w:t xml:space="preserve"> </w:t>
      </w:r>
      <w:r>
        <w:rPr>
          <w:rFonts w:hint="eastAsia" w:ascii="黑体" w:hAnsi="黑体" w:eastAsia="黑体"/>
          <w:sz w:val="32"/>
          <w:szCs w:val="32"/>
        </w:rPr>
        <w:t>专业名词解释</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财政拨款收入：指同级财政当年拨付的资金。</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附属单位缴款：指事业单位附属的独立核算单位按有关规定上缴的收入。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其他收入：指除上述“财政拨款收入”、“事业收入”、“经营收入”、“附属单位缴款”等之外取得的收入。</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结余分配：反映单位当年结余的分配情况。</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rPr>
        <w:t>本单位支出功能分类说明</w:t>
      </w:r>
      <w:r>
        <w:rPr>
          <w:rFonts w:hint="eastAsia" w:ascii="仿宋_GB2312" w:hAnsi="Calibri" w:eastAsia="仿宋_GB2312"/>
          <w:sz w:val="32"/>
          <w:szCs w:val="32"/>
          <w:lang w:val="en-GB"/>
        </w:rPr>
        <w:t>。</w:t>
      </w:r>
      <w:r>
        <w:rPr>
          <w:rFonts w:hint="eastAsia" w:ascii="仿宋_GB2312" w:eastAsia="仿宋_GB2312"/>
          <w:sz w:val="32"/>
          <w:szCs w:val="32"/>
          <w:lang w:val="en-US" w:eastAsia="zh-CN"/>
        </w:rPr>
        <w:t>208</w:t>
      </w:r>
      <w:r>
        <w:rPr>
          <w:rFonts w:hint="eastAsia" w:ascii="仿宋_GB2312" w:eastAsia="仿宋_GB2312"/>
          <w:sz w:val="32"/>
          <w:szCs w:val="32"/>
        </w:rPr>
        <w:t>（类）</w:t>
      </w:r>
      <w:r>
        <w:rPr>
          <w:rFonts w:hint="eastAsia" w:ascii="仿宋_GB2312" w:eastAsia="仿宋_GB2312"/>
          <w:sz w:val="32"/>
          <w:szCs w:val="32"/>
          <w:lang w:val="en-US" w:eastAsia="zh-CN"/>
        </w:rPr>
        <w:t>05</w:t>
      </w:r>
      <w:r>
        <w:rPr>
          <w:rFonts w:hint="eastAsia" w:ascii="仿宋_GB2312" w:eastAsia="仿宋_GB2312"/>
          <w:sz w:val="32"/>
          <w:szCs w:val="32"/>
        </w:rPr>
        <w:t>（款）</w:t>
      </w:r>
      <w:r>
        <w:rPr>
          <w:rFonts w:hint="eastAsia" w:ascii="仿宋_GB2312" w:eastAsia="仿宋_GB2312"/>
          <w:sz w:val="32"/>
          <w:szCs w:val="32"/>
          <w:lang w:val="en-US" w:eastAsia="zh-CN"/>
        </w:rPr>
        <w:t>05</w:t>
      </w:r>
      <w:r>
        <w:rPr>
          <w:rFonts w:hint="eastAsia" w:ascii="仿宋_GB2312" w:eastAsia="仿宋_GB2312"/>
          <w:sz w:val="32"/>
          <w:szCs w:val="32"/>
        </w:rPr>
        <w:t>（项）：指</w:t>
      </w:r>
      <w:r>
        <w:rPr>
          <w:rFonts w:hint="eastAsia" w:ascii="仿宋_GB2312" w:eastAsia="仿宋_GB2312"/>
          <w:sz w:val="32"/>
          <w:szCs w:val="32"/>
          <w:lang w:eastAsia="zh-CN"/>
        </w:rPr>
        <w:t>机关事业单位基本养老保险缴纳支出</w:t>
      </w:r>
      <w:r>
        <w:rPr>
          <w:rFonts w:hint="eastAsia" w:ascii="仿宋_GB2312" w:eastAsia="仿宋_GB2312"/>
          <w:sz w:val="32"/>
          <w:szCs w:val="32"/>
        </w:rPr>
        <w:t>。</w:t>
      </w:r>
      <w:r>
        <w:rPr>
          <w:rFonts w:hint="eastAsia" w:ascii="仿宋_GB2312" w:eastAsia="仿宋_GB2312"/>
          <w:sz w:val="32"/>
          <w:szCs w:val="32"/>
          <w:lang w:val="en-US" w:eastAsia="zh-CN"/>
        </w:rPr>
        <w:t>211</w:t>
      </w:r>
      <w:r>
        <w:rPr>
          <w:rFonts w:hint="eastAsia" w:ascii="仿宋_GB2312" w:eastAsia="仿宋_GB2312"/>
          <w:sz w:val="32"/>
          <w:szCs w:val="32"/>
        </w:rPr>
        <w:t>（类）</w:t>
      </w:r>
      <w:r>
        <w:rPr>
          <w:rFonts w:hint="eastAsia" w:ascii="仿宋_GB2312" w:eastAsia="仿宋_GB2312"/>
          <w:sz w:val="32"/>
          <w:szCs w:val="32"/>
          <w:lang w:val="en-US" w:eastAsia="zh-CN"/>
        </w:rPr>
        <w:t>01</w:t>
      </w:r>
      <w:r>
        <w:rPr>
          <w:rFonts w:hint="eastAsia" w:ascii="仿宋_GB2312" w:eastAsia="仿宋_GB2312"/>
          <w:sz w:val="32"/>
          <w:szCs w:val="32"/>
        </w:rPr>
        <w:t>（款）</w:t>
      </w:r>
      <w:r>
        <w:rPr>
          <w:rFonts w:hint="eastAsia" w:ascii="仿宋_GB2312" w:eastAsia="仿宋_GB2312"/>
          <w:sz w:val="32"/>
          <w:szCs w:val="32"/>
          <w:lang w:val="en-US" w:eastAsia="zh-CN"/>
        </w:rPr>
        <w:t>01</w:t>
      </w:r>
      <w:r>
        <w:rPr>
          <w:rFonts w:hint="eastAsia" w:ascii="仿宋_GB2312" w:eastAsia="仿宋_GB2312"/>
          <w:sz w:val="32"/>
          <w:szCs w:val="32"/>
        </w:rPr>
        <w:t>（项）：指</w:t>
      </w:r>
      <w:r>
        <w:rPr>
          <w:rFonts w:hint="eastAsia" w:ascii="仿宋_GB2312" w:eastAsia="仿宋_GB2312"/>
          <w:sz w:val="32"/>
          <w:szCs w:val="32"/>
          <w:lang w:eastAsia="zh-CN"/>
        </w:rPr>
        <w:t>环境保护管理事务支出</w:t>
      </w:r>
      <w:r>
        <w:rPr>
          <w:rFonts w:hint="eastAsia" w:ascii="仿宋_GB2312" w:eastAsia="仿宋_GB2312"/>
          <w:sz w:val="32"/>
          <w:szCs w:val="32"/>
        </w:rPr>
        <w:t>。</w:t>
      </w:r>
      <w:r>
        <w:rPr>
          <w:rFonts w:hint="eastAsia" w:ascii="仿宋_GB2312" w:eastAsia="仿宋_GB2312"/>
          <w:sz w:val="32"/>
          <w:szCs w:val="32"/>
          <w:lang w:val="en-US" w:eastAsia="zh-CN"/>
        </w:rPr>
        <w:t>221（类）02（款）01(项)：指住房公积金支出。</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eastAsia="zh-CN"/>
        </w:rPr>
      </w:pPr>
    </w:p>
    <w:p>
      <w:pPr>
        <w:keepNext w:val="0"/>
        <w:keepLines w:val="0"/>
        <w:pageBreakBefore w:val="0"/>
        <w:widowControl w:val="0"/>
        <w:kinsoku/>
        <w:wordWrap/>
        <w:overflowPunct/>
        <w:topLinePunct w:val="0"/>
        <w:bidi w:val="0"/>
        <w:snapToGrid/>
        <w:spacing w:line="560" w:lineRule="exact"/>
        <w:ind w:left="0" w:leftChars="0" w:right="0" w:rightChars="0" w:firstLine="640" w:firstLineChars="200"/>
        <w:jc w:val="center"/>
        <w:textAlignment w:val="auto"/>
        <w:rPr>
          <w:rFonts w:ascii="黑体" w:hAnsi="黑体" w:eastAsia="黑体"/>
          <w:sz w:val="32"/>
          <w:szCs w:val="32"/>
        </w:rPr>
      </w:pPr>
      <w:r>
        <w:rPr>
          <w:rFonts w:hint="eastAsia" w:ascii="黑体" w:hAnsi="黑体" w:eastAsia="黑体"/>
          <w:sz w:val="32"/>
          <w:szCs w:val="32"/>
        </w:rPr>
        <w:t>第四部分</w:t>
      </w:r>
      <w:r>
        <w:rPr>
          <w:rFonts w:ascii="黑体" w:hAnsi="黑体" w:eastAsia="黑体"/>
          <w:sz w:val="32"/>
          <w:szCs w:val="32"/>
        </w:rPr>
        <w:t xml:space="preserve"> </w:t>
      </w:r>
      <w:r>
        <w:rPr>
          <w:rFonts w:hint="eastAsia" w:ascii="黑体" w:hAnsi="黑体" w:eastAsia="黑体"/>
          <w:sz w:val="32"/>
          <w:szCs w:val="32"/>
        </w:rPr>
        <w:t>部门决算报表（见附表）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一、报表封面</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二、《收入支出决算总表》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三、《收入决算表》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五、《收入支出决算表》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六、《项目收入支出决算表》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七、《行政事业类项目收入支出决算表》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八、《基本建设类项目收入支出决算表》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九、《支出决算明细表》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十、《基本支出决算明细表》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十一、《项目支出决算明细表》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十二、《财政专户管理资金收入支出决算表》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十三、《财政拨款收入支出决算总表》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十四、《一般公共预算财政拨款收入支出决算表》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十五、《一般公共预算财政拨款支出决算明细表》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十六、《一般公共预算财政拨款基本支出决算明细表》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十七、《一般公共预算财政拨款项目支出决算明细表》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十八、《政府性基金预算财政拨款收入支出决算表》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十九、《政府性基金预算财政拨款支出决算明细表》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二十、《政府性基金预算财政拨款基本支出决算明细表》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二十一、《政府性基金预算财政拨款项目支出决算明细表》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二十二、《资产负债简表》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二十三、《资产情况表》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二十四、《国有资产收益征缴情况表》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二十五、《基本数字表》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二十六、《机构人员情况表》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二十七、《非税收入征缴情况表》</w:t>
      </w:r>
      <w:bookmarkStart w:id="0" w:name="_GoBack"/>
      <w:bookmarkEnd w:id="0"/>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二十八、《部门决算相关信息统计表》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二十九、《政府采购情况表》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三十、《2017年度一般公共预算“三公”经费支出情况表》</w:t>
      </w:r>
    </w:p>
    <w:p>
      <w:pPr>
        <w:keepNext w:val="0"/>
        <w:keepLines w:val="0"/>
        <w:pageBreakBefore w:val="0"/>
        <w:widowControl w:val="0"/>
        <w:kinsoku/>
        <w:wordWrap/>
        <w:overflowPunct/>
        <w:topLinePunct w:val="0"/>
        <w:bidi w:val="0"/>
        <w:snapToGrid/>
        <w:spacing w:line="560" w:lineRule="exact"/>
        <w:ind w:right="0" w:rightChars="0"/>
        <w:textAlignment w:val="auto"/>
        <w:rPr>
          <w:rFonts w:ascii="黑体" w:eastAsia="黑体"/>
          <w:sz w:val="28"/>
          <w:szCs w:val="28"/>
        </w:rPr>
      </w:pPr>
    </w:p>
    <w:p>
      <w:pPr>
        <w:keepNext w:val="0"/>
        <w:keepLines w:val="0"/>
        <w:pageBreakBefore w:val="0"/>
        <w:widowControl w:val="0"/>
        <w:kinsoku/>
        <w:wordWrap/>
        <w:overflowPunct/>
        <w:topLinePunct w:val="0"/>
        <w:bidi w:val="0"/>
        <w:snapToGrid/>
        <w:spacing w:line="560" w:lineRule="exact"/>
        <w:ind w:right="0" w:rightChars="0"/>
        <w:textAlignment w:val="auto"/>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985" w:left="1588" w:header="851" w:footer="992" w:gutter="0"/>
      <w:cols w:space="425" w:num="1"/>
      <w:docGrid w:type="lines" w:linePitch="435" w:charSpace="-167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827" w:wrap="around" w:vAnchor="text" w:hAnchor="margin" w:xAlign="outside" w:y="1"/>
      <w:rPr>
        <w:rStyle w:val="6"/>
      </w:rPr>
    </w:pPr>
    <w:r>
      <w:rPr>
        <w:rStyle w:val="6"/>
      </w:rPr>
      <w:t>—</w:t>
    </w:r>
    <w:r>
      <w:rPr>
        <w:rStyle w:val="6"/>
        <w:sz w:val="28"/>
        <w:szCs w:val="28"/>
      </w:rPr>
      <w:fldChar w:fldCharType="begin"/>
    </w:r>
    <w:r>
      <w:rPr>
        <w:rStyle w:val="6"/>
        <w:sz w:val="28"/>
        <w:szCs w:val="28"/>
      </w:rPr>
      <w:instrText xml:space="preserve">PAGE  </w:instrText>
    </w:r>
    <w:r>
      <w:rPr>
        <w:rStyle w:val="6"/>
        <w:sz w:val="28"/>
        <w:szCs w:val="28"/>
      </w:rPr>
      <w:fldChar w:fldCharType="separate"/>
    </w:r>
    <w:r>
      <w:rPr>
        <w:rStyle w:val="6"/>
        <w:sz w:val="28"/>
        <w:szCs w:val="28"/>
      </w:rPr>
      <w:t>14</w:t>
    </w:r>
    <w:r>
      <w:rPr>
        <w:rStyle w:val="6"/>
        <w:sz w:val="28"/>
        <w:szCs w:val="28"/>
      </w:rPr>
      <w:fldChar w:fldCharType="end"/>
    </w:r>
    <w:r>
      <w:rPr>
        <w:rStyle w:val="6"/>
      </w:rPr>
      <w:t>—</w:t>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2"/>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6DAB38"/>
    <w:multiLevelType w:val="singleLevel"/>
    <w:tmpl w:val="5A6DAB38"/>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rsids>
    <w:rsidRoot w:val="00642BB5"/>
    <w:rsid w:val="00020E9B"/>
    <w:rsid w:val="00040EEA"/>
    <w:rsid w:val="000B6993"/>
    <w:rsid w:val="000B73FD"/>
    <w:rsid w:val="000E1CA3"/>
    <w:rsid w:val="00100D42"/>
    <w:rsid w:val="00104962"/>
    <w:rsid w:val="00147035"/>
    <w:rsid w:val="001E3B86"/>
    <w:rsid w:val="002908FE"/>
    <w:rsid w:val="003114B2"/>
    <w:rsid w:val="0032577F"/>
    <w:rsid w:val="00333C6C"/>
    <w:rsid w:val="003624D3"/>
    <w:rsid w:val="003B3ACC"/>
    <w:rsid w:val="003C774F"/>
    <w:rsid w:val="00402D05"/>
    <w:rsid w:val="004C0019"/>
    <w:rsid w:val="00526DF3"/>
    <w:rsid w:val="00527E5F"/>
    <w:rsid w:val="00535FF9"/>
    <w:rsid w:val="00541A01"/>
    <w:rsid w:val="0059546F"/>
    <w:rsid w:val="005A0237"/>
    <w:rsid w:val="0060130A"/>
    <w:rsid w:val="00642BB5"/>
    <w:rsid w:val="006C6E45"/>
    <w:rsid w:val="00723021"/>
    <w:rsid w:val="007267F4"/>
    <w:rsid w:val="00772535"/>
    <w:rsid w:val="007A174C"/>
    <w:rsid w:val="007A52F7"/>
    <w:rsid w:val="00843DE8"/>
    <w:rsid w:val="008504D5"/>
    <w:rsid w:val="0085666F"/>
    <w:rsid w:val="008A1C47"/>
    <w:rsid w:val="008B7C81"/>
    <w:rsid w:val="00962498"/>
    <w:rsid w:val="0097639D"/>
    <w:rsid w:val="009A0270"/>
    <w:rsid w:val="009C03A5"/>
    <w:rsid w:val="009F1A02"/>
    <w:rsid w:val="009F635E"/>
    <w:rsid w:val="00A14230"/>
    <w:rsid w:val="00A25089"/>
    <w:rsid w:val="00A56000"/>
    <w:rsid w:val="00A77C76"/>
    <w:rsid w:val="00AD7360"/>
    <w:rsid w:val="00AF612D"/>
    <w:rsid w:val="00B02CA8"/>
    <w:rsid w:val="00B2188A"/>
    <w:rsid w:val="00B51792"/>
    <w:rsid w:val="00BB6C3F"/>
    <w:rsid w:val="00C41AFD"/>
    <w:rsid w:val="00C9785D"/>
    <w:rsid w:val="00CF2BC0"/>
    <w:rsid w:val="00D05718"/>
    <w:rsid w:val="00DD2064"/>
    <w:rsid w:val="00E86FAE"/>
    <w:rsid w:val="00EC3342"/>
    <w:rsid w:val="00F0575E"/>
    <w:rsid w:val="00F12BEB"/>
    <w:rsid w:val="00F674AC"/>
    <w:rsid w:val="013557C2"/>
    <w:rsid w:val="015E47C8"/>
    <w:rsid w:val="01713C76"/>
    <w:rsid w:val="02850792"/>
    <w:rsid w:val="02F21789"/>
    <w:rsid w:val="0351747D"/>
    <w:rsid w:val="0402642C"/>
    <w:rsid w:val="040E4712"/>
    <w:rsid w:val="04BB3088"/>
    <w:rsid w:val="04ED39C8"/>
    <w:rsid w:val="05691471"/>
    <w:rsid w:val="05CC3617"/>
    <w:rsid w:val="06521471"/>
    <w:rsid w:val="06820040"/>
    <w:rsid w:val="07D0000B"/>
    <w:rsid w:val="08B87985"/>
    <w:rsid w:val="09071F84"/>
    <w:rsid w:val="0A230E64"/>
    <w:rsid w:val="0A30754F"/>
    <w:rsid w:val="0B720962"/>
    <w:rsid w:val="0B7E05DA"/>
    <w:rsid w:val="0CF37CD1"/>
    <w:rsid w:val="0DC95965"/>
    <w:rsid w:val="0DD04E82"/>
    <w:rsid w:val="0E7D59B1"/>
    <w:rsid w:val="0FE01D76"/>
    <w:rsid w:val="10526A7D"/>
    <w:rsid w:val="10DC7C10"/>
    <w:rsid w:val="114716A4"/>
    <w:rsid w:val="11B91375"/>
    <w:rsid w:val="12472FA8"/>
    <w:rsid w:val="124B2786"/>
    <w:rsid w:val="12CD00AD"/>
    <w:rsid w:val="12E37CCD"/>
    <w:rsid w:val="13706D81"/>
    <w:rsid w:val="13D53F3C"/>
    <w:rsid w:val="150B4F8B"/>
    <w:rsid w:val="15A74230"/>
    <w:rsid w:val="165B6149"/>
    <w:rsid w:val="168A6255"/>
    <w:rsid w:val="17FB7BC2"/>
    <w:rsid w:val="182749BB"/>
    <w:rsid w:val="18CE6776"/>
    <w:rsid w:val="194B53C3"/>
    <w:rsid w:val="19865045"/>
    <w:rsid w:val="19C360C0"/>
    <w:rsid w:val="1B094849"/>
    <w:rsid w:val="1B475F0C"/>
    <w:rsid w:val="1BA07E35"/>
    <w:rsid w:val="1C002799"/>
    <w:rsid w:val="1CF21CAD"/>
    <w:rsid w:val="1DB260F6"/>
    <w:rsid w:val="1EB51F70"/>
    <w:rsid w:val="1EDE2E8E"/>
    <w:rsid w:val="1F030D26"/>
    <w:rsid w:val="23717D44"/>
    <w:rsid w:val="23D85D6A"/>
    <w:rsid w:val="259B1490"/>
    <w:rsid w:val="263C1645"/>
    <w:rsid w:val="2673649D"/>
    <w:rsid w:val="26D52AC9"/>
    <w:rsid w:val="26E27CBF"/>
    <w:rsid w:val="28E771D3"/>
    <w:rsid w:val="28EE4F63"/>
    <w:rsid w:val="29321425"/>
    <w:rsid w:val="293805A9"/>
    <w:rsid w:val="29D13C52"/>
    <w:rsid w:val="2B0753F1"/>
    <w:rsid w:val="2B7F0190"/>
    <w:rsid w:val="2C7D275B"/>
    <w:rsid w:val="2C81465A"/>
    <w:rsid w:val="2CB26DAE"/>
    <w:rsid w:val="2CE35D2B"/>
    <w:rsid w:val="2D024EFC"/>
    <w:rsid w:val="2D486845"/>
    <w:rsid w:val="2DBF666E"/>
    <w:rsid w:val="2E2924E5"/>
    <w:rsid w:val="2ED86045"/>
    <w:rsid w:val="305F20CD"/>
    <w:rsid w:val="3084704A"/>
    <w:rsid w:val="31812204"/>
    <w:rsid w:val="31AE33DD"/>
    <w:rsid w:val="31D63CCE"/>
    <w:rsid w:val="31F7500E"/>
    <w:rsid w:val="32075A51"/>
    <w:rsid w:val="3268103C"/>
    <w:rsid w:val="33837CCD"/>
    <w:rsid w:val="342C20F0"/>
    <w:rsid w:val="35E031CB"/>
    <w:rsid w:val="36C83B5B"/>
    <w:rsid w:val="371846EB"/>
    <w:rsid w:val="389D3EEB"/>
    <w:rsid w:val="38E8779F"/>
    <w:rsid w:val="38F25BF6"/>
    <w:rsid w:val="391973B2"/>
    <w:rsid w:val="39343E42"/>
    <w:rsid w:val="39392C52"/>
    <w:rsid w:val="39C3693E"/>
    <w:rsid w:val="3AE0404A"/>
    <w:rsid w:val="3AF55BEC"/>
    <w:rsid w:val="3B2E0520"/>
    <w:rsid w:val="3C604424"/>
    <w:rsid w:val="3D0B69B3"/>
    <w:rsid w:val="3D2859E1"/>
    <w:rsid w:val="3D382E04"/>
    <w:rsid w:val="3DB139E2"/>
    <w:rsid w:val="3E082C44"/>
    <w:rsid w:val="3E8113AA"/>
    <w:rsid w:val="3EAC73C3"/>
    <w:rsid w:val="3F354819"/>
    <w:rsid w:val="3F774E2D"/>
    <w:rsid w:val="3FB63D97"/>
    <w:rsid w:val="3FE00E99"/>
    <w:rsid w:val="400105D0"/>
    <w:rsid w:val="406F3C70"/>
    <w:rsid w:val="40A455F3"/>
    <w:rsid w:val="41D909FC"/>
    <w:rsid w:val="426941D9"/>
    <w:rsid w:val="426E1D89"/>
    <w:rsid w:val="42B2123B"/>
    <w:rsid w:val="445E5160"/>
    <w:rsid w:val="450807E3"/>
    <w:rsid w:val="4512062D"/>
    <w:rsid w:val="45F44439"/>
    <w:rsid w:val="46241B86"/>
    <w:rsid w:val="46CC723B"/>
    <w:rsid w:val="47A23C8C"/>
    <w:rsid w:val="485D1DB9"/>
    <w:rsid w:val="486D22F7"/>
    <w:rsid w:val="48772E9A"/>
    <w:rsid w:val="48E5412E"/>
    <w:rsid w:val="4BA76534"/>
    <w:rsid w:val="4D0379AB"/>
    <w:rsid w:val="4E0005F2"/>
    <w:rsid w:val="4E215359"/>
    <w:rsid w:val="4E634C15"/>
    <w:rsid w:val="4EA530C5"/>
    <w:rsid w:val="4ECC7F2F"/>
    <w:rsid w:val="4F055D81"/>
    <w:rsid w:val="4FE71AF7"/>
    <w:rsid w:val="51B70764"/>
    <w:rsid w:val="51BE0AD4"/>
    <w:rsid w:val="51F27391"/>
    <w:rsid w:val="52D048A1"/>
    <w:rsid w:val="5301759E"/>
    <w:rsid w:val="539D4191"/>
    <w:rsid w:val="53CD7C59"/>
    <w:rsid w:val="55594407"/>
    <w:rsid w:val="56895698"/>
    <w:rsid w:val="56AE4287"/>
    <w:rsid w:val="56FE71D8"/>
    <w:rsid w:val="5724125C"/>
    <w:rsid w:val="57CA17BA"/>
    <w:rsid w:val="57E717A3"/>
    <w:rsid w:val="5878731F"/>
    <w:rsid w:val="58C35687"/>
    <w:rsid w:val="5990599A"/>
    <w:rsid w:val="59AA0A1C"/>
    <w:rsid w:val="59D21627"/>
    <w:rsid w:val="5AA67C25"/>
    <w:rsid w:val="5B5E149A"/>
    <w:rsid w:val="5BEF03CA"/>
    <w:rsid w:val="5DAF04B5"/>
    <w:rsid w:val="5DD10A3A"/>
    <w:rsid w:val="5DE43D13"/>
    <w:rsid w:val="5EE529E6"/>
    <w:rsid w:val="5F7928C2"/>
    <w:rsid w:val="61E25E0F"/>
    <w:rsid w:val="63650D6E"/>
    <w:rsid w:val="63CB2510"/>
    <w:rsid w:val="640743EC"/>
    <w:rsid w:val="64AD6E4F"/>
    <w:rsid w:val="658C4BDD"/>
    <w:rsid w:val="65A24347"/>
    <w:rsid w:val="664C500D"/>
    <w:rsid w:val="666A3E9B"/>
    <w:rsid w:val="667A538B"/>
    <w:rsid w:val="6687622E"/>
    <w:rsid w:val="6690582B"/>
    <w:rsid w:val="671C3829"/>
    <w:rsid w:val="671F63F1"/>
    <w:rsid w:val="6806464A"/>
    <w:rsid w:val="68572524"/>
    <w:rsid w:val="685C44AC"/>
    <w:rsid w:val="69F37206"/>
    <w:rsid w:val="6A1A396C"/>
    <w:rsid w:val="6AD6473B"/>
    <w:rsid w:val="6C185FB0"/>
    <w:rsid w:val="6D110158"/>
    <w:rsid w:val="6D63315E"/>
    <w:rsid w:val="6EDA33A0"/>
    <w:rsid w:val="6FBA3DB9"/>
    <w:rsid w:val="6FC751DA"/>
    <w:rsid w:val="700F7115"/>
    <w:rsid w:val="70124900"/>
    <w:rsid w:val="7047162B"/>
    <w:rsid w:val="704C6444"/>
    <w:rsid w:val="70A1797D"/>
    <w:rsid w:val="70AC6079"/>
    <w:rsid w:val="71D827DD"/>
    <w:rsid w:val="71E80EDE"/>
    <w:rsid w:val="7200671A"/>
    <w:rsid w:val="725F0112"/>
    <w:rsid w:val="72C53159"/>
    <w:rsid w:val="731C610D"/>
    <w:rsid w:val="73CA27E9"/>
    <w:rsid w:val="74A369E2"/>
    <w:rsid w:val="74FB60DA"/>
    <w:rsid w:val="765922A3"/>
    <w:rsid w:val="76DD0A39"/>
    <w:rsid w:val="77943844"/>
    <w:rsid w:val="77B90402"/>
    <w:rsid w:val="78627508"/>
    <w:rsid w:val="78BC0047"/>
    <w:rsid w:val="794A6271"/>
    <w:rsid w:val="795A22D8"/>
    <w:rsid w:val="799330F8"/>
    <w:rsid w:val="7A0B65E0"/>
    <w:rsid w:val="7A196882"/>
    <w:rsid w:val="7A2D2F74"/>
    <w:rsid w:val="7A3462D0"/>
    <w:rsid w:val="7A844160"/>
    <w:rsid w:val="7AE62132"/>
    <w:rsid w:val="7B6B6088"/>
    <w:rsid w:val="7C322441"/>
    <w:rsid w:val="7C6502CD"/>
    <w:rsid w:val="7D4D02F9"/>
    <w:rsid w:val="7DA70544"/>
    <w:rsid w:val="7DDF0193"/>
    <w:rsid w:val="7FB02265"/>
    <w:rsid w:val="7FD760EE"/>
    <w:rsid w:val="7FEF15C2"/>
  </w:rsids>
  <m:mathPr>
    <m:lMargin m:val="0"/>
    <m:mathFont m:val="Cambria Math"/>
    <m:rMargin m:val="0"/>
    <m:wrapIndent m:val="1440"/>
    <m:brkBin m:val="before"/>
    <m:brkBinSub m:val="--"/>
    <m:defJc m:val="centerGroup"/>
    <m:intLim m:val="subSup"/>
    <m:naryLim m:val="undOvr"/>
    <m:smallFrac m:val="0"/>
    <m:dispDef/>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0"/>
      <w:sz w:val="21"/>
      <w:szCs w:val="24"/>
      <w:lang w:val="en-US" w:eastAsia="zh-CN" w:bidi="ar-SA"/>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rFonts w:ascii="Calibri" w:hAnsi="Calibri"/>
      <w:kern w:val="2"/>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rFonts w:ascii="Calibri" w:hAnsi="Calibri"/>
      <w:kern w:val="2"/>
      <w:sz w:val="18"/>
      <w:szCs w:val="18"/>
    </w:rPr>
  </w:style>
  <w:style w:type="paragraph" w:styleId="4">
    <w:name w:val="Normal (Web)"/>
    <w:basedOn w:val="1"/>
    <w:qFormat/>
    <w:uiPriority w:val="99"/>
    <w:pPr>
      <w:widowControl/>
      <w:spacing w:before="100" w:beforeAutospacing="1" w:after="240"/>
      <w:jc w:val="left"/>
    </w:pPr>
    <w:rPr>
      <w:rFonts w:ascii="宋体" w:hAnsi="宋体" w:cs="宋体"/>
      <w:sz w:val="24"/>
    </w:rPr>
  </w:style>
  <w:style w:type="character" w:styleId="6">
    <w:name w:val="page number"/>
    <w:basedOn w:val="5"/>
    <w:qFormat/>
    <w:uiPriority w:val="99"/>
    <w:rPr>
      <w:rFonts w:cs="Times New Roman"/>
    </w:rPr>
  </w:style>
  <w:style w:type="character" w:customStyle="1" w:styleId="8">
    <w:name w:val="页眉 Char"/>
    <w:basedOn w:val="5"/>
    <w:link w:val="3"/>
    <w:qFormat/>
    <w:locked/>
    <w:uiPriority w:val="99"/>
    <w:rPr>
      <w:rFonts w:cs="Times New Roman"/>
      <w:sz w:val="18"/>
      <w:szCs w:val="18"/>
    </w:rPr>
  </w:style>
  <w:style w:type="character" w:customStyle="1" w:styleId="9">
    <w:name w:val="页脚 Char"/>
    <w:basedOn w:val="5"/>
    <w:link w:val="2"/>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14</Pages>
  <Words>895</Words>
  <Characters>5103</Characters>
  <Lines>42</Lines>
  <Paragraphs>11</Paragraphs>
  <ScaleCrop>false</ScaleCrop>
  <LinksUpToDate>false</LinksUpToDate>
  <CharactersWithSpaces>5987</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2018-07-14T13:07:00Z</dcterms:created>
  <dc:creator>董志强</dc:creator>
  <cp:lastModifiedBy>Administrator</cp:lastModifiedBy>
  <dcterms:modified xsi:type="dcterms:W3CDTF">2018-04-30T06:54:09Z</dcterms:modified>
  <cp:revision>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