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005C" w:rsidRDefault="004B005C">
      <w:pPr>
        <w:jc w:val="center"/>
        <w:rPr>
          <w:rFonts w:ascii="宋体" w:cs="宋体"/>
          <w:sz w:val="44"/>
          <w:szCs w:val="44"/>
        </w:rPr>
      </w:pPr>
      <w:r>
        <w:rPr>
          <w:rFonts w:ascii="宋体" w:hAnsi="宋体" w:cs="宋体"/>
          <w:sz w:val="44"/>
          <w:szCs w:val="44"/>
        </w:rPr>
        <w:t>2015</w:t>
      </w:r>
      <w:r>
        <w:rPr>
          <w:rFonts w:ascii="宋体" w:hAnsi="宋体" w:cs="宋体" w:hint="eastAsia"/>
          <w:sz w:val="44"/>
          <w:szCs w:val="44"/>
        </w:rPr>
        <w:t>年喀什地区塔什库尔干县人力资源和社会保障局部门决算说明</w:t>
      </w:r>
    </w:p>
    <w:p w:rsidR="004B005C" w:rsidRDefault="004B005C">
      <w:pPr>
        <w:spacing w:line="560" w:lineRule="exact"/>
        <w:jc w:val="center"/>
        <w:rPr>
          <w:rFonts w:ascii="仿宋_GB2312" w:eastAsia="仿宋_GB2312" w:hAnsi="宋体"/>
          <w:b/>
          <w:bCs/>
          <w:sz w:val="32"/>
          <w:szCs w:val="32"/>
        </w:rPr>
      </w:pPr>
    </w:p>
    <w:p w:rsidR="004B005C" w:rsidRDefault="004B005C">
      <w:pPr>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第一部分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bCs/>
          <w:sz w:val="32"/>
          <w:szCs w:val="32"/>
        </w:rPr>
        <w:t>单位概述</w:t>
      </w:r>
    </w:p>
    <w:p w:rsidR="004B005C" w:rsidRDefault="004B005C">
      <w:pPr>
        <w:spacing w:line="560" w:lineRule="exact"/>
        <w:ind w:firstLineChars="200" w:firstLine="640"/>
        <w:rPr>
          <w:rFonts w:ascii="仿宋_GB2312" w:eastAsia="仿宋_GB2312" w:hAnsi="仿宋_GB2312" w:cs="仿宋_GB2312"/>
          <w:sz w:val="32"/>
          <w:szCs w:val="32"/>
        </w:rPr>
      </w:pPr>
      <w:bookmarkStart w:id="0" w:name="OLE_LINK1"/>
      <w:r>
        <w:rPr>
          <w:rFonts w:ascii="仿宋_GB2312" w:eastAsia="仿宋_GB2312" w:hAnsi="仿宋_GB2312" w:cs="仿宋_GB2312" w:hint="eastAsia"/>
          <w:sz w:val="32"/>
          <w:szCs w:val="32"/>
        </w:rPr>
        <w:t>塔什库尔干县</w:t>
      </w:r>
      <w:bookmarkEnd w:id="0"/>
      <w:r>
        <w:rPr>
          <w:rFonts w:ascii="仿宋_GB2312" w:eastAsia="仿宋_GB2312" w:hAnsi="仿宋_GB2312" w:cs="仿宋_GB2312" w:hint="eastAsia"/>
          <w:sz w:val="32"/>
          <w:szCs w:val="32"/>
        </w:rPr>
        <w:t>人力资源和社会保障局单位性质为行政单位全额拨款，执行会计制度为行政会计制度。独立编制机构</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个，独立编制机构与上年无变动。</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主要职能：负责全县机关、事业单位人事制度改革；负责全县机关、事业单位的转业军官安置；管理全县专业技术人员和专业技术队伍建设工作；负责管理全县专业技术人员的职称工作；依法对全县国家公务员进行综合管理；负责全县机关、事业单位的工资制度改革和工资福利、离退休工作；负责公务员、专业技术人员、技术工的培训、考核工作。</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负责管理全县基本医疗保险、工伤保险、女职工生育保险的扩面登记、申报缴费、基金管理运行以及定点医疗机构、定点零售药店稽核公布等工作。</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承担全县企业职工、灵活就业人员、城镇居民基本养老保险费的收缴、管理和离退休人员养老金的发放及社会化管理服务工作。</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负责公务员录用、事业单位工作人员招聘等人事考试考务工作；负责职称考试、外语考试和计算机等级考试工作。</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贯彻执行国家关于机关事业单位养老保险制度改革的方针、政策；负责养老保险基金的筹集、给付、管理。</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负责全县各类企业、事业单位、私营企业、民办非企业、个体工商户和属地管理的大中型企业及其职工的失业保险的参保、审核、征缴工作；负责失业人员的登记、审核、管理、调查、统计工作。</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负责新农保基金的征缴、管理、发放工作；负责新农保待遇领取人员的资格审查认定，核算养老金给付标准和拨付养老金。</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对各类用工单位贯彻执行劳动保障法律、法规和规章进行监督检查；依法纠正和查处违反劳动保障法律、法规和规章的行为。</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负责职业供求信息、县场工资指导价位信息和职业信息的发布；负责职业指导和职业介绍；负责对就业困难人员实施就业援助。</w:t>
      </w:r>
      <w:r>
        <w:rPr>
          <w:rFonts w:ascii="仿宋_GB2312" w:eastAsia="仿宋_GB2312" w:hAnsi="仿宋_GB2312" w:cs="仿宋_GB2312"/>
          <w:sz w:val="32"/>
          <w:szCs w:val="32"/>
        </w:rPr>
        <w:br/>
      </w:r>
      <w:r>
        <w:rPr>
          <w:rFonts w:ascii="仿宋_GB2312" w:eastAsia="仿宋_GB2312" w:hAnsi="仿宋_GB2312" w:cs="仿宋_GB2312" w:hint="eastAsia"/>
          <w:sz w:val="32"/>
          <w:szCs w:val="32"/>
        </w:rPr>
        <w:t xml:space="preserve">　　负责全县下岗失业职工再就业培训；职业技能鉴定培训和劳动预备役培训；组织技能鉴定考核、承报办证；负责企业及用人单位职工教育培训和指导；负责社会民办培训机构的审查、报批和管理工作。</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二、机构人员情况：编制</w:t>
      </w:r>
      <w:r>
        <w:rPr>
          <w:rFonts w:ascii="仿宋_GB2312" w:eastAsia="仿宋_GB2312" w:hAnsi="仿宋_GB2312" w:cs="仿宋_GB2312"/>
          <w:sz w:val="32"/>
          <w:szCs w:val="32"/>
        </w:rPr>
        <w:t>81</w:t>
      </w:r>
      <w:r>
        <w:rPr>
          <w:rFonts w:ascii="仿宋_GB2312" w:eastAsia="仿宋_GB2312" w:hAnsi="仿宋_GB2312" w:cs="仿宋_GB2312" w:hint="eastAsia"/>
          <w:sz w:val="32"/>
          <w:szCs w:val="32"/>
        </w:rPr>
        <w:t>人（按照编委文件填报），实有在职人数</w:t>
      </w:r>
      <w:r>
        <w:rPr>
          <w:rFonts w:ascii="仿宋_GB2312" w:eastAsia="仿宋_GB2312" w:hAnsi="仿宋_GB2312" w:cs="仿宋_GB2312"/>
          <w:sz w:val="32"/>
          <w:szCs w:val="32"/>
        </w:rPr>
        <w:t>102</w:t>
      </w:r>
      <w:r>
        <w:rPr>
          <w:rFonts w:ascii="仿宋_GB2312" w:eastAsia="仿宋_GB2312" w:hAnsi="仿宋_GB2312" w:cs="仿宋_GB2312" w:hint="eastAsia"/>
          <w:sz w:val="32"/>
          <w:szCs w:val="32"/>
        </w:rPr>
        <w:t>人，退休</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人，属于一般公共预算财政拨款开支</w:t>
      </w:r>
      <w:r>
        <w:rPr>
          <w:rFonts w:ascii="仿宋_GB2312" w:eastAsia="仿宋_GB2312" w:hAnsi="仿宋_GB2312" w:cs="仿宋_GB2312"/>
          <w:sz w:val="32"/>
          <w:szCs w:val="32"/>
        </w:rPr>
        <w:t>23</w:t>
      </w:r>
      <w:r>
        <w:rPr>
          <w:rFonts w:ascii="仿宋_GB2312" w:eastAsia="仿宋_GB2312" w:hAnsi="仿宋_GB2312" w:cs="仿宋_GB2312" w:hint="eastAsia"/>
          <w:sz w:val="32"/>
          <w:szCs w:val="32"/>
        </w:rPr>
        <w:t>人，其中：在职</w:t>
      </w:r>
      <w:r>
        <w:rPr>
          <w:rFonts w:ascii="仿宋_GB2312" w:eastAsia="仿宋_GB2312" w:hAnsi="仿宋_GB2312" w:cs="仿宋_GB2312"/>
          <w:sz w:val="32"/>
          <w:szCs w:val="32"/>
        </w:rPr>
        <w:t xml:space="preserve"> 15</w:t>
      </w:r>
      <w:r>
        <w:rPr>
          <w:rFonts w:ascii="仿宋_GB2312" w:eastAsia="仿宋_GB2312" w:hAnsi="仿宋_GB2312" w:cs="仿宋_GB2312" w:hint="eastAsia"/>
          <w:sz w:val="32"/>
          <w:szCs w:val="32"/>
        </w:rPr>
        <w:t>人，退休</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人。属于一般公共预算财政拨款（补助）开支</w:t>
      </w:r>
      <w:r>
        <w:rPr>
          <w:rFonts w:ascii="仿宋_GB2312" w:eastAsia="仿宋_GB2312" w:hAnsi="仿宋_GB2312" w:cs="仿宋_GB2312"/>
          <w:sz w:val="32"/>
          <w:szCs w:val="32"/>
        </w:rPr>
        <w:t>91</w:t>
      </w:r>
      <w:r>
        <w:rPr>
          <w:rFonts w:ascii="仿宋_GB2312" w:eastAsia="仿宋_GB2312" w:hAnsi="仿宋_GB2312" w:cs="仿宋_GB2312" w:hint="eastAsia"/>
          <w:sz w:val="32"/>
          <w:szCs w:val="32"/>
        </w:rPr>
        <w:t>人，其中：在职</w:t>
      </w:r>
      <w:r>
        <w:rPr>
          <w:rFonts w:ascii="仿宋_GB2312" w:eastAsia="仿宋_GB2312" w:hAnsi="仿宋_GB2312" w:cs="仿宋_GB2312"/>
          <w:sz w:val="32"/>
          <w:szCs w:val="32"/>
        </w:rPr>
        <w:t>87</w:t>
      </w:r>
      <w:r>
        <w:rPr>
          <w:rFonts w:ascii="仿宋_GB2312" w:eastAsia="仿宋_GB2312" w:hAnsi="仿宋_GB2312" w:cs="仿宋_GB2312" w:hint="eastAsia"/>
          <w:sz w:val="32"/>
          <w:szCs w:val="32"/>
        </w:rPr>
        <w:t>人，退休</w:t>
      </w:r>
      <w:r>
        <w:rPr>
          <w:rFonts w:ascii="仿宋_GB2312" w:eastAsia="仿宋_GB2312" w:hAnsi="仿宋_GB2312" w:cs="仿宋_GB2312"/>
          <w:sz w:val="32"/>
          <w:szCs w:val="32"/>
        </w:rPr>
        <w:t>4</w:t>
      </w:r>
      <w:r>
        <w:rPr>
          <w:rFonts w:ascii="仿宋_GB2312" w:eastAsia="仿宋_GB2312" w:hAnsi="仿宋_GB2312" w:cs="仿宋_GB2312" w:hint="eastAsia"/>
          <w:sz w:val="32"/>
          <w:szCs w:val="32"/>
        </w:rPr>
        <w:t>人。</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三、决算单位构成</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纳入人塔什库尔干县人力资源和社会保障局</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年部门决算编制范围的单位名单见下表：</w:t>
      </w:r>
    </w:p>
    <w:tbl>
      <w:tblPr>
        <w:tblW w:w="85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7"/>
        <w:gridCol w:w="6450"/>
        <w:gridCol w:w="1075"/>
      </w:tblGrid>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序号</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 xml:space="preserve">         </w:t>
            </w:r>
            <w:r>
              <w:rPr>
                <w:rFonts w:ascii="仿宋_GB2312" w:eastAsia="仿宋_GB2312" w:hAnsi="仿宋_GB2312" w:cs="仿宋_GB2312" w:hint="eastAsia"/>
                <w:sz w:val="32"/>
                <w:szCs w:val="32"/>
              </w:rPr>
              <w:t>单位名称</w:t>
            </w:r>
          </w:p>
        </w:tc>
        <w:tc>
          <w:tcPr>
            <w:tcW w:w="1075"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备注</w:t>
            </w: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塔什库尔干县人事局</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2</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塔什库尔干县劳动劳动监察大队</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3</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塔什库尔干县塔什库尔干镇劳动保障站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4</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塔什库尔干县柯克亚乡劳动保障站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5</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塔什库尔干县塔合曼乡劳动保障站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6</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塔什库尔干县提孜那甫乡劳动保障站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7</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塔什库尔干县塔干乡乡劳动保障站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8</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塔什库尔干县达布达尔乡劳动保障站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9</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塔什库尔干县麻扎种羊场劳动保障站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10</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塔什库尔干县班迪尔乡劳动保障站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11</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塔什库尔干县瓦恰乡乡劳动保障站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12</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塔什库尔干县马尔洋乡劳动保障站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13</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塔什库尔干县库克西力克乡劳动保障站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14</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塔什库尔干县大同乡劳动保障站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r w:rsidR="004B005C">
        <w:tc>
          <w:tcPr>
            <w:tcW w:w="997"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15</w:t>
            </w:r>
          </w:p>
        </w:tc>
        <w:tc>
          <w:tcPr>
            <w:tcW w:w="6450" w:type="dxa"/>
          </w:tcPr>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塔什库尔干县塔吉克阿巴提镇劳动保障站</w:t>
            </w:r>
          </w:p>
        </w:tc>
        <w:tc>
          <w:tcPr>
            <w:tcW w:w="1075" w:type="dxa"/>
          </w:tcPr>
          <w:p w:rsidR="004B005C" w:rsidRDefault="004B005C">
            <w:pPr>
              <w:spacing w:line="560" w:lineRule="exact"/>
              <w:rPr>
                <w:rFonts w:ascii="仿宋_GB2312" w:eastAsia="仿宋_GB2312" w:hAnsi="仿宋_GB2312" w:cs="仿宋_GB2312"/>
                <w:sz w:val="32"/>
                <w:szCs w:val="32"/>
              </w:rPr>
            </w:pPr>
          </w:p>
        </w:tc>
      </w:tr>
    </w:tbl>
    <w:p w:rsidR="004B005C" w:rsidRDefault="004B005C">
      <w:pPr>
        <w:snapToGrid w:val="0"/>
        <w:spacing w:line="560" w:lineRule="exact"/>
        <w:rPr>
          <w:rFonts w:ascii="仿宋_GB2312" w:eastAsia="仿宋_GB2312" w:hAnsi="仿宋_GB2312" w:cs="仿宋_GB2312"/>
          <w:b/>
          <w:bCs/>
          <w:sz w:val="32"/>
          <w:szCs w:val="32"/>
        </w:rPr>
      </w:pPr>
      <w:bookmarkStart w:id="1" w:name="YS060102"/>
    </w:p>
    <w:p w:rsidR="004B005C" w:rsidRDefault="004B005C">
      <w:pPr>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第二部分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sz w:val="32"/>
          <w:szCs w:val="32"/>
        </w:rPr>
        <w:t>人塔什库尔干县人力资源和社会保障局</w:t>
      </w:r>
      <w:r>
        <w:rPr>
          <w:rFonts w:ascii="仿宋_GB2312" w:eastAsia="仿宋_GB2312" w:hAnsi="仿宋_GB2312" w:cs="仿宋_GB2312"/>
          <w:b/>
          <w:bCs/>
          <w:sz w:val="32"/>
          <w:szCs w:val="32"/>
        </w:rPr>
        <w:t>2015</w:t>
      </w:r>
      <w:r>
        <w:rPr>
          <w:rFonts w:ascii="仿宋_GB2312" w:eastAsia="仿宋_GB2312" w:hAnsi="仿宋_GB2312" w:cs="仿宋_GB2312" w:hint="eastAsia"/>
          <w:b/>
          <w:bCs/>
          <w:sz w:val="32"/>
          <w:szCs w:val="32"/>
        </w:rPr>
        <w:t>年度部门决算报表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一、收入支出决算总表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二、财政拨款收入支出决算总表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三、收入支出决算表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四、收入决算表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五、支出决算表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六、支出决算明细表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七、基本支出决算明细表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八、项目支出决算明细表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九、项目收入支出决算表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十、行政事业类项目收入支出决算表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十一、基本建设类项目收入支出决算表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十二、一般公共预算财政拨款收入支出决算表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十三、一般公共预算财政拨款支出决算明细表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十四、一般公共预算财政拨款基本支出决算表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十五、一般公共预算财政拨款项目支出决算表</w:t>
      </w:r>
      <w:r w:rsidRPr="00871B42">
        <w:rPr>
          <w:rFonts w:ascii="仿宋_GB2312" w:eastAsia="仿宋_GB2312" w:hAnsi="仿宋_GB2312" w:cs="仿宋_GB2312"/>
          <w:sz w:val="32"/>
          <w:szCs w:val="32"/>
        </w:rPr>
        <w:t xml:space="preserve"> </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十六、政府性基金预算财政拨款收入支出决算表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十七、政府性基金预算财政拨款支出决算明细表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十八、政府性基金预算财政拨款基本支出决算明细表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十九、政府性基金预算财政拨款项目支出决算明细表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二十、财政专户管理资金收入支出决算表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二十一、资产负债表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二十二、部门决算相关信息统计表</w:t>
      </w:r>
    </w:p>
    <w:p w:rsidR="004B005C" w:rsidRPr="00871B42" w:rsidRDefault="004B005C" w:rsidP="00871B42">
      <w:pPr>
        <w:snapToGrid w:val="0"/>
        <w:spacing w:line="560" w:lineRule="exact"/>
        <w:ind w:firstLineChars="200" w:firstLine="640"/>
        <w:rPr>
          <w:rFonts w:ascii="仿宋_GB2312" w:eastAsia="仿宋_GB2312" w:hAnsi="仿宋_GB2312" w:cs="仿宋_GB2312"/>
          <w:sz w:val="32"/>
          <w:szCs w:val="32"/>
        </w:rPr>
      </w:pPr>
      <w:r w:rsidRPr="00871B42">
        <w:rPr>
          <w:rFonts w:ascii="仿宋_GB2312" w:eastAsia="仿宋_GB2312" w:hAnsi="仿宋_GB2312" w:cs="仿宋_GB2312" w:hint="eastAsia"/>
          <w:sz w:val="32"/>
          <w:szCs w:val="32"/>
        </w:rPr>
        <w:t>二十三、政府采购情况表</w:t>
      </w:r>
    </w:p>
    <w:p w:rsidR="004B005C" w:rsidRDefault="004B005C" w:rsidP="00871B42">
      <w:pPr>
        <w:snapToGrid w:val="0"/>
        <w:spacing w:line="560" w:lineRule="exact"/>
        <w:ind w:firstLineChars="200" w:firstLine="640"/>
        <w:rPr>
          <w:rFonts w:ascii="仿宋_GB2312" w:eastAsia="仿宋_GB2312" w:hAnsi="仿宋_GB2312" w:cs="仿宋_GB2312"/>
          <w:b/>
          <w:bCs/>
          <w:sz w:val="32"/>
          <w:szCs w:val="32"/>
        </w:rPr>
      </w:pPr>
      <w:r w:rsidRPr="00871B42">
        <w:rPr>
          <w:rFonts w:ascii="仿宋_GB2312" w:eastAsia="仿宋_GB2312" w:hAnsi="仿宋_GB2312" w:cs="仿宋_GB2312" w:hint="eastAsia"/>
          <w:sz w:val="32"/>
          <w:szCs w:val="32"/>
        </w:rPr>
        <w:t>二十四、</w:t>
      </w:r>
      <w:r w:rsidRPr="00871B42">
        <w:rPr>
          <w:rFonts w:ascii="仿宋_GB2312" w:eastAsia="仿宋_GB2312" w:hAnsi="仿宋_GB2312" w:cs="仿宋_GB2312"/>
          <w:sz w:val="32"/>
          <w:szCs w:val="32"/>
        </w:rPr>
        <w:t>2015</w:t>
      </w:r>
      <w:r w:rsidRPr="00871B42">
        <w:rPr>
          <w:rFonts w:ascii="仿宋_GB2312" w:eastAsia="仿宋_GB2312" w:hAnsi="仿宋_GB2312" w:cs="仿宋_GB2312" w:hint="eastAsia"/>
          <w:sz w:val="32"/>
          <w:szCs w:val="32"/>
        </w:rPr>
        <w:t>年度财政拨款“三公”经费支出表及说明</w:t>
      </w:r>
      <w:r w:rsidRPr="00871B42">
        <w:rPr>
          <w:rFonts w:ascii="仿宋_GB2312" w:eastAsia="仿宋_GB2312" w:hAnsi="仿宋_GB2312" w:cs="仿宋_GB2312"/>
          <w:sz w:val="32"/>
          <w:szCs w:val="32"/>
        </w:rPr>
        <w:t xml:space="preserve"> </w:t>
      </w:r>
      <w:r>
        <w:rPr>
          <w:rFonts w:ascii="仿宋_GB2312" w:eastAsia="仿宋_GB2312" w:hAnsi="仿宋_GB2312" w:cs="仿宋_GB2312"/>
          <w:sz w:val="32"/>
          <w:szCs w:val="32"/>
        </w:rPr>
        <w:t xml:space="preserve"> </w:t>
      </w:r>
    </w:p>
    <w:p w:rsidR="004B005C" w:rsidRDefault="004B005C">
      <w:pPr>
        <w:snapToGrid w:val="0"/>
        <w:spacing w:line="560" w:lineRule="exact"/>
        <w:ind w:firstLineChars="200" w:firstLine="643"/>
        <w:rPr>
          <w:rFonts w:ascii="仿宋_GB2312" w:eastAsia="仿宋_GB2312" w:hAnsi="仿宋_GB2312" w:cs="仿宋_GB2312"/>
          <w:b/>
          <w:bCs/>
          <w:sz w:val="32"/>
          <w:szCs w:val="32"/>
        </w:rPr>
      </w:pPr>
    </w:p>
    <w:p w:rsidR="004B005C" w:rsidRDefault="004B005C">
      <w:pPr>
        <w:snapToGrid w:val="0"/>
        <w:spacing w:line="560" w:lineRule="exact"/>
        <w:ind w:firstLineChars="200" w:firstLine="643"/>
        <w:rPr>
          <w:rFonts w:ascii="仿宋_GB2312" w:eastAsia="仿宋_GB2312" w:hAnsi="仿宋_GB2312" w:cs="仿宋_GB2312"/>
          <w:b/>
          <w:bCs/>
          <w:sz w:val="32"/>
          <w:szCs w:val="32"/>
        </w:rPr>
      </w:pPr>
      <w:r>
        <w:rPr>
          <w:rFonts w:ascii="仿宋_GB2312" w:eastAsia="仿宋_GB2312" w:hAnsi="仿宋_GB2312" w:cs="仿宋_GB2312" w:hint="eastAsia"/>
          <w:b/>
          <w:bCs/>
          <w:sz w:val="32"/>
          <w:szCs w:val="32"/>
        </w:rPr>
        <w:t>第三部分</w:t>
      </w:r>
      <w:r>
        <w:rPr>
          <w:rFonts w:ascii="仿宋_GB2312" w:eastAsia="仿宋_GB2312" w:hAnsi="仿宋_GB2312" w:cs="仿宋_GB2312"/>
          <w:b/>
          <w:bCs/>
          <w:sz w:val="32"/>
          <w:szCs w:val="32"/>
        </w:rPr>
        <w:t xml:space="preserve">   </w:t>
      </w:r>
      <w:r>
        <w:rPr>
          <w:rFonts w:ascii="仿宋_GB2312" w:eastAsia="仿宋_GB2312" w:hAnsi="仿宋_GB2312" w:cs="仿宋_GB2312" w:hint="eastAsia"/>
          <w:b/>
          <w:sz w:val="32"/>
          <w:szCs w:val="32"/>
        </w:rPr>
        <w:t>人塔什库尔干县人力资源和社会保障局</w:t>
      </w:r>
      <w:r>
        <w:rPr>
          <w:rFonts w:ascii="仿宋_GB2312" w:eastAsia="仿宋_GB2312" w:hAnsi="仿宋_GB2312" w:cs="仿宋_GB2312"/>
          <w:b/>
          <w:bCs/>
          <w:sz w:val="32"/>
          <w:szCs w:val="32"/>
        </w:rPr>
        <w:t>2015</w:t>
      </w:r>
      <w:r>
        <w:rPr>
          <w:rFonts w:ascii="仿宋_GB2312" w:eastAsia="仿宋_GB2312" w:hAnsi="仿宋_GB2312" w:cs="仿宋_GB2312" w:hint="eastAsia"/>
          <w:b/>
          <w:bCs/>
          <w:sz w:val="32"/>
          <w:szCs w:val="32"/>
        </w:rPr>
        <w:t>年度部门决算情况说明</w:t>
      </w:r>
    </w:p>
    <w:p w:rsidR="004B005C" w:rsidRDefault="004B005C">
      <w:pPr>
        <w:snapToGrid w:val="0"/>
        <w:spacing w:line="560" w:lineRule="exact"/>
        <w:ind w:leftChars="71" w:left="149"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一、部门收入支出决算总体情况说明：</w:t>
      </w:r>
    </w:p>
    <w:p w:rsidR="004B005C" w:rsidRDefault="004B005C">
      <w:pPr>
        <w:snapToGrid w:val="0"/>
        <w:spacing w:line="560" w:lineRule="exact"/>
        <w:ind w:leftChars="71" w:left="149" w:firstLineChars="150" w:firstLine="48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年全年收入合计</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元，支出合计</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元，其中基本支出</w:t>
      </w:r>
      <w:r>
        <w:rPr>
          <w:rFonts w:ascii="仿宋_GB2312" w:eastAsia="仿宋_GB2312" w:hAnsi="仿宋_GB2312" w:cs="仿宋_GB2312"/>
          <w:sz w:val="32"/>
          <w:szCs w:val="32"/>
        </w:rPr>
        <w:t>10966043.33</w:t>
      </w:r>
      <w:r>
        <w:rPr>
          <w:rFonts w:ascii="仿宋_GB2312" w:eastAsia="仿宋_GB2312" w:hAnsi="仿宋_GB2312" w:cs="仿宋_GB2312" w:hint="eastAsia"/>
          <w:sz w:val="32"/>
          <w:szCs w:val="32"/>
        </w:rPr>
        <w:t>元，项目支出</w:t>
      </w:r>
      <w:r>
        <w:rPr>
          <w:rFonts w:ascii="仿宋_GB2312" w:eastAsia="仿宋_GB2312" w:hAnsi="仿宋_GB2312" w:cs="仿宋_GB2312"/>
          <w:sz w:val="32"/>
          <w:szCs w:val="32"/>
        </w:rPr>
        <w:t xml:space="preserve">   </w:t>
      </w:r>
      <w:bookmarkStart w:id="2" w:name="OLE_LINK2"/>
      <w:r>
        <w:rPr>
          <w:rFonts w:ascii="仿宋_GB2312" w:eastAsia="仿宋_GB2312" w:hAnsi="仿宋_GB2312" w:cs="仿宋_GB2312"/>
          <w:sz w:val="32"/>
          <w:szCs w:val="32"/>
        </w:rPr>
        <w:t>17864700</w:t>
      </w:r>
      <w:bookmarkEnd w:id="2"/>
      <w:r>
        <w:rPr>
          <w:rFonts w:ascii="仿宋_GB2312" w:eastAsia="仿宋_GB2312" w:hAnsi="仿宋_GB2312" w:cs="仿宋_GB2312" w:hint="eastAsia"/>
          <w:sz w:val="32"/>
          <w:szCs w:val="32"/>
        </w:rPr>
        <w:t>元。</w:t>
      </w:r>
    </w:p>
    <w:bookmarkEnd w:id="1"/>
    <w:p w:rsidR="004B005C" w:rsidRDefault="004B005C">
      <w:pPr>
        <w:numPr>
          <w:ilvl w:val="0"/>
          <w:numId w:val="2"/>
        </w:numPr>
        <w:snapToGrid w:val="0"/>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收入情况说明</w:t>
      </w:r>
    </w:p>
    <w:p w:rsidR="004B005C" w:rsidRDefault="004B005C">
      <w:pPr>
        <w:snapToGrid w:val="0"/>
        <w:spacing w:line="560" w:lineRule="exact"/>
        <w:ind w:leftChars="70" w:left="147" w:firstLineChars="150" w:firstLine="48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年本年收入合计</w:t>
      </w:r>
      <w:bookmarkStart w:id="3" w:name="OLE_LINK3"/>
      <w:r>
        <w:rPr>
          <w:rFonts w:ascii="仿宋_GB2312" w:eastAsia="仿宋_GB2312" w:hAnsi="仿宋_GB2312" w:cs="仿宋_GB2312"/>
          <w:sz w:val="32"/>
          <w:szCs w:val="32"/>
        </w:rPr>
        <w:t>28830743.33</w:t>
      </w:r>
      <w:bookmarkEnd w:id="3"/>
      <w:r>
        <w:rPr>
          <w:rFonts w:ascii="仿宋_GB2312" w:eastAsia="仿宋_GB2312" w:hAnsi="仿宋_GB2312" w:cs="仿宋_GB2312" w:hint="eastAsia"/>
          <w:sz w:val="32"/>
          <w:szCs w:val="32"/>
        </w:rPr>
        <w:t>元，其中：财政拨款收入</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元，事业收入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元，经营收入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元，其他收入</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w:t>
      </w:r>
    </w:p>
    <w:p w:rsidR="004B005C" w:rsidRDefault="004B005C">
      <w:pPr>
        <w:snapToGrid w:val="0"/>
        <w:spacing w:line="560" w:lineRule="exact"/>
        <w:ind w:leftChars="70" w:left="147"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三、支出情况说明</w:t>
      </w:r>
    </w:p>
    <w:p w:rsidR="004B005C" w:rsidRDefault="004B005C">
      <w:pPr>
        <w:snapToGrid w:val="0"/>
        <w:spacing w:line="560" w:lineRule="exact"/>
        <w:ind w:leftChars="100" w:left="210"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本年支出合计</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元，其中：基本支出</w:t>
      </w:r>
      <w:r>
        <w:rPr>
          <w:rFonts w:ascii="仿宋_GB2312" w:eastAsia="仿宋_GB2312" w:hAnsi="仿宋_GB2312" w:cs="仿宋_GB2312"/>
          <w:sz w:val="32"/>
          <w:szCs w:val="32"/>
        </w:rPr>
        <w:t>10966043.33</w:t>
      </w:r>
      <w:r>
        <w:rPr>
          <w:rFonts w:ascii="仿宋_GB2312" w:eastAsia="仿宋_GB2312" w:hAnsi="仿宋_GB2312" w:cs="仿宋_GB2312" w:hint="eastAsia"/>
          <w:sz w:val="32"/>
          <w:szCs w:val="32"/>
        </w:rPr>
        <w:t>元，项目支出</w:t>
      </w:r>
      <w:r>
        <w:rPr>
          <w:rFonts w:ascii="仿宋_GB2312" w:eastAsia="仿宋_GB2312" w:hAnsi="仿宋_GB2312" w:cs="仿宋_GB2312"/>
          <w:sz w:val="32"/>
          <w:szCs w:val="32"/>
        </w:rPr>
        <w:t>17864700</w:t>
      </w:r>
      <w:r>
        <w:rPr>
          <w:rFonts w:ascii="仿宋_GB2312" w:eastAsia="仿宋_GB2312" w:hAnsi="仿宋_GB2312" w:cs="仿宋_GB2312" w:hint="eastAsia"/>
          <w:sz w:val="32"/>
          <w:szCs w:val="32"/>
        </w:rPr>
        <w:t>元，经营支付</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w:t>
      </w:r>
    </w:p>
    <w:p w:rsidR="004B005C" w:rsidRDefault="004B005C">
      <w:pPr>
        <w:snapToGrid w:val="0"/>
        <w:spacing w:line="560" w:lineRule="exact"/>
        <w:ind w:leftChars="100" w:left="210" w:firstLineChars="150" w:firstLine="480"/>
        <w:rPr>
          <w:rFonts w:ascii="仿宋_GB2312" w:eastAsia="仿宋_GB2312" w:hAnsi="仿宋_GB2312" w:cs="仿宋_GB2312"/>
          <w:sz w:val="32"/>
          <w:szCs w:val="32"/>
        </w:rPr>
      </w:pPr>
      <w:r>
        <w:rPr>
          <w:rFonts w:ascii="仿宋_GB2312" w:eastAsia="仿宋_GB2312" w:hAnsi="仿宋_GB2312" w:cs="仿宋_GB2312" w:hint="eastAsia"/>
          <w:sz w:val="32"/>
          <w:szCs w:val="32"/>
        </w:rPr>
        <w:t>四、年末结转结余情况说明</w:t>
      </w:r>
    </w:p>
    <w:p w:rsidR="004B005C" w:rsidRDefault="004B005C">
      <w:pPr>
        <w:snapToGrid w:val="0"/>
        <w:spacing w:line="560" w:lineRule="exact"/>
        <w:ind w:leftChars="71" w:left="149" w:firstLineChars="150" w:firstLine="48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年结转结余资金</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元（其中：财政拨款基本支出结转结余</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元，主要为无，项目支出结转结余</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元，主要为无）。</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五、“三公”经费、会议费和培训费支出情况说明</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年“三公”经费实际支出</w:t>
      </w:r>
      <w:r>
        <w:rPr>
          <w:rFonts w:ascii="仿宋_GB2312" w:eastAsia="仿宋_GB2312" w:hAnsi="仿宋_GB2312" w:cs="仿宋_GB2312"/>
          <w:sz w:val="32"/>
          <w:szCs w:val="32"/>
        </w:rPr>
        <w:t>20000</w:t>
      </w:r>
      <w:r>
        <w:rPr>
          <w:rFonts w:ascii="仿宋_GB2312" w:eastAsia="仿宋_GB2312" w:hAnsi="仿宋_GB2312" w:cs="仿宋_GB2312" w:hint="eastAsia"/>
          <w:sz w:val="32"/>
          <w:szCs w:val="32"/>
        </w:rPr>
        <w:t>元，其中：因公出国（境）费用</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元，共组团</w:t>
      </w:r>
      <w:r>
        <w:rPr>
          <w:rFonts w:ascii="仿宋_GB2312" w:eastAsia="仿宋_GB2312" w:hAnsi="仿宋_GB2312" w:cs="仿宋_GB2312"/>
          <w:sz w:val="32"/>
          <w:szCs w:val="32"/>
        </w:rPr>
        <w:t xml:space="preserve"> 0</w:t>
      </w:r>
      <w:r>
        <w:rPr>
          <w:rFonts w:ascii="仿宋_GB2312" w:eastAsia="仿宋_GB2312" w:hAnsi="仿宋_GB2312" w:cs="仿宋_GB2312" w:hint="eastAsia"/>
          <w:sz w:val="32"/>
          <w:szCs w:val="32"/>
        </w:rPr>
        <w:t>批次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人次</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出国事由：无；公务接待费</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元，共接待</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批次</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人次；公务用车购置</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元，年末公务用车保有量为</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辆；公务用车维护费</w:t>
      </w:r>
      <w:r>
        <w:rPr>
          <w:rFonts w:ascii="仿宋_GB2312" w:eastAsia="仿宋_GB2312" w:hAnsi="仿宋_GB2312" w:cs="仿宋_GB2312"/>
          <w:sz w:val="32"/>
          <w:szCs w:val="32"/>
        </w:rPr>
        <w:t>20000</w:t>
      </w:r>
      <w:r>
        <w:rPr>
          <w:rFonts w:ascii="仿宋_GB2312" w:eastAsia="仿宋_GB2312" w:hAnsi="仿宋_GB2312" w:cs="仿宋_GB2312" w:hint="eastAsia"/>
          <w:sz w:val="32"/>
          <w:szCs w:val="32"/>
        </w:rPr>
        <w:t>元。</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“三公”经费较上年相比多支出</w:t>
      </w:r>
      <w:r>
        <w:rPr>
          <w:rFonts w:ascii="仿宋_GB2312" w:eastAsia="仿宋_GB2312" w:hAnsi="仿宋_GB2312" w:cs="仿宋_GB2312"/>
          <w:sz w:val="32"/>
          <w:szCs w:val="32"/>
        </w:rPr>
        <w:t>0.65</w:t>
      </w:r>
      <w:r>
        <w:rPr>
          <w:rFonts w:ascii="仿宋_GB2312" w:eastAsia="仿宋_GB2312" w:hAnsi="仿宋_GB2312" w:cs="仿宋_GB2312" w:hint="eastAsia"/>
          <w:sz w:val="32"/>
          <w:szCs w:val="32"/>
        </w:rPr>
        <w:t>元，其中：因公出国（境）费用多支</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元；公务接待费多支出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元；公务用车购置费多支出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元；公务用车维护费多支出</w:t>
      </w:r>
      <w:r>
        <w:rPr>
          <w:rFonts w:ascii="仿宋_GB2312" w:eastAsia="仿宋_GB2312" w:hAnsi="仿宋_GB2312" w:cs="仿宋_GB2312"/>
          <w:sz w:val="32"/>
          <w:szCs w:val="32"/>
        </w:rPr>
        <w:t>0.65</w:t>
      </w:r>
      <w:r>
        <w:rPr>
          <w:rFonts w:ascii="仿宋_GB2312" w:eastAsia="仿宋_GB2312" w:hAnsi="仿宋_GB2312" w:cs="仿宋_GB2312" w:hint="eastAsia"/>
          <w:sz w:val="32"/>
          <w:szCs w:val="32"/>
        </w:rPr>
        <w:t>元。主要原因为</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基本持平。</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年会议费</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元，主要是：无支出。</w:t>
      </w:r>
    </w:p>
    <w:p w:rsidR="004B005C" w:rsidRDefault="004B005C">
      <w:pPr>
        <w:snapToGrid w:val="0"/>
        <w:spacing w:line="560" w:lineRule="exact"/>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年培训费</w:t>
      </w:r>
      <w:r>
        <w:rPr>
          <w:rFonts w:ascii="仿宋_GB2312" w:eastAsia="仿宋_GB2312" w:hAnsi="仿宋_GB2312" w:cs="仿宋_GB2312"/>
          <w:sz w:val="32"/>
          <w:szCs w:val="32"/>
        </w:rPr>
        <w:t>2630000</w:t>
      </w:r>
      <w:r>
        <w:rPr>
          <w:rFonts w:ascii="仿宋_GB2312" w:eastAsia="仿宋_GB2312" w:hAnsi="仿宋_GB2312" w:cs="仿宋_GB2312" w:hint="eastAsia"/>
          <w:sz w:val="32"/>
          <w:szCs w:val="32"/>
        </w:rPr>
        <w:t>元，主要是：对农牧民组织再就业进行的各项技能培训支出。</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六、预算执行情况说明</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年本年收入</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元，比</w:t>
      </w:r>
      <w:r>
        <w:rPr>
          <w:rFonts w:ascii="仿宋_GB2312" w:eastAsia="仿宋_GB2312" w:hAnsi="仿宋_GB2312" w:cs="仿宋_GB2312"/>
          <w:sz w:val="32"/>
          <w:szCs w:val="32"/>
        </w:rPr>
        <w:t>2014</w:t>
      </w:r>
      <w:r>
        <w:rPr>
          <w:rFonts w:ascii="仿宋_GB2312" w:eastAsia="仿宋_GB2312" w:hAnsi="仿宋_GB2312" w:cs="仿宋_GB2312" w:hint="eastAsia"/>
          <w:sz w:val="32"/>
          <w:szCs w:val="32"/>
        </w:rPr>
        <w:t>年</w:t>
      </w:r>
      <w:bookmarkStart w:id="4" w:name="OLE_LINK4"/>
      <w:r>
        <w:rPr>
          <w:rFonts w:ascii="仿宋_GB2312" w:eastAsia="仿宋_GB2312" w:hAnsi="仿宋_GB2312" w:cs="仿宋_GB2312" w:hint="eastAsia"/>
          <w:sz w:val="32"/>
          <w:szCs w:val="32"/>
        </w:rPr>
        <w:t>增加</w:t>
      </w:r>
      <w:bookmarkEnd w:id="4"/>
      <w:r>
        <w:rPr>
          <w:rFonts w:ascii="仿宋_GB2312" w:eastAsia="仿宋_GB2312" w:hAnsi="仿宋_GB2312" w:cs="仿宋_GB2312"/>
          <w:sz w:val="32"/>
          <w:szCs w:val="32"/>
        </w:rPr>
        <w:t>2152179.49</w:t>
      </w:r>
      <w:r>
        <w:rPr>
          <w:rFonts w:ascii="仿宋_GB2312" w:eastAsia="仿宋_GB2312" w:hAnsi="仿宋_GB2312" w:cs="仿宋_GB2312" w:hint="eastAsia"/>
          <w:sz w:val="32"/>
          <w:szCs w:val="32"/>
        </w:rPr>
        <w:t>元，增加原因：</w:t>
      </w:r>
      <w:bookmarkStart w:id="5" w:name="OLE_LINK5"/>
      <w:r>
        <w:rPr>
          <w:rFonts w:ascii="仿宋_GB2312" w:eastAsia="仿宋_GB2312" w:hAnsi="仿宋_GB2312" w:cs="仿宋_GB2312" w:hint="eastAsia"/>
          <w:sz w:val="32"/>
          <w:szCs w:val="32"/>
        </w:rPr>
        <w:t>人员经费增加。</w:t>
      </w:r>
    </w:p>
    <w:bookmarkEnd w:id="5"/>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年本年支出</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元，比</w:t>
      </w:r>
      <w:r>
        <w:rPr>
          <w:rFonts w:ascii="仿宋_GB2312" w:eastAsia="仿宋_GB2312" w:hAnsi="仿宋_GB2312" w:cs="仿宋_GB2312"/>
          <w:sz w:val="32"/>
          <w:szCs w:val="32"/>
        </w:rPr>
        <w:t>2014</w:t>
      </w:r>
      <w:r>
        <w:rPr>
          <w:rFonts w:ascii="仿宋_GB2312" w:eastAsia="仿宋_GB2312" w:hAnsi="仿宋_GB2312" w:cs="仿宋_GB2312" w:hint="eastAsia"/>
          <w:sz w:val="32"/>
          <w:szCs w:val="32"/>
        </w:rPr>
        <w:t>年增加</w:t>
      </w:r>
      <w:r>
        <w:rPr>
          <w:rFonts w:ascii="仿宋_GB2312" w:eastAsia="仿宋_GB2312" w:hAnsi="仿宋_GB2312" w:cs="仿宋_GB2312"/>
          <w:sz w:val="32"/>
          <w:szCs w:val="32"/>
        </w:rPr>
        <w:t>2152179.49</w:t>
      </w:r>
      <w:r>
        <w:rPr>
          <w:rFonts w:ascii="仿宋_GB2312" w:eastAsia="仿宋_GB2312" w:hAnsi="仿宋_GB2312" w:cs="仿宋_GB2312" w:hint="eastAsia"/>
          <w:sz w:val="32"/>
          <w:szCs w:val="32"/>
        </w:rPr>
        <w:t>元，增加原因：人员经费增加。</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年财政拨款支出</w:t>
      </w:r>
      <w:r>
        <w:rPr>
          <w:rFonts w:ascii="仿宋_GB2312" w:eastAsia="仿宋_GB2312" w:hAnsi="仿宋_GB2312" w:cs="仿宋_GB2312"/>
          <w:sz w:val="32"/>
          <w:szCs w:val="32"/>
        </w:rPr>
        <w:t>28830743.33</w:t>
      </w:r>
      <w:r>
        <w:rPr>
          <w:rFonts w:ascii="仿宋_GB2312" w:eastAsia="仿宋_GB2312" w:hAnsi="仿宋_GB2312" w:cs="仿宋_GB2312" w:hint="eastAsia"/>
          <w:sz w:val="32"/>
          <w:szCs w:val="32"/>
        </w:rPr>
        <w:t>元，年初预算数</w:t>
      </w:r>
      <w:r>
        <w:rPr>
          <w:rFonts w:ascii="仿宋_GB2312" w:eastAsia="仿宋_GB2312" w:hAnsi="仿宋_GB2312" w:cs="仿宋_GB2312"/>
          <w:sz w:val="32"/>
          <w:szCs w:val="32"/>
        </w:rPr>
        <w:t xml:space="preserve">11065229.3 </w:t>
      </w:r>
      <w:r>
        <w:rPr>
          <w:rFonts w:ascii="仿宋_GB2312" w:eastAsia="仿宋_GB2312" w:hAnsi="仿宋_GB2312" w:cs="仿宋_GB2312" w:hint="eastAsia"/>
          <w:sz w:val="32"/>
          <w:szCs w:val="32"/>
        </w:rPr>
        <w:t>元，差异原因：人员调资和部分项目年初未做预算。</w:t>
      </w:r>
    </w:p>
    <w:p w:rsidR="004B005C" w:rsidRDefault="004B005C">
      <w:pPr>
        <w:snapToGrid w:val="0"/>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七、决算公开其他重要事项情况说明</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（一）机关运行经费支出情况</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年人塔什库尔干县人力资源和社会保障局机关运行经费支出</w:t>
      </w:r>
      <w:r>
        <w:rPr>
          <w:rFonts w:ascii="仿宋_GB2312" w:eastAsia="仿宋_GB2312" w:hAnsi="仿宋_GB2312" w:cs="仿宋_GB2312"/>
          <w:sz w:val="32"/>
          <w:szCs w:val="32"/>
        </w:rPr>
        <w:t>136823</w:t>
      </w:r>
      <w:r>
        <w:rPr>
          <w:rFonts w:ascii="仿宋_GB2312" w:eastAsia="仿宋_GB2312" w:hAnsi="仿宋_GB2312" w:cs="仿宋_GB2312" w:hint="eastAsia"/>
          <w:sz w:val="32"/>
          <w:szCs w:val="32"/>
        </w:rPr>
        <w:t>元，比</w:t>
      </w:r>
      <w:r>
        <w:rPr>
          <w:rFonts w:ascii="仿宋_GB2312" w:eastAsia="仿宋_GB2312" w:hAnsi="仿宋_GB2312" w:cs="仿宋_GB2312"/>
          <w:sz w:val="32"/>
          <w:szCs w:val="32"/>
        </w:rPr>
        <w:t>2014</w:t>
      </w:r>
      <w:r>
        <w:rPr>
          <w:rFonts w:ascii="仿宋_GB2312" w:eastAsia="仿宋_GB2312" w:hAnsi="仿宋_GB2312" w:cs="仿宋_GB2312" w:hint="eastAsia"/>
          <w:sz w:val="32"/>
          <w:szCs w:val="32"/>
        </w:rPr>
        <w:t>年减少</w:t>
      </w:r>
      <w:r>
        <w:rPr>
          <w:rFonts w:ascii="仿宋_GB2312" w:eastAsia="仿宋_GB2312" w:hAnsi="仿宋_GB2312" w:cs="仿宋_GB2312"/>
          <w:sz w:val="32"/>
          <w:szCs w:val="32"/>
        </w:rPr>
        <w:t>604591.93</w:t>
      </w:r>
      <w:r>
        <w:rPr>
          <w:rFonts w:ascii="仿宋_GB2312" w:eastAsia="仿宋_GB2312" w:hAnsi="仿宋_GB2312" w:cs="仿宋_GB2312" w:hint="eastAsia"/>
          <w:sz w:val="32"/>
          <w:szCs w:val="32"/>
        </w:rPr>
        <w:t>元，减低</w:t>
      </w:r>
      <w:r>
        <w:rPr>
          <w:rFonts w:ascii="仿宋_GB2312" w:eastAsia="仿宋_GB2312" w:hAnsi="仿宋_GB2312" w:cs="仿宋_GB2312"/>
          <w:sz w:val="32"/>
          <w:szCs w:val="32"/>
        </w:rPr>
        <w:t>81.55%</w:t>
      </w:r>
      <w:r>
        <w:rPr>
          <w:rFonts w:ascii="仿宋_GB2312" w:eastAsia="仿宋_GB2312" w:hAnsi="仿宋_GB2312" w:cs="仿宋_GB2312" w:hint="eastAsia"/>
          <w:sz w:val="32"/>
          <w:szCs w:val="32"/>
        </w:rPr>
        <w:t>，主要原因是：</w:t>
      </w:r>
      <w:r>
        <w:rPr>
          <w:rFonts w:ascii="仿宋_GB2312" w:eastAsia="仿宋_GB2312" w:hAnsi="仿宋_GB2312" w:cs="仿宋_GB2312"/>
          <w:sz w:val="32"/>
          <w:szCs w:val="32"/>
        </w:rPr>
        <w:t>2014</w:t>
      </w:r>
      <w:r>
        <w:rPr>
          <w:rFonts w:ascii="仿宋_GB2312" w:eastAsia="仿宋_GB2312" w:hAnsi="仿宋_GB2312" w:cs="仿宋_GB2312" w:hint="eastAsia"/>
          <w:sz w:val="32"/>
          <w:szCs w:val="32"/>
        </w:rPr>
        <w:t>年财政拨付了一笔</w:t>
      </w:r>
      <w:r>
        <w:rPr>
          <w:rFonts w:ascii="仿宋_GB2312" w:eastAsia="仿宋_GB2312" w:hAnsi="仿宋_GB2312" w:cs="仿宋_GB2312"/>
          <w:sz w:val="32"/>
          <w:szCs w:val="32"/>
        </w:rPr>
        <w:t>358000</w:t>
      </w:r>
      <w:r>
        <w:rPr>
          <w:rFonts w:ascii="仿宋_GB2312" w:eastAsia="仿宋_GB2312" w:hAnsi="仿宋_GB2312" w:cs="仿宋_GB2312" w:hint="eastAsia"/>
          <w:sz w:val="32"/>
          <w:szCs w:val="32"/>
        </w:rPr>
        <w:t>的维修费，从新核算办公面积增加</w:t>
      </w:r>
      <w:r>
        <w:rPr>
          <w:rFonts w:ascii="仿宋_GB2312" w:eastAsia="仿宋_GB2312" w:hAnsi="仿宋_GB2312" w:cs="仿宋_GB2312"/>
          <w:sz w:val="32"/>
          <w:szCs w:val="32"/>
        </w:rPr>
        <w:t>10</w:t>
      </w:r>
      <w:r>
        <w:rPr>
          <w:rFonts w:ascii="仿宋_GB2312" w:eastAsia="仿宋_GB2312" w:hAnsi="仿宋_GB2312" w:cs="仿宋_GB2312" w:hint="eastAsia"/>
          <w:sz w:val="32"/>
          <w:szCs w:val="32"/>
        </w:rPr>
        <w:t>万元取暖费。</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（二）政府采购支出情况</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年，人塔什库尔干县人力资源和社会保障局政府采购支出总额</w:t>
      </w:r>
      <w:r>
        <w:rPr>
          <w:rFonts w:ascii="仿宋_GB2312" w:eastAsia="仿宋_GB2312" w:hAnsi="仿宋_GB2312" w:cs="仿宋_GB2312"/>
          <w:sz w:val="32"/>
          <w:szCs w:val="32"/>
        </w:rPr>
        <w:t>885780</w:t>
      </w:r>
      <w:r>
        <w:rPr>
          <w:rFonts w:ascii="仿宋_GB2312" w:eastAsia="仿宋_GB2312" w:hAnsi="仿宋_GB2312" w:cs="仿宋_GB2312" w:hint="eastAsia"/>
          <w:sz w:val="32"/>
          <w:szCs w:val="32"/>
        </w:rPr>
        <w:t>元，其中政府采购货物支出</w:t>
      </w:r>
      <w:r>
        <w:rPr>
          <w:rFonts w:ascii="仿宋_GB2312" w:eastAsia="仿宋_GB2312" w:hAnsi="仿宋_GB2312" w:cs="仿宋_GB2312"/>
          <w:sz w:val="32"/>
          <w:szCs w:val="32"/>
        </w:rPr>
        <w:t>4600</w:t>
      </w:r>
      <w:r>
        <w:rPr>
          <w:rFonts w:ascii="仿宋_GB2312" w:eastAsia="仿宋_GB2312" w:hAnsi="仿宋_GB2312" w:cs="仿宋_GB2312" w:hint="eastAsia"/>
          <w:sz w:val="32"/>
          <w:szCs w:val="32"/>
        </w:rPr>
        <w:t>元，政府采购工程支出</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元，政府采购服务支出</w:t>
      </w:r>
      <w:r>
        <w:rPr>
          <w:rFonts w:ascii="仿宋_GB2312" w:eastAsia="仿宋_GB2312" w:hAnsi="仿宋_GB2312" w:cs="仿宋_GB2312"/>
          <w:sz w:val="32"/>
          <w:szCs w:val="32"/>
        </w:rPr>
        <w:t>881180</w:t>
      </w:r>
      <w:r>
        <w:rPr>
          <w:rFonts w:ascii="仿宋_GB2312" w:eastAsia="仿宋_GB2312" w:hAnsi="仿宋_GB2312" w:cs="仿宋_GB2312" w:hint="eastAsia"/>
          <w:sz w:val="32"/>
          <w:szCs w:val="32"/>
        </w:rPr>
        <w:t>元。喀什地区为偏远地区，参与招投标的供应商基本为中小微企业。</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（三）国有资产占用情况</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截止</w:t>
      </w: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w:t>
      </w:r>
      <w:r>
        <w:rPr>
          <w:rFonts w:ascii="仿宋_GB2312" w:eastAsia="仿宋_GB2312" w:hAnsi="仿宋_GB2312" w:cs="仿宋_GB2312"/>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sz w:val="32"/>
          <w:szCs w:val="32"/>
        </w:rPr>
        <w:t>31</w:t>
      </w:r>
      <w:r>
        <w:rPr>
          <w:rFonts w:ascii="仿宋_GB2312" w:eastAsia="仿宋_GB2312" w:hAnsi="仿宋_GB2312" w:cs="仿宋_GB2312" w:hint="eastAsia"/>
          <w:sz w:val="32"/>
          <w:szCs w:val="32"/>
        </w:rPr>
        <w:t>日，本单位共有车辆</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辆，其中一般公务用车</w:t>
      </w:r>
      <w:r>
        <w:rPr>
          <w:rFonts w:ascii="仿宋_GB2312" w:eastAsia="仿宋_GB2312" w:hAnsi="仿宋_GB2312" w:cs="仿宋_GB2312"/>
          <w:sz w:val="32"/>
          <w:szCs w:val="32"/>
        </w:rPr>
        <w:t>1</w:t>
      </w:r>
      <w:r>
        <w:rPr>
          <w:rFonts w:ascii="仿宋_GB2312" w:eastAsia="仿宋_GB2312" w:hAnsi="仿宋_GB2312" w:cs="仿宋_GB2312" w:hint="eastAsia"/>
          <w:sz w:val="32"/>
          <w:szCs w:val="32"/>
        </w:rPr>
        <w:t>辆，一般执法执勤用车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辆，特种专业技术用车</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辆，其他车辆</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辆，其他用车主要是无，单位价值在</w:t>
      </w:r>
      <w:r>
        <w:rPr>
          <w:rFonts w:ascii="仿宋_GB2312" w:eastAsia="仿宋_GB2312" w:hAnsi="仿宋_GB2312" w:cs="仿宋_GB2312"/>
          <w:sz w:val="32"/>
          <w:szCs w:val="32"/>
        </w:rPr>
        <w:t>20</w:t>
      </w:r>
      <w:r>
        <w:rPr>
          <w:rFonts w:ascii="仿宋_GB2312" w:eastAsia="仿宋_GB2312" w:hAnsi="仿宋_GB2312" w:cs="仿宋_GB2312" w:hint="eastAsia"/>
          <w:sz w:val="32"/>
          <w:szCs w:val="32"/>
        </w:rPr>
        <w:t>万元以上的设备</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台（套），价值</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（四）民生项目、重点支出项目绩效评价结果</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2015</w:t>
      </w:r>
      <w:r>
        <w:rPr>
          <w:rFonts w:ascii="仿宋_GB2312" w:eastAsia="仿宋_GB2312" w:hAnsi="仿宋_GB2312" w:cs="仿宋_GB2312" w:hint="eastAsia"/>
          <w:sz w:val="32"/>
          <w:szCs w:val="32"/>
        </w:rPr>
        <w:t>年，人塔什库尔干县人力资源和社会保障局共组织对</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个项目进行了预算绩效评价，涉及一般公共预算当年财政拨款</w:t>
      </w:r>
      <w:r>
        <w:rPr>
          <w:rFonts w:ascii="仿宋_GB2312" w:eastAsia="仿宋_GB2312" w:hAnsi="仿宋_GB2312" w:cs="仿宋_GB2312"/>
          <w:sz w:val="32"/>
          <w:szCs w:val="32"/>
        </w:rPr>
        <w:t>0</w:t>
      </w:r>
      <w:r>
        <w:rPr>
          <w:rFonts w:ascii="仿宋_GB2312" w:eastAsia="仿宋_GB2312" w:hAnsi="仿宋_GB2312" w:cs="仿宋_GB2312" w:hint="eastAsia"/>
          <w:sz w:val="32"/>
          <w:szCs w:val="32"/>
        </w:rPr>
        <w:t>元。绩效评价结果：无。</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（五）事业收入明细、经营收入明细</w:t>
      </w:r>
    </w:p>
    <w:p w:rsidR="004B005C" w:rsidRDefault="004B005C">
      <w:pPr>
        <w:ind w:firstLineChars="200" w:firstLine="640"/>
        <w:rPr>
          <w:rFonts w:ascii="仿宋_GB2312" w:eastAsia="仿宋_GB2312"/>
          <w:sz w:val="32"/>
          <w:szCs w:val="32"/>
        </w:rPr>
      </w:pPr>
      <w:r>
        <w:rPr>
          <w:rFonts w:ascii="仿宋_GB2312" w:eastAsia="仿宋_GB2312" w:cs="仿宋_GB2312" w:hint="eastAsia"/>
          <w:sz w:val="32"/>
          <w:szCs w:val="32"/>
        </w:rPr>
        <w:t>按收入项目分别列示：无</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八、专业名词解释</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（一）财政拨款收入：指单位本年度从本级财政部门取得得财政拨款。</w:t>
      </w:r>
      <w:r>
        <w:rPr>
          <w:rFonts w:ascii="仿宋_GB2312" w:eastAsia="仿宋_GB2312" w:hAnsi="仿宋_GB2312" w:cs="仿宋_GB2312"/>
          <w:sz w:val="32"/>
          <w:szCs w:val="32"/>
        </w:rPr>
        <w:t xml:space="preserve"> </w:t>
      </w:r>
      <w:bookmarkStart w:id="6" w:name="_GoBack"/>
      <w:bookmarkEnd w:id="6"/>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（二）事业收入：指事业单位开展专业业务活动及辅助活动所取得的收入。</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（三）经营收入：指事业单位在专业业务活动及其辅助活动之外开展非独立核算经营活动取得的收入。</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（四）其他收入：指除上述“财政拨款收入”、“事业收入”、“经营收入”等以外的收入。</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sz w:val="32"/>
          <w:szCs w:val="32"/>
        </w:rPr>
        <w:t>(</w:t>
      </w:r>
      <w:r>
        <w:rPr>
          <w:rFonts w:ascii="仿宋_GB2312" w:eastAsia="仿宋_GB2312" w:hAnsi="仿宋_GB2312" w:cs="仿宋_GB2312" w:hint="eastAsia"/>
          <w:sz w:val="32"/>
          <w:szCs w:val="32"/>
        </w:rPr>
        <w:t>五</w:t>
      </w:r>
      <w:r>
        <w:rPr>
          <w:rFonts w:ascii="仿宋_GB2312" w:eastAsia="仿宋_GB2312" w:hAnsi="仿宋_GB2312" w:cs="仿宋_GB2312"/>
          <w:sz w:val="32"/>
          <w:szCs w:val="32"/>
        </w:rPr>
        <w:t>)</w:t>
      </w:r>
      <w:r>
        <w:rPr>
          <w:rFonts w:ascii="仿宋_GB2312" w:eastAsia="仿宋_GB2312" w:hAnsi="仿宋_GB2312" w:cs="仿宋_GB2312" w:hint="eastAsia"/>
          <w:sz w:val="32"/>
          <w:szCs w:val="32"/>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（六）年初结转和结余：指以前年度尚未完成、结转到本年按有关规定继续使用的资金。</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（七）结余分配：指事业单位按规定提取的职工福利基</w:t>
      </w:r>
    </w:p>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金、事业基金和缴纳的所得税，以及建设单位按规定应交回的基本建设竣工项目结余资金。</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（八）年末结转和结余：指本年度或以前年度预算安排、</w:t>
      </w:r>
    </w:p>
    <w:p w:rsidR="004B005C" w:rsidRDefault="004B005C">
      <w:pPr>
        <w:spacing w:line="56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因客观条件发生变化无法按原计划实施，需要延迟到以后年度按有关规定继续使用的资金。</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（九）基本支出：指为保障机构正常运转、完成日常工作任务而发生的人员支出和公用支出。</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（十）项目支出：指在基本支出之外为完成特定行政任务和事业发展目标所发生的支出。</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（十一）经营支出：指事业单位在专业业务活动及其辅助活动之外开展非独立核算经营活动发生的支出。</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二）“三公”经费：纳入财政预决算管理的“三公”经费，是指各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r>
        <w:rPr>
          <w:rFonts w:ascii="仿宋_GB2312" w:eastAsia="仿宋_GB2312" w:hAnsi="仿宋_GB2312" w:cs="仿宋_GB2312"/>
          <w:sz w:val="32"/>
          <w:szCs w:val="32"/>
        </w:rPr>
        <w:t xml:space="preserve"> </w:t>
      </w:r>
    </w:p>
    <w:p w:rsidR="004B005C" w:rsidRDefault="004B005C">
      <w:pPr>
        <w:spacing w:line="56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三）机关运行经费：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rsidR="004B005C" w:rsidRDefault="004B005C">
      <w:pPr>
        <w:spacing w:line="360" w:lineRule="auto"/>
        <w:ind w:firstLineChars="200" w:firstLine="640"/>
        <w:rPr>
          <w:rFonts w:ascii="仿宋_GB2312" w:eastAsia="仿宋_GB2312" w:hAnsi="仿宋_GB2312" w:cs="仿宋_GB2312"/>
          <w:sz w:val="32"/>
          <w:szCs w:val="32"/>
        </w:rPr>
      </w:pPr>
    </w:p>
    <w:sectPr w:rsidR="004B005C" w:rsidSect="004F58D0">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005C" w:rsidRDefault="004B005C" w:rsidP="004F58D0">
      <w:r>
        <w:separator/>
      </w:r>
    </w:p>
  </w:endnote>
  <w:endnote w:type="continuationSeparator" w:id="0">
    <w:p w:rsidR="004B005C" w:rsidRDefault="004B005C" w:rsidP="004F58D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4B005C" w:rsidRDefault="004B005C">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005C" w:rsidRDefault="004B005C" w:rsidP="004F58D0">
      <w:r>
        <w:separator/>
      </w:r>
    </w:p>
  </w:footnote>
  <w:footnote w:type="continuationSeparator" w:id="0">
    <w:p w:rsidR="004B005C" w:rsidRDefault="004B005C" w:rsidP="004F58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rsidP="001A5C57">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005C" w:rsidRDefault="004B005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693ACD"/>
    <w:multiLevelType w:val="multilevel"/>
    <w:tmpl w:val="3C693ACD"/>
    <w:lvl w:ilvl="0">
      <w:start w:val="1"/>
      <w:numFmt w:val="japaneseCounting"/>
      <w:lvlText w:val="%1、"/>
      <w:lvlJc w:val="left"/>
      <w:pPr>
        <w:ind w:left="1322" w:hanging="720"/>
      </w:pPr>
      <w:rPr>
        <w:rFonts w:cs="Times New Roman" w:hint="default"/>
      </w:rPr>
    </w:lvl>
    <w:lvl w:ilvl="1">
      <w:start w:val="1"/>
      <w:numFmt w:val="lowerLetter"/>
      <w:lvlText w:val="%2)"/>
      <w:lvlJc w:val="left"/>
      <w:pPr>
        <w:ind w:left="1442" w:hanging="420"/>
      </w:pPr>
      <w:rPr>
        <w:rFonts w:cs="Times New Roman"/>
      </w:rPr>
    </w:lvl>
    <w:lvl w:ilvl="2">
      <w:start w:val="1"/>
      <w:numFmt w:val="lowerRoman"/>
      <w:lvlText w:val="%3."/>
      <w:lvlJc w:val="right"/>
      <w:pPr>
        <w:ind w:left="1862" w:hanging="420"/>
      </w:pPr>
      <w:rPr>
        <w:rFonts w:cs="Times New Roman"/>
      </w:rPr>
    </w:lvl>
    <w:lvl w:ilvl="3">
      <w:start w:val="1"/>
      <w:numFmt w:val="decimal"/>
      <w:lvlText w:val="%4."/>
      <w:lvlJc w:val="left"/>
      <w:pPr>
        <w:ind w:left="2282" w:hanging="420"/>
      </w:pPr>
      <w:rPr>
        <w:rFonts w:cs="Times New Roman"/>
      </w:rPr>
    </w:lvl>
    <w:lvl w:ilvl="4">
      <w:start w:val="1"/>
      <w:numFmt w:val="lowerLetter"/>
      <w:lvlText w:val="%5)"/>
      <w:lvlJc w:val="left"/>
      <w:pPr>
        <w:ind w:left="2702" w:hanging="420"/>
      </w:pPr>
      <w:rPr>
        <w:rFonts w:cs="Times New Roman"/>
      </w:rPr>
    </w:lvl>
    <w:lvl w:ilvl="5">
      <w:start w:val="1"/>
      <w:numFmt w:val="lowerRoman"/>
      <w:lvlText w:val="%6."/>
      <w:lvlJc w:val="right"/>
      <w:pPr>
        <w:ind w:left="3122" w:hanging="420"/>
      </w:pPr>
      <w:rPr>
        <w:rFonts w:cs="Times New Roman"/>
      </w:rPr>
    </w:lvl>
    <w:lvl w:ilvl="6">
      <w:start w:val="1"/>
      <w:numFmt w:val="decimal"/>
      <w:lvlText w:val="%7."/>
      <w:lvlJc w:val="left"/>
      <w:pPr>
        <w:ind w:left="3542" w:hanging="420"/>
      </w:pPr>
      <w:rPr>
        <w:rFonts w:cs="Times New Roman"/>
      </w:rPr>
    </w:lvl>
    <w:lvl w:ilvl="7">
      <w:start w:val="1"/>
      <w:numFmt w:val="lowerLetter"/>
      <w:lvlText w:val="%8)"/>
      <w:lvlJc w:val="left"/>
      <w:pPr>
        <w:ind w:left="3962" w:hanging="420"/>
      </w:pPr>
      <w:rPr>
        <w:rFonts w:cs="Times New Roman"/>
      </w:rPr>
    </w:lvl>
    <w:lvl w:ilvl="8">
      <w:start w:val="1"/>
      <w:numFmt w:val="lowerRoman"/>
      <w:lvlText w:val="%9."/>
      <w:lvlJc w:val="right"/>
      <w:pPr>
        <w:ind w:left="4382" w:hanging="420"/>
      </w:pPr>
      <w:rPr>
        <w:rFonts w:cs="Times New Roman"/>
      </w:rPr>
    </w:lvl>
  </w:abstractNum>
  <w:abstractNum w:abstractNumId="1">
    <w:nsid w:val="51056E6B"/>
    <w:multiLevelType w:val="multilevel"/>
    <w:tmpl w:val="51056E6B"/>
    <w:lvl w:ilvl="0">
      <w:start w:val="2"/>
      <w:numFmt w:val="japaneseCounting"/>
      <w:lvlText w:val="%1、"/>
      <w:lvlJc w:val="left"/>
      <w:pPr>
        <w:ind w:left="1320" w:hanging="720"/>
      </w:pPr>
      <w:rPr>
        <w:rFonts w:cs="Times New Roman" w:hint="default"/>
      </w:rPr>
    </w:lvl>
    <w:lvl w:ilvl="1">
      <w:start w:val="1"/>
      <w:numFmt w:val="lowerLetter"/>
      <w:lvlText w:val="%2)"/>
      <w:lvlJc w:val="left"/>
      <w:pPr>
        <w:ind w:left="1440" w:hanging="420"/>
      </w:pPr>
      <w:rPr>
        <w:rFonts w:cs="Times New Roman"/>
      </w:rPr>
    </w:lvl>
    <w:lvl w:ilvl="2">
      <w:start w:val="1"/>
      <w:numFmt w:val="lowerRoman"/>
      <w:lvlText w:val="%3."/>
      <w:lvlJc w:val="right"/>
      <w:pPr>
        <w:ind w:left="1860" w:hanging="420"/>
      </w:pPr>
      <w:rPr>
        <w:rFonts w:cs="Times New Roman"/>
      </w:rPr>
    </w:lvl>
    <w:lvl w:ilvl="3">
      <w:start w:val="1"/>
      <w:numFmt w:val="decimal"/>
      <w:lvlText w:val="%4."/>
      <w:lvlJc w:val="left"/>
      <w:pPr>
        <w:ind w:left="2280" w:hanging="420"/>
      </w:pPr>
      <w:rPr>
        <w:rFonts w:cs="Times New Roman"/>
      </w:rPr>
    </w:lvl>
    <w:lvl w:ilvl="4">
      <w:start w:val="1"/>
      <w:numFmt w:val="lowerLetter"/>
      <w:lvlText w:val="%5)"/>
      <w:lvlJc w:val="left"/>
      <w:pPr>
        <w:ind w:left="2700" w:hanging="420"/>
      </w:pPr>
      <w:rPr>
        <w:rFonts w:cs="Times New Roman"/>
      </w:rPr>
    </w:lvl>
    <w:lvl w:ilvl="5">
      <w:start w:val="1"/>
      <w:numFmt w:val="lowerRoman"/>
      <w:lvlText w:val="%6."/>
      <w:lvlJc w:val="right"/>
      <w:pPr>
        <w:ind w:left="3120" w:hanging="420"/>
      </w:pPr>
      <w:rPr>
        <w:rFonts w:cs="Times New Roman"/>
      </w:rPr>
    </w:lvl>
    <w:lvl w:ilvl="6">
      <w:start w:val="1"/>
      <w:numFmt w:val="decimal"/>
      <w:lvlText w:val="%7."/>
      <w:lvlJc w:val="left"/>
      <w:pPr>
        <w:ind w:left="3540" w:hanging="420"/>
      </w:pPr>
      <w:rPr>
        <w:rFonts w:cs="Times New Roman"/>
      </w:rPr>
    </w:lvl>
    <w:lvl w:ilvl="7">
      <w:start w:val="1"/>
      <w:numFmt w:val="lowerLetter"/>
      <w:lvlText w:val="%8)"/>
      <w:lvlJc w:val="left"/>
      <w:pPr>
        <w:ind w:left="3960" w:hanging="420"/>
      </w:pPr>
      <w:rPr>
        <w:rFonts w:cs="Times New Roman"/>
      </w:rPr>
    </w:lvl>
    <w:lvl w:ilvl="8">
      <w:start w:val="1"/>
      <w:numFmt w:val="lowerRoman"/>
      <w:lvlText w:val="%9."/>
      <w:lvlJc w:val="right"/>
      <w:pPr>
        <w:ind w:left="4380" w:hanging="42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2159"/>
    <w:rsid w:val="00003369"/>
    <w:rsid w:val="00006A87"/>
    <w:rsid w:val="00024B7F"/>
    <w:rsid w:val="00034248"/>
    <w:rsid w:val="00052FE0"/>
    <w:rsid w:val="00054384"/>
    <w:rsid w:val="00062F4F"/>
    <w:rsid w:val="000703F5"/>
    <w:rsid w:val="00072473"/>
    <w:rsid w:val="000775E8"/>
    <w:rsid w:val="00086A97"/>
    <w:rsid w:val="00091F7F"/>
    <w:rsid w:val="00094D69"/>
    <w:rsid w:val="000A5DE3"/>
    <w:rsid w:val="000A65DB"/>
    <w:rsid w:val="000B1596"/>
    <w:rsid w:val="000B5213"/>
    <w:rsid w:val="000C3B20"/>
    <w:rsid w:val="000E7FFD"/>
    <w:rsid w:val="0010183B"/>
    <w:rsid w:val="00140E78"/>
    <w:rsid w:val="00142BCE"/>
    <w:rsid w:val="00147040"/>
    <w:rsid w:val="00151463"/>
    <w:rsid w:val="00170582"/>
    <w:rsid w:val="001870FE"/>
    <w:rsid w:val="001943AB"/>
    <w:rsid w:val="00197E26"/>
    <w:rsid w:val="001A5C57"/>
    <w:rsid w:val="001D09C9"/>
    <w:rsid w:val="001E4658"/>
    <w:rsid w:val="001E7C6A"/>
    <w:rsid w:val="001F2B9D"/>
    <w:rsid w:val="001F33C0"/>
    <w:rsid w:val="001F6EF5"/>
    <w:rsid w:val="0020099B"/>
    <w:rsid w:val="00205C3B"/>
    <w:rsid w:val="00216D85"/>
    <w:rsid w:val="00242FE4"/>
    <w:rsid w:val="00262C89"/>
    <w:rsid w:val="00265B72"/>
    <w:rsid w:val="002743C3"/>
    <w:rsid w:val="00287A2E"/>
    <w:rsid w:val="002B5B38"/>
    <w:rsid w:val="002C37F3"/>
    <w:rsid w:val="002C677C"/>
    <w:rsid w:val="002C740B"/>
    <w:rsid w:val="002D02F4"/>
    <w:rsid w:val="00303B2E"/>
    <w:rsid w:val="003158E9"/>
    <w:rsid w:val="00333969"/>
    <w:rsid w:val="003472C5"/>
    <w:rsid w:val="00347996"/>
    <w:rsid w:val="00350B5B"/>
    <w:rsid w:val="003632BC"/>
    <w:rsid w:val="003A629E"/>
    <w:rsid w:val="003B0831"/>
    <w:rsid w:val="003B594E"/>
    <w:rsid w:val="003C2E54"/>
    <w:rsid w:val="003D0C72"/>
    <w:rsid w:val="004011AD"/>
    <w:rsid w:val="0040177E"/>
    <w:rsid w:val="00406AB0"/>
    <w:rsid w:val="00417715"/>
    <w:rsid w:val="00420614"/>
    <w:rsid w:val="0043072D"/>
    <w:rsid w:val="00434EEE"/>
    <w:rsid w:val="0045124F"/>
    <w:rsid w:val="0045212A"/>
    <w:rsid w:val="00457BD9"/>
    <w:rsid w:val="004743B3"/>
    <w:rsid w:val="00486188"/>
    <w:rsid w:val="00487059"/>
    <w:rsid w:val="00487144"/>
    <w:rsid w:val="004A08C1"/>
    <w:rsid w:val="004A28B1"/>
    <w:rsid w:val="004B005C"/>
    <w:rsid w:val="004B6AAB"/>
    <w:rsid w:val="004D2787"/>
    <w:rsid w:val="004D48D7"/>
    <w:rsid w:val="004D6F93"/>
    <w:rsid w:val="004E5CA2"/>
    <w:rsid w:val="004F58D0"/>
    <w:rsid w:val="0050291C"/>
    <w:rsid w:val="005272D8"/>
    <w:rsid w:val="005317E1"/>
    <w:rsid w:val="00532879"/>
    <w:rsid w:val="00552B99"/>
    <w:rsid w:val="00565025"/>
    <w:rsid w:val="005760F3"/>
    <w:rsid w:val="005766BD"/>
    <w:rsid w:val="00592401"/>
    <w:rsid w:val="00595CD5"/>
    <w:rsid w:val="005A0EA5"/>
    <w:rsid w:val="005A7F01"/>
    <w:rsid w:val="005D008D"/>
    <w:rsid w:val="005D5345"/>
    <w:rsid w:val="005D6922"/>
    <w:rsid w:val="00642F1B"/>
    <w:rsid w:val="006537AC"/>
    <w:rsid w:val="00672B4C"/>
    <w:rsid w:val="006773BD"/>
    <w:rsid w:val="00687879"/>
    <w:rsid w:val="00696752"/>
    <w:rsid w:val="006A1621"/>
    <w:rsid w:val="006A2219"/>
    <w:rsid w:val="006A56FC"/>
    <w:rsid w:val="006A7356"/>
    <w:rsid w:val="006D4B96"/>
    <w:rsid w:val="006F1159"/>
    <w:rsid w:val="006F13E9"/>
    <w:rsid w:val="006F3090"/>
    <w:rsid w:val="006F7925"/>
    <w:rsid w:val="006F7FA8"/>
    <w:rsid w:val="007226FB"/>
    <w:rsid w:val="00774810"/>
    <w:rsid w:val="00782159"/>
    <w:rsid w:val="00793D15"/>
    <w:rsid w:val="007978CD"/>
    <w:rsid w:val="007A2BDC"/>
    <w:rsid w:val="007D34EF"/>
    <w:rsid w:val="007D75E2"/>
    <w:rsid w:val="007E04FC"/>
    <w:rsid w:val="007F238C"/>
    <w:rsid w:val="008012F4"/>
    <w:rsid w:val="008104D1"/>
    <w:rsid w:val="00815033"/>
    <w:rsid w:val="0082083E"/>
    <w:rsid w:val="00842279"/>
    <w:rsid w:val="00844D3A"/>
    <w:rsid w:val="00847706"/>
    <w:rsid w:val="00853B68"/>
    <w:rsid w:val="00854186"/>
    <w:rsid w:val="008664F8"/>
    <w:rsid w:val="00871B42"/>
    <w:rsid w:val="00877032"/>
    <w:rsid w:val="00880D0D"/>
    <w:rsid w:val="008872A2"/>
    <w:rsid w:val="00895A64"/>
    <w:rsid w:val="008A0DC9"/>
    <w:rsid w:val="008B02AA"/>
    <w:rsid w:val="008C5ABD"/>
    <w:rsid w:val="008D28A9"/>
    <w:rsid w:val="008D7610"/>
    <w:rsid w:val="008E26A2"/>
    <w:rsid w:val="009078E5"/>
    <w:rsid w:val="00910498"/>
    <w:rsid w:val="00912ADD"/>
    <w:rsid w:val="00921F8C"/>
    <w:rsid w:val="00954B4B"/>
    <w:rsid w:val="00986E5F"/>
    <w:rsid w:val="009A2871"/>
    <w:rsid w:val="009A7D21"/>
    <w:rsid w:val="009C453B"/>
    <w:rsid w:val="009C7F6B"/>
    <w:rsid w:val="009F1B75"/>
    <w:rsid w:val="009F39C7"/>
    <w:rsid w:val="009F6D25"/>
    <w:rsid w:val="00A013AA"/>
    <w:rsid w:val="00A32422"/>
    <w:rsid w:val="00A3418E"/>
    <w:rsid w:val="00A407D1"/>
    <w:rsid w:val="00A65801"/>
    <w:rsid w:val="00A97E66"/>
    <w:rsid w:val="00AA1759"/>
    <w:rsid w:val="00AA3003"/>
    <w:rsid w:val="00AC139B"/>
    <w:rsid w:val="00AC4897"/>
    <w:rsid w:val="00AD7784"/>
    <w:rsid w:val="00B0409B"/>
    <w:rsid w:val="00B21656"/>
    <w:rsid w:val="00B24563"/>
    <w:rsid w:val="00B635BA"/>
    <w:rsid w:val="00B8329E"/>
    <w:rsid w:val="00B919A9"/>
    <w:rsid w:val="00BB2497"/>
    <w:rsid w:val="00BB372B"/>
    <w:rsid w:val="00C15174"/>
    <w:rsid w:val="00C1768B"/>
    <w:rsid w:val="00C17D9A"/>
    <w:rsid w:val="00C4155A"/>
    <w:rsid w:val="00C45F21"/>
    <w:rsid w:val="00C519BC"/>
    <w:rsid w:val="00C55E43"/>
    <w:rsid w:val="00C605BD"/>
    <w:rsid w:val="00C61DC5"/>
    <w:rsid w:val="00C62423"/>
    <w:rsid w:val="00C82282"/>
    <w:rsid w:val="00C955CC"/>
    <w:rsid w:val="00CA6F46"/>
    <w:rsid w:val="00CB3117"/>
    <w:rsid w:val="00CE1862"/>
    <w:rsid w:val="00CE37ED"/>
    <w:rsid w:val="00D16906"/>
    <w:rsid w:val="00D4613F"/>
    <w:rsid w:val="00D5318C"/>
    <w:rsid w:val="00D554FC"/>
    <w:rsid w:val="00D81E3D"/>
    <w:rsid w:val="00D949F7"/>
    <w:rsid w:val="00DA057C"/>
    <w:rsid w:val="00DA16BE"/>
    <w:rsid w:val="00DA2461"/>
    <w:rsid w:val="00DB13AB"/>
    <w:rsid w:val="00DB2FC5"/>
    <w:rsid w:val="00DD4F32"/>
    <w:rsid w:val="00DE344D"/>
    <w:rsid w:val="00DE619D"/>
    <w:rsid w:val="00E339F2"/>
    <w:rsid w:val="00E35E7E"/>
    <w:rsid w:val="00E57117"/>
    <w:rsid w:val="00E774D0"/>
    <w:rsid w:val="00E8388E"/>
    <w:rsid w:val="00EA5F52"/>
    <w:rsid w:val="00EB563F"/>
    <w:rsid w:val="00EB7DD0"/>
    <w:rsid w:val="00EC1979"/>
    <w:rsid w:val="00EC282F"/>
    <w:rsid w:val="00ED7C8E"/>
    <w:rsid w:val="00EE2E07"/>
    <w:rsid w:val="00EE66B1"/>
    <w:rsid w:val="00EE7F86"/>
    <w:rsid w:val="00EF3B2C"/>
    <w:rsid w:val="00EF7B17"/>
    <w:rsid w:val="00F0364D"/>
    <w:rsid w:val="00F06CB4"/>
    <w:rsid w:val="00F16C5D"/>
    <w:rsid w:val="00F32C50"/>
    <w:rsid w:val="00F453E0"/>
    <w:rsid w:val="00F627E2"/>
    <w:rsid w:val="00F81C9E"/>
    <w:rsid w:val="00F820FC"/>
    <w:rsid w:val="00FA08FE"/>
    <w:rsid w:val="00FB61FC"/>
    <w:rsid w:val="00FC1406"/>
    <w:rsid w:val="00FF5D03"/>
    <w:rsid w:val="01A540A3"/>
    <w:rsid w:val="023365E6"/>
    <w:rsid w:val="02694CCC"/>
    <w:rsid w:val="039036D5"/>
    <w:rsid w:val="03B64FCD"/>
    <w:rsid w:val="07C80F95"/>
    <w:rsid w:val="08300C6A"/>
    <w:rsid w:val="0A7F3901"/>
    <w:rsid w:val="0C467243"/>
    <w:rsid w:val="0CB46C28"/>
    <w:rsid w:val="0D9469D3"/>
    <w:rsid w:val="100A3CD6"/>
    <w:rsid w:val="102D1140"/>
    <w:rsid w:val="10644618"/>
    <w:rsid w:val="10DF2E7B"/>
    <w:rsid w:val="12131004"/>
    <w:rsid w:val="14E064BB"/>
    <w:rsid w:val="15C66B53"/>
    <w:rsid w:val="178B7FC8"/>
    <w:rsid w:val="17C46BA3"/>
    <w:rsid w:val="185C5C4C"/>
    <w:rsid w:val="18B2517F"/>
    <w:rsid w:val="19D50999"/>
    <w:rsid w:val="1CDF359F"/>
    <w:rsid w:val="1E6B1EEE"/>
    <w:rsid w:val="20C661F6"/>
    <w:rsid w:val="22924AC4"/>
    <w:rsid w:val="23AC69AA"/>
    <w:rsid w:val="23B8777D"/>
    <w:rsid w:val="24D2609B"/>
    <w:rsid w:val="285A1D74"/>
    <w:rsid w:val="28D34983"/>
    <w:rsid w:val="29702D9B"/>
    <w:rsid w:val="2A183007"/>
    <w:rsid w:val="2A4F2209"/>
    <w:rsid w:val="2CB9211D"/>
    <w:rsid w:val="2CE91270"/>
    <w:rsid w:val="2DC45A1E"/>
    <w:rsid w:val="2E34556F"/>
    <w:rsid w:val="2EBA45E6"/>
    <w:rsid w:val="2EE83AC3"/>
    <w:rsid w:val="3138680B"/>
    <w:rsid w:val="31A277C8"/>
    <w:rsid w:val="31D87596"/>
    <w:rsid w:val="332628AE"/>
    <w:rsid w:val="33B420CD"/>
    <w:rsid w:val="3663598A"/>
    <w:rsid w:val="37383A26"/>
    <w:rsid w:val="39102746"/>
    <w:rsid w:val="3D00528E"/>
    <w:rsid w:val="3E084D34"/>
    <w:rsid w:val="3F60006B"/>
    <w:rsid w:val="43480EDB"/>
    <w:rsid w:val="491E1CA6"/>
    <w:rsid w:val="49806E92"/>
    <w:rsid w:val="4CEF7C86"/>
    <w:rsid w:val="517B53A5"/>
    <w:rsid w:val="51EC681D"/>
    <w:rsid w:val="52541BCF"/>
    <w:rsid w:val="54A96C94"/>
    <w:rsid w:val="553746B2"/>
    <w:rsid w:val="55D5012A"/>
    <w:rsid w:val="55E02D30"/>
    <w:rsid w:val="56AF1504"/>
    <w:rsid w:val="57A00271"/>
    <w:rsid w:val="57E929B1"/>
    <w:rsid w:val="5B164315"/>
    <w:rsid w:val="5C8D5FC2"/>
    <w:rsid w:val="5E345A44"/>
    <w:rsid w:val="5F8D2A30"/>
    <w:rsid w:val="61C70926"/>
    <w:rsid w:val="62696DA1"/>
    <w:rsid w:val="64772B82"/>
    <w:rsid w:val="65CB654C"/>
    <w:rsid w:val="677C282A"/>
    <w:rsid w:val="6B9B6484"/>
    <w:rsid w:val="6C5F081F"/>
    <w:rsid w:val="6DB57B75"/>
    <w:rsid w:val="6F3F5564"/>
    <w:rsid w:val="70C171A1"/>
    <w:rsid w:val="70D57EA2"/>
    <w:rsid w:val="7467773C"/>
    <w:rsid w:val="769450FB"/>
    <w:rsid w:val="7C971341"/>
    <w:rsid w:val="7CF247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Date" w:locked="1" w:semiHidden="0" w:uiPriority="0" w:unhideWhenUsed="0"/>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Balloo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58D0"/>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rsid w:val="004F58D0"/>
    <w:pPr>
      <w:ind w:leftChars="2500" w:left="100"/>
    </w:pPr>
    <w:rPr>
      <w:kern w:val="0"/>
    </w:rPr>
  </w:style>
  <w:style w:type="character" w:customStyle="1" w:styleId="DateChar">
    <w:name w:val="Date Char"/>
    <w:basedOn w:val="DefaultParagraphFont"/>
    <w:link w:val="Date"/>
    <w:uiPriority w:val="99"/>
    <w:semiHidden/>
    <w:locked/>
    <w:rsid w:val="004F58D0"/>
    <w:rPr>
      <w:rFonts w:cs="Times New Roman"/>
      <w:sz w:val="21"/>
      <w:szCs w:val="21"/>
    </w:rPr>
  </w:style>
  <w:style w:type="paragraph" w:styleId="BalloonText">
    <w:name w:val="Balloon Text"/>
    <w:basedOn w:val="Normal"/>
    <w:link w:val="BalloonTextChar"/>
    <w:uiPriority w:val="99"/>
    <w:semiHidden/>
    <w:rsid w:val="004F58D0"/>
    <w:rPr>
      <w:sz w:val="18"/>
      <w:szCs w:val="18"/>
    </w:rPr>
  </w:style>
  <w:style w:type="character" w:customStyle="1" w:styleId="BalloonTextChar">
    <w:name w:val="Balloon Text Char"/>
    <w:basedOn w:val="DefaultParagraphFont"/>
    <w:link w:val="BalloonText"/>
    <w:uiPriority w:val="99"/>
    <w:locked/>
    <w:rsid w:val="004F58D0"/>
    <w:rPr>
      <w:rFonts w:cs="Times New Roman"/>
      <w:kern w:val="2"/>
      <w:sz w:val="18"/>
      <w:szCs w:val="18"/>
    </w:rPr>
  </w:style>
  <w:style w:type="paragraph" w:styleId="Footer">
    <w:name w:val="footer"/>
    <w:basedOn w:val="Normal"/>
    <w:link w:val="FooterChar"/>
    <w:uiPriority w:val="99"/>
    <w:rsid w:val="004F58D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F58D0"/>
    <w:rPr>
      <w:rFonts w:cs="Times New Roman"/>
      <w:kern w:val="2"/>
      <w:sz w:val="18"/>
      <w:szCs w:val="18"/>
    </w:rPr>
  </w:style>
  <w:style w:type="paragraph" w:styleId="Header">
    <w:name w:val="header"/>
    <w:basedOn w:val="Normal"/>
    <w:link w:val="HeaderChar"/>
    <w:uiPriority w:val="99"/>
    <w:rsid w:val="004F58D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F58D0"/>
    <w:rPr>
      <w:rFonts w:cs="Times New Roman"/>
      <w:kern w:val="2"/>
      <w:sz w:val="18"/>
      <w:szCs w:val="18"/>
    </w:rPr>
  </w:style>
  <w:style w:type="character" w:styleId="PageNumber">
    <w:name w:val="page number"/>
    <w:basedOn w:val="DefaultParagraphFont"/>
    <w:uiPriority w:val="99"/>
    <w:rsid w:val="004F58D0"/>
    <w:rPr>
      <w:rFonts w:cs="Times New Roman"/>
    </w:rPr>
  </w:style>
  <w:style w:type="table" w:styleId="TableGrid">
    <w:name w:val="Table Grid"/>
    <w:basedOn w:val="TableNormal"/>
    <w:uiPriority w:val="99"/>
    <w:rsid w:val="004F58D0"/>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9</Pages>
  <Words>607</Words>
  <Characters>3460</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喀什地区部门决算和三公经费</dc:title>
  <dc:subject/>
  <dc:creator>许梦如</dc:creator>
  <cp:keywords/>
  <dc:description/>
  <cp:lastModifiedBy>微软用户</cp:lastModifiedBy>
  <cp:revision>33</cp:revision>
  <cp:lastPrinted>2016-08-03T02:49:00Z</cp:lastPrinted>
  <dcterms:created xsi:type="dcterms:W3CDTF">2016-08-02T09:43:00Z</dcterms:created>
  <dcterms:modified xsi:type="dcterms:W3CDTF">2019-01-15T14:15:00Z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