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宋体"/>
          <w:sz w:val="48"/>
          <w:szCs w:val="48"/>
        </w:rPr>
      </w:pP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2017年度塔什库尔干县统战部部门决算</w:t>
      </w: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公开说明</w:t>
      </w:r>
    </w:p>
    <w:p>
      <w:pPr>
        <w:spacing w:line="580" w:lineRule="exact"/>
        <w:outlineLvl w:val="1"/>
        <w:rPr>
          <w:rFonts w:ascii="华文中宋" w:hAnsi="华文中宋" w:eastAsia="华文中宋"/>
          <w:b/>
          <w:sz w:val="36"/>
          <w:szCs w:val="36"/>
        </w:rPr>
      </w:pPr>
    </w:p>
    <w:p>
      <w:pPr>
        <w:spacing w:line="560" w:lineRule="exact"/>
        <w:ind w:firstLine="3524" w:firstLineChars="1100"/>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塔什库尔干县统战部单位概况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rPr>
          <w:rFonts w:ascii="仿宋_GB2312" w:hAnsi="黑体" w:eastAsia="仿宋_GB2312"/>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（一）主要职能</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组织贯彻执行中央、自治区和喀什地委关于党的统一战线方针、政策、指示、决议；负责对县级统战系统的重要活动协调，并对贯彻落实各项统战方针、政策进行督促检查，向县委反映党外人士的意见和建议。负责联系各民主党派和无党派代表人士，协助县委贯彻党领导的多党合作和政治协商制度以及对民主党派的方针、政策，发挥市级各民主党派参政议政和民主监督作用；支持、帮助县级各民主党派开展工作，加强自身建设。协调检查有关民族、宗教工作方针、政策的落实情况，联系宗教界、少数民族的代表人士。</w:t>
      </w:r>
    </w:p>
    <w:p>
      <w:pPr>
        <w:numPr>
          <w:ilvl w:val="0"/>
          <w:numId w:val="1"/>
        </w:num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机构设置情况</w:t>
      </w:r>
    </w:p>
    <w:p>
      <w:pPr>
        <w:spacing w:line="560" w:lineRule="exact"/>
        <w:rPr>
          <w:rFonts w:ascii="仿宋_GB2312" w:hAnsi="宋体" w:eastAsia="仿宋_GB2312"/>
          <w:sz w:val="32"/>
          <w:szCs w:val="32"/>
        </w:rPr>
      </w:pPr>
      <w:r>
        <w:rPr>
          <w:rFonts w:hint="eastAsia" w:ascii="仿宋_GB2312" w:hAnsi="宋体" w:eastAsia="仿宋_GB2312" w:cs="仿宋_GB2312"/>
          <w:sz w:val="32"/>
          <w:szCs w:val="32"/>
        </w:rPr>
        <w:t xml:space="preserve">    塔什库尔干县统战部单位性质为行政</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全额拨款单位，执行会计制度为行政会计制度。独立编制机构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个，独立编制机构与上年无变动，内设机构有统战部、工商联、民族团结一家亲办公室。</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   （三）年末编制及实有人员情况</w:t>
      </w:r>
    </w:p>
    <w:p>
      <w:pPr>
        <w:spacing w:line="560" w:lineRule="exact"/>
        <w:rPr>
          <w:rFonts w:ascii="仿宋_GB2312" w:hAnsi="宋体" w:eastAsia="仿宋_GB2312"/>
          <w:sz w:val="32"/>
          <w:szCs w:val="32"/>
        </w:rPr>
      </w:pPr>
      <w:r>
        <w:rPr>
          <w:rFonts w:hint="eastAsia" w:ascii="仿宋_GB2312" w:hAnsi="宋体" w:eastAsia="仿宋_GB2312" w:cs="仿宋_GB2312"/>
          <w:sz w:val="32"/>
          <w:szCs w:val="32"/>
        </w:rPr>
        <w:t xml:space="preserve">    编制</w:t>
      </w:r>
      <w:r>
        <w:rPr>
          <w:rFonts w:ascii="仿宋_GB2312" w:hAnsi="宋体" w:eastAsia="仿宋_GB2312" w:cs="仿宋_GB2312"/>
          <w:sz w:val="32"/>
          <w:szCs w:val="32"/>
        </w:rPr>
        <w:t>8</w:t>
      </w:r>
      <w:r>
        <w:rPr>
          <w:rFonts w:hint="eastAsia" w:ascii="仿宋_GB2312" w:hAnsi="宋体" w:eastAsia="仿宋_GB2312" w:cs="仿宋_GB2312"/>
          <w:sz w:val="32"/>
          <w:szCs w:val="32"/>
        </w:rPr>
        <w:t>人，实有在职人数</w:t>
      </w:r>
      <w:r>
        <w:rPr>
          <w:rFonts w:ascii="仿宋_GB2312" w:hAnsi="宋体" w:eastAsia="仿宋_GB2312" w:cs="仿宋_GB2312"/>
          <w:sz w:val="32"/>
          <w:szCs w:val="32"/>
        </w:rPr>
        <w:t>7</w:t>
      </w:r>
      <w:r>
        <w:rPr>
          <w:rFonts w:hint="eastAsia" w:ascii="仿宋_GB2312" w:hAnsi="宋体" w:eastAsia="仿宋_GB2312" w:cs="仿宋_GB2312"/>
          <w:sz w:val="32"/>
          <w:szCs w:val="32"/>
        </w:rPr>
        <w:t>人，退休</w:t>
      </w:r>
      <w:r>
        <w:rPr>
          <w:rFonts w:ascii="仿宋_GB2312" w:hAnsi="宋体" w:eastAsia="仿宋_GB2312" w:cs="仿宋_GB2312"/>
          <w:sz w:val="32"/>
          <w:szCs w:val="32"/>
        </w:rPr>
        <w:t>0</w:t>
      </w:r>
      <w:r>
        <w:rPr>
          <w:rFonts w:hint="eastAsia" w:ascii="仿宋_GB2312" w:hAnsi="宋体" w:eastAsia="仿宋_GB2312" w:cs="仿宋_GB2312"/>
          <w:sz w:val="32"/>
          <w:szCs w:val="32"/>
        </w:rPr>
        <w:t>人，属于一般公共预算财政拨款（补助）开支</w:t>
      </w:r>
      <w:r>
        <w:rPr>
          <w:rFonts w:ascii="仿宋_GB2312" w:hAnsi="宋体" w:eastAsia="仿宋_GB2312" w:cs="仿宋_GB2312"/>
          <w:sz w:val="32"/>
          <w:szCs w:val="32"/>
        </w:rPr>
        <w:t>7</w:t>
      </w:r>
      <w:r>
        <w:rPr>
          <w:rFonts w:hint="eastAsia" w:ascii="仿宋_GB2312" w:hAnsi="宋体" w:eastAsia="仿宋_GB2312" w:cs="仿宋_GB2312"/>
          <w:sz w:val="32"/>
          <w:szCs w:val="32"/>
        </w:rPr>
        <w:t>人，其中：在职</w:t>
      </w:r>
      <w:r>
        <w:rPr>
          <w:rFonts w:ascii="仿宋_GB2312" w:hAnsi="宋体" w:eastAsia="仿宋_GB2312" w:cs="仿宋_GB2312"/>
          <w:sz w:val="32"/>
          <w:szCs w:val="32"/>
        </w:rPr>
        <w:t>7</w:t>
      </w:r>
      <w:r>
        <w:rPr>
          <w:rFonts w:hint="eastAsia" w:ascii="仿宋_GB2312" w:hAnsi="宋体" w:eastAsia="仿宋_GB2312" w:cs="仿宋_GB2312"/>
          <w:sz w:val="32"/>
          <w:szCs w:val="32"/>
        </w:rPr>
        <w:t>人，退休</w:t>
      </w:r>
      <w:r>
        <w:rPr>
          <w:rFonts w:ascii="仿宋_GB2312" w:hAnsi="宋体" w:eastAsia="仿宋_GB2312" w:cs="仿宋_GB2312"/>
          <w:sz w:val="32"/>
          <w:szCs w:val="32"/>
        </w:rPr>
        <w:t>0</w:t>
      </w:r>
      <w:r>
        <w:rPr>
          <w:rFonts w:hint="eastAsia" w:ascii="仿宋_GB2312" w:hAnsi="宋体" w:eastAsia="仿宋_GB2312" w:cs="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从决算单位构成看，塔什库尔干县统战部部门决算包括：塔什库尔干县统战部部门本级决算、所属单位决算等。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纳入统战部</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spacing w:line="560" w:lineRule="exact"/>
        <w:ind w:firstLine="616" w:firstLineChars="200"/>
        <w:rPr>
          <w:rFonts w:ascii="仿宋_GB2312" w:eastAsia="仿宋_GB2312"/>
          <w:spacing w:val="-6"/>
          <w:sz w:val="32"/>
          <w:szCs w:val="32"/>
        </w:rPr>
      </w:pP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4019"/>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220"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序号</w:t>
            </w:r>
          </w:p>
        </w:tc>
        <w:tc>
          <w:tcPr>
            <w:tcW w:w="4019"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单位名称</w:t>
            </w:r>
          </w:p>
        </w:tc>
        <w:tc>
          <w:tcPr>
            <w:tcW w:w="2821"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220" w:type="dxa"/>
            <w:vAlign w:val="center"/>
          </w:tcPr>
          <w:p>
            <w:pPr>
              <w:spacing w:line="560" w:lineRule="exact"/>
              <w:ind w:firstLine="640" w:firstLineChars="200"/>
              <w:rPr>
                <w:rFonts w:ascii="仿宋_GB2312" w:eastAsia="仿宋_GB2312"/>
                <w:sz w:val="32"/>
                <w:szCs w:val="32"/>
              </w:rPr>
            </w:pPr>
            <w:r>
              <w:rPr>
                <w:rFonts w:ascii="仿宋_GB2312" w:eastAsia="仿宋_GB2312"/>
                <w:sz w:val="32"/>
                <w:szCs w:val="32"/>
              </w:rPr>
              <w:t>1</w:t>
            </w:r>
          </w:p>
        </w:tc>
        <w:tc>
          <w:tcPr>
            <w:tcW w:w="4019"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塔什库尔干县统战部</w:t>
            </w:r>
          </w:p>
        </w:tc>
        <w:tc>
          <w:tcPr>
            <w:tcW w:w="2821" w:type="dxa"/>
            <w:vAlign w:val="center"/>
          </w:tcPr>
          <w:p>
            <w:pPr>
              <w:spacing w:line="560" w:lineRule="exact"/>
              <w:ind w:firstLine="640" w:firstLineChars="200"/>
              <w:rPr>
                <w:rFonts w:ascii="仿宋_GB2312" w:eastAsia="仿宋_GB2312"/>
                <w:sz w:val="32"/>
                <w:szCs w:val="32"/>
              </w:rPr>
            </w:pPr>
          </w:p>
        </w:tc>
      </w:tr>
    </w:tbl>
    <w:p>
      <w:pPr>
        <w:spacing w:line="560" w:lineRule="exact"/>
        <w:ind w:firstLine="643" w:firstLineChars="200"/>
        <w:rPr>
          <w:rFonts w:ascii="仿宋_GB2312" w:eastAsia="仿宋_GB2312"/>
          <w:b/>
          <w:sz w:val="32"/>
          <w:szCs w:val="32"/>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290.82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4.94</w:t>
      </w:r>
      <w:r>
        <w:rPr>
          <w:rFonts w:hint="eastAsia" w:ascii="仿宋_GB2312" w:eastAsia="仿宋_GB2312"/>
          <w:sz w:val="32"/>
          <w:szCs w:val="32"/>
        </w:rPr>
        <w:t>万元，增长</w:t>
      </w:r>
      <w:r>
        <w:rPr>
          <w:rFonts w:ascii="仿宋_GB2312" w:eastAsia="仿宋_GB2312"/>
          <w:sz w:val="32"/>
          <w:szCs w:val="32"/>
        </w:rPr>
        <w:t>2%</w:t>
      </w:r>
      <w:r>
        <w:rPr>
          <w:rFonts w:hint="eastAsia" w:ascii="仿宋_GB2312" w:eastAsia="仿宋_GB2312"/>
          <w:sz w:val="32"/>
          <w:szCs w:val="32"/>
        </w:rPr>
        <w:t>，支出</w:t>
      </w:r>
      <w:r>
        <w:rPr>
          <w:rFonts w:ascii="仿宋_GB2312" w:eastAsia="仿宋_GB2312"/>
          <w:sz w:val="32"/>
          <w:szCs w:val="32"/>
        </w:rPr>
        <w:t>290.82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 xml:space="preserve">4.94 </w:t>
      </w:r>
      <w:r>
        <w:rPr>
          <w:rFonts w:hint="eastAsia" w:ascii="仿宋_GB2312" w:eastAsia="仿宋_GB2312"/>
          <w:sz w:val="32"/>
          <w:szCs w:val="32"/>
        </w:rPr>
        <w:t>万元，增加</w:t>
      </w:r>
      <w:r>
        <w:rPr>
          <w:rFonts w:ascii="仿宋_GB2312" w:eastAsia="仿宋_GB2312"/>
          <w:sz w:val="32"/>
          <w:szCs w:val="32"/>
        </w:rPr>
        <w:t xml:space="preserve"> 2% </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。增加的主要原因是：人员其他补助经费增加。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195.11</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年收入</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万元，增长49.05%，支出</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万元，增长49.05%。增加的主要原因是：驻村工作人员经费（专项）年初未做预算。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bookmarkStart w:id="0" w:name="_GoBack"/>
      <w:bookmarkEnd w:id="0"/>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290.82</w:t>
      </w:r>
      <w:r>
        <w:rPr>
          <w:rFonts w:hint="eastAsia" w:ascii="仿宋_GB2312" w:eastAsia="仿宋_GB2312"/>
          <w:sz w:val="32"/>
          <w:szCs w:val="32"/>
        </w:rPr>
        <w:t>万元，其中：财政拨款收入</w:t>
      </w:r>
      <w:r>
        <w:rPr>
          <w:rFonts w:ascii="仿宋_GB2312" w:eastAsia="仿宋_GB2312"/>
          <w:sz w:val="32"/>
          <w:szCs w:val="32"/>
        </w:rPr>
        <w:t>290.82</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。增加的主要原因是：人员其他补助经费增加。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195.11</w:t>
      </w:r>
      <w:r>
        <w:rPr>
          <w:rFonts w:hint="eastAsia" w:ascii="仿宋_GB2312" w:eastAsia="仿宋_GB2312"/>
          <w:sz w:val="32"/>
          <w:szCs w:val="32"/>
        </w:rPr>
        <w:t>万元，本年收入合计</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万元，增长49.05%。增加的主要原因是：驻村工作人员经费年初未做预算。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hint="eastAsia" w:ascii="仿宋_GB2312" w:eastAsia="仿宋_GB2312"/>
          <w:sz w:val="32"/>
          <w:szCs w:val="32"/>
        </w:rPr>
        <w:t xml:space="preserve">   （三）部门支出总体情况说明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290.82</w:t>
      </w:r>
      <w:r>
        <w:rPr>
          <w:rFonts w:hint="eastAsia" w:ascii="仿宋_GB2312" w:eastAsia="仿宋_GB2312"/>
          <w:sz w:val="32"/>
          <w:szCs w:val="32"/>
        </w:rPr>
        <w:t>万元，其中：基本支出</w:t>
      </w:r>
      <w:r>
        <w:rPr>
          <w:rFonts w:ascii="仿宋_GB2312" w:eastAsia="仿宋_GB2312"/>
          <w:sz w:val="32"/>
          <w:szCs w:val="32"/>
        </w:rPr>
        <w:t>131.94</w:t>
      </w:r>
      <w:r>
        <w:rPr>
          <w:rFonts w:hint="eastAsia" w:ascii="仿宋_GB2312" w:eastAsia="仿宋_GB2312"/>
          <w:sz w:val="32"/>
          <w:szCs w:val="32"/>
        </w:rPr>
        <w:t>万元，占</w:t>
      </w:r>
      <w:r>
        <w:rPr>
          <w:rFonts w:ascii="仿宋_GB2312" w:eastAsia="仿宋_GB2312"/>
          <w:sz w:val="32"/>
          <w:szCs w:val="32"/>
        </w:rPr>
        <w:t>45%</w:t>
      </w:r>
      <w:r>
        <w:rPr>
          <w:rFonts w:hint="eastAsia" w:ascii="仿宋_GB2312" w:eastAsia="仿宋_GB2312"/>
          <w:sz w:val="32"/>
          <w:szCs w:val="32"/>
        </w:rPr>
        <w:t>；项目支出</w:t>
      </w:r>
      <w:r>
        <w:rPr>
          <w:rFonts w:ascii="仿宋_GB2312" w:eastAsia="仿宋_GB2312"/>
          <w:sz w:val="32"/>
          <w:szCs w:val="32"/>
        </w:rPr>
        <w:t>158.88</w:t>
      </w:r>
      <w:r>
        <w:rPr>
          <w:rFonts w:hint="eastAsia" w:ascii="仿宋_GB2312" w:eastAsia="仿宋_GB2312"/>
          <w:sz w:val="32"/>
          <w:szCs w:val="32"/>
        </w:rPr>
        <w:t>万元，占</w:t>
      </w:r>
      <w:r>
        <w:rPr>
          <w:rFonts w:ascii="仿宋_GB2312" w:eastAsia="仿宋_GB2312"/>
          <w:sz w:val="32"/>
          <w:szCs w:val="32"/>
        </w:rPr>
        <w:t>55%</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。增加的主要原因是：人员其他补助经费增加。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195.11</w:t>
      </w:r>
      <w:r>
        <w:rPr>
          <w:rFonts w:hint="eastAsia" w:ascii="仿宋_GB2312" w:eastAsia="仿宋_GB2312"/>
          <w:sz w:val="32"/>
          <w:szCs w:val="32"/>
        </w:rPr>
        <w:t>万元，本年支出合计</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万元，增长49.05%。增加的主要原因是：驻村工作人员经费（专项）年初未做预算。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290.82</w:t>
      </w:r>
      <w:r>
        <w:rPr>
          <w:rFonts w:hint="eastAsia" w:ascii="仿宋_GB2312" w:eastAsia="仿宋_GB2312"/>
          <w:sz w:val="32"/>
          <w:szCs w:val="32"/>
        </w:rPr>
        <w:t>万元，与上年相比，增加</w:t>
      </w:r>
      <w:r>
        <w:rPr>
          <w:rFonts w:ascii="仿宋_GB2312" w:eastAsia="仿宋_GB2312"/>
          <w:sz w:val="32"/>
          <w:szCs w:val="32"/>
        </w:rPr>
        <w:t>85.92</w:t>
      </w:r>
      <w:r>
        <w:rPr>
          <w:rFonts w:hint="eastAsia" w:ascii="仿宋_GB2312" w:eastAsia="仿宋_GB2312"/>
          <w:sz w:val="32"/>
          <w:szCs w:val="32"/>
        </w:rPr>
        <w:t>万元，增长</w:t>
      </w:r>
      <w:r>
        <w:rPr>
          <w:rFonts w:ascii="仿宋_GB2312" w:eastAsia="仿宋_GB2312"/>
          <w:sz w:val="32"/>
          <w:szCs w:val="32"/>
        </w:rPr>
        <w:t>41.93%</w:t>
      </w:r>
      <w:r>
        <w:rPr>
          <w:rFonts w:hint="eastAsia" w:ascii="仿宋_GB2312" w:eastAsia="仿宋_GB2312"/>
          <w:sz w:val="32"/>
          <w:szCs w:val="32"/>
        </w:rPr>
        <w:t>，增加的主要原因是：人员其他补助经费增加。财政拨款支出</w:t>
      </w:r>
      <w:r>
        <w:rPr>
          <w:rFonts w:ascii="仿宋_GB2312" w:eastAsia="仿宋_GB2312"/>
          <w:sz w:val="32"/>
          <w:szCs w:val="32"/>
        </w:rPr>
        <w:t>290.82</w:t>
      </w:r>
      <w:r>
        <w:rPr>
          <w:rFonts w:hint="eastAsia" w:ascii="仿宋_GB2312" w:eastAsia="仿宋_GB2312"/>
          <w:sz w:val="32"/>
          <w:szCs w:val="32"/>
        </w:rPr>
        <w:t>万元，与上年相比，增加</w:t>
      </w:r>
      <w:r>
        <w:rPr>
          <w:rFonts w:ascii="仿宋_GB2312" w:eastAsia="仿宋_GB2312"/>
          <w:sz w:val="32"/>
          <w:szCs w:val="32"/>
        </w:rPr>
        <w:t>85.92</w:t>
      </w:r>
      <w:r>
        <w:rPr>
          <w:rFonts w:hint="eastAsia" w:ascii="仿宋_GB2312" w:eastAsia="仿宋_GB2312"/>
          <w:sz w:val="32"/>
          <w:szCs w:val="32"/>
        </w:rPr>
        <w:t>万元，增长</w:t>
      </w:r>
      <w:r>
        <w:rPr>
          <w:rFonts w:ascii="仿宋_GB2312" w:eastAsia="仿宋_GB2312"/>
          <w:sz w:val="32"/>
          <w:szCs w:val="32"/>
        </w:rPr>
        <w:t>41.93%</w:t>
      </w:r>
      <w:r>
        <w:rPr>
          <w:rFonts w:hint="eastAsia" w:ascii="仿宋_GB2312" w:eastAsia="仿宋_GB2312"/>
          <w:sz w:val="32"/>
          <w:szCs w:val="32"/>
        </w:rPr>
        <w:t>。其中：基本支出</w:t>
      </w:r>
      <w:r>
        <w:rPr>
          <w:rFonts w:ascii="仿宋_GB2312" w:eastAsia="仿宋_GB2312"/>
          <w:sz w:val="32"/>
          <w:szCs w:val="32"/>
        </w:rPr>
        <w:t>131.94</w:t>
      </w:r>
      <w:r>
        <w:rPr>
          <w:rFonts w:hint="eastAsia" w:ascii="仿宋_GB2312" w:eastAsia="仿宋_GB2312"/>
          <w:sz w:val="32"/>
          <w:szCs w:val="32"/>
        </w:rPr>
        <w:t>元，项目支出</w:t>
      </w:r>
      <w:r>
        <w:rPr>
          <w:rFonts w:ascii="仿宋_GB2312" w:eastAsia="仿宋_GB2312"/>
          <w:sz w:val="32"/>
          <w:szCs w:val="32"/>
        </w:rPr>
        <w:t>158.88</w:t>
      </w:r>
      <w:r>
        <w:rPr>
          <w:rFonts w:hint="eastAsia" w:ascii="仿宋_GB2312" w:eastAsia="仿宋_GB2312"/>
          <w:sz w:val="32"/>
          <w:szCs w:val="32"/>
        </w:rPr>
        <w:t>万元。增加的主要原因是：人员其他补助经费增加。财政拨款结转结余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。增减变化的主要原因是：本单位无财政拨款结转结余。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195.11</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万元，增长49.05%，财政拨款支出</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万元，增长49.05%。增加的主要原因是：驻村工作人员经费（专项）年初未做预算。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hint="eastAsia" w:ascii="仿宋_GB2312" w:eastAsia="仿宋_GB2312"/>
          <w:sz w:val="32"/>
          <w:szCs w:val="32"/>
        </w:rPr>
        <w:t xml:space="preserve">    （二）一般公共预算支出决算情况说明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290.82</w:t>
      </w:r>
      <w:r>
        <w:rPr>
          <w:rFonts w:hint="eastAsia" w:ascii="仿宋_GB2312" w:eastAsia="仿宋_GB2312"/>
          <w:sz w:val="32"/>
          <w:szCs w:val="32"/>
        </w:rPr>
        <w:t>万元。与上年相比，增加</w:t>
      </w:r>
      <w:r>
        <w:rPr>
          <w:rFonts w:ascii="仿宋_GB2312" w:eastAsia="仿宋_GB2312"/>
          <w:sz w:val="32"/>
          <w:szCs w:val="32"/>
        </w:rPr>
        <w:t>85.92</w:t>
      </w:r>
      <w:r>
        <w:rPr>
          <w:rFonts w:hint="eastAsia" w:ascii="仿宋_GB2312" w:eastAsia="仿宋_GB2312"/>
          <w:sz w:val="32"/>
          <w:szCs w:val="32"/>
        </w:rPr>
        <w:t>万元，增长</w:t>
      </w:r>
      <w:r>
        <w:rPr>
          <w:rFonts w:ascii="仿宋_GB2312" w:eastAsia="仿宋_GB2312"/>
          <w:sz w:val="32"/>
          <w:szCs w:val="32"/>
        </w:rPr>
        <w:t>41.93%</w:t>
      </w:r>
      <w:r>
        <w:rPr>
          <w:rFonts w:hint="eastAsia" w:ascii="仿宋_GB2312" w:eastAsia="仿宋_GB2312"/>
          <w:sz w:val="32"/>
          <w:szCs w:val="32"/>
        </w:rPr>
        <w:t>，增减变化的主要原因是：本年项目增加。其中：按功能分类科目，一般公共服务支出</w:t>
      </w:r>
      <w:r>
        <w:rPr>
          <w:rFonts w:ascii="仿宋_GB2312" w:eastAsia="仿宋_GB2312"/>
          <w:sz w:val="32"/>
          <w:szCs w:val="32"/>
        </w:rPr>
        <w:t>274.02</w:t>
      </w:r>
      <w:r>
        <w:rPr>
          <w:rFonts w:hint="eastAsia" w:ascii="仿宋_GB2312" w:eastAsia="仿宋_GB2312"/>
          <w:sz w:val="32"/>
          <w:szCs w:val="32"/>
        </w:rPr>
        <w:t>万元，社会保障和就业支出</w:t>
      </w:r>
      <w:r>
        <w:rPr>
          <w:rFonts w:ascii="仿宋_GB2312" w:eastAsia="仿宋_GB2312"/>
          <w:sz w:val="32"/>
          <w:szCs w:val="32"/>
        </w:rPr>
        <w:t>10.11</w:t>
      </w:r>
      <w:r>
        <w:rPr>
          <w:rFonts w:hint="eastAsia" w:ascii="仿宋_GB2312" w:eastAsia="仿宋_GB2312"/>
          <w:sz w:val="32"/>
          <w:szCs w:val="32"/>
        </w:rPr>
        <w:t>万元。住房保障支出</w:t>
      </w:r>
      <w:r>
        <w:rPr>
          <w:rFonts w:ascii="仿宋_GB2312" w:eastAsia="仿宋_GB2312"/>
          <w:sz w:val="32"/>
          <w:szCs w:val="32"/>
        </w:rPr>
        <w:t>6.69</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按经济分类科目，工资福利支出77.20万元，商品和服务支出29.50万元，对个人和家庭的补助139.03万元，其他资本性支出45.08万元。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195.11</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290.82</w:t>
      </w:r>
      <w:r>
        <w:rPr>
          <w:rFonts w:hint="eastAsia" w:ascii="仿宋_GB2312" w:eastAsia="仿宋_GB2312"/>
          <w:sz w:val="32"/>
          <w:szCs w:val="32"/>
        </w:rPr>
        <w:t>万元，与预算相比，增加</w:t>
      </w:r>
      <w:r>
        <w:rPr>
          <w:rFonts w:ascii="仿宋_GB2312" w:eastAsia="仿宋_GB2312"/>
          <w:sz w:val="32"/>
          <w:szCs w:val="32"/>
        </w:rPr>
        <w:t>95.71</w:t>
      </w:r>
      <w:r>
        <w:rPr>
          <w:rFonts w:hint="eastAsia" w:ascii="仿宋_GB2312" w:eastAsia="仿宋_GB2312"/>
          <w:sz w:val="32"/>
          <w:szCs w:val="32"/>
        </w:rPr>
        <w:t>万元，增长49.05%。增加的主要原因是：驻村工作人员经费（专项）年初未做预算。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hint="eastAsia" w:ascii="仿宋_GB2312" w:eastAsia="仿宋_GB2312"/>
          <w:sz w:val="32"/>
          <w:szCs w:val="32"/>
        </w:rPr>
        <w:t xml:space="preserve">   （三）政府性基金预算收支决算情况说明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。增减变化的主要原因是本单位无政府性基金预算收支。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。增减变化的主要原因是本单位无政府性基金预算收支。其中：按功能分类科目，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0</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 xml:space="preserve">0% </w:t>
      </w:r>
      <w:r>
        <w:rPr>
          <w:rFonts w:hint="eastAsia" w:ascii="仿宋_GB2312" w:eastAsia="仿宋_GB2312"/>
          <w:sz w:val="32"/>
          <w:szCs w:val="32"/>
        </w:rPr>
        <w:t>。增加（减少）原因是本单位无一般公共预算“三公”经费支出。其中，因公出国（境）费支出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，比上年减少</w:t>
      </w:r>
      <w:r>
        <w:rPr>
          <w:rFonts w:ascii="仿宋_GB2312" w:eastAsia="仿宋_GB2312"/>
          <w:sz w:val="32"/>
          <w:szCs w:val="32"/>
        </w:rPr>
        <w:t>0</w:t>
      </w:r>
      <w:r>
        <w:rPr>
          <w:rFonts w:hint="eastAsia" w:ascii="仿宋_GB2312" w:eastAsia="仿宋_GB2312"/>
          <w:sz w:val="32"/>
          <w:szCs w:val="32"/>
        </w:rPr>
        <w:t>万元，降低</w:t>
      </w:r>
      <w:r>
        <w:rPr>
          <w:rFonts w:ascii="仿宋_GB2312" w:eastAsia="仿宋_GB2312"/>
          <w:sz w:val="32"/>
          <w:szCs w:val="32"/>
        </w:rPr>
        <w:t>0%</w:t>
      </w:r>
      <w:r>
        <w:rPr>
          <w:rFonts w:hint="eastAsia" w:ascii="仿宋_GB2312" w:eastAsia="仿宋_GB2312"/>
          <w:sz w:val="32"/>
          <w:szCs w:val="32"/>
        </w:rPr>
        <w:t>，增加（减少）原因是本单位无公务用车购置及运行维护费支出；公务接待费支出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，增加（减少）原因是本单位无公务接待费支出。具体情况如下：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万元。塔什库尔干县统战部全年使用一般公共预算财政拨款安排的出国（境）团组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万元。主要用于无，</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0</w:t>
      </w:r>
      <w:r>
        <w:rPr>
          <w:rFonts w:hint="eastAsia" w:ascii="仿宋_GB2312" w:eastAsia="仿宋_GB2312"/>
          <w:sz w:val="32"/>
          <w:szCs w:val="32"/>
        </w:rPr>
        <w:t>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万元，主要是无。塔什库尔干县统战部国内公务接待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与预算相比情况：本单位无一般公共预算“三公”经费支出。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年度塔什库尔干县统战部机关运行经费支出</w:t>
      </w:r>
      <w:r>
        <w:rPr>
          <w:rFonts w:ascii="仿宋_GB2312" w:eastAsia="仿宋_GB2312"/>
          <w:sz w:val="32"/>
          <w:szCs w:val="32"/>
        </w:rPr>
        <w:t>7.85</w:t>
      </w:r>
      <w:r>
        <w:rPr>
          <w:rFonts w:hint="eastAsia" w:ascii="仿宋_GB2312" w:eastAsia="仿宋_GB2312"/>
          <w:sz w:val="32"/>
          <w:szCs w:val="32"/>
        </w:rPr>
        <w:t>万元，比上年减少</w:t>
      </w:r>
      <w:r>
        <w:rPr>
          <w:rFonts w:ascii="仿宋_GB2312" w:eastAsia="仿宋_GB2312"/>
          <w:sz w:val="32"/>
          <w:szCs w:val="32"/>
        </w:rPr>
        <w:t>0.86</w:t>
      </w:r>
      <w:r>
        <w:rPr>
          <w:rFonts w:hint="eastAsia" w:ascii="仿宋_GB2312" w:eastAsia="仿宋_GB2312"/>
          <w:sz w:val="32"/>
          <w:szCs w:val="32"/>
        </w:rPr>
        <w:t>万元，降低</w:t>
      </w:r>
      <w:r>
        <w:rPr>
          <w:rFonts w:ascii="仿宋_GB2312" w:eastAsia="仿宋_GB2312"/>
          <w:sz w:val="32"/>
          <w:szCs w:val="32"/>
        </w:rPr>
        <w:t>9.9%</w:t>
      </w:r>
      <w:r>
        <w:rPr>
          <w:rFonts w:hint="eastAsia" w:ascii="仿宋_GB2312" w:eastAsia="仿宋_GB2312"/>
          <w:sz w:val="32"/>
          <w:szCs w:val="32"/>
        </w:rPr>
        <w:t>，主要原因是：办公费减少。</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塔什库尔干县统战部政府采购计划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47.74</w:t>
      </w:r>
      <w:r>
        <w:rPr>
          <w:rFonts w:hint="eastAsia" w:ascii="仿宋_GB2312" w:eastAsia="仿宋_GB2312"/>
          <w:sz w:val="32"/>
          <w:szCs w:val="32"/>
        </w:rPr>
        <w:t>万元，其中：流动资产</w:t>
      </w:r>
      <w:r>
        <w:rPr>
          <w:rFonts w:ascii="仿宋_GB2312" w:eastAsia="仿宋_GB2312"/>
          <w:sz w:val="32"/>
          <w:szCs w:val="32"/>
        </w:rPr>
        <w:t>41.52</w:t>
      </w:r>
      <w:r>
        <w:rPr>
          <w:rFonts w:hint="eastAsia" w:ascii="仿宋_GB2312" w:eastAsia="仿宋_GB2312"/>
          <w:sz w:val="32"/>
          <w:szCs w:val="32"/>
        </w:rPr>
        <w:t>万元，固定资产</w:t>
      </w:r>
      <w:r>
        <w:rPr>
          <w:rFonts w:ascii="仿宋_GB2312" w:eastAsia="仿宋_GB2312"/>
          <w:sz w:val="32"/>
          <w:szCs w:val="32"/>
        </w:rPr>
        <w:t>6.22</w:t>
      </w:r>
      <w:r>
        <w:rPr>
          <w:rFonts w:hint="eastAsia" w:ascii="仿宋_GB2312" w:eastAsia="仿宋_GB2312"/>
          <w:sz w:val="32"/>
          <w:szCs w:val="32"/>
        </w:rPr>
        <w:t>万元，其中：房屋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万元，共有车辆</w:t>
      </w:r>
      <w:r>
        <w:rPr>
          <w:rFonts w:ascii="仿宋_GB2312" w:eastAsia="仿宋_GB2312"/>
          <w:sz w:val="32"/>
          <w:szCs w:val="32"/>
        </w:rPr>
        <w:t>0</w:t>
      </w:r>
      <w:r>
        <w:rPr>
          <w:rFonts w:hint="eastAsia" w:ascii="仿宋_GB2312" w:eastAsia="仿宋_GB2312"/>
          <w:sz w:val="32"/>
          <w:szCs w:val="32"/>
        </w:rPr>
        <w:t>辆，其中：部级领导干部用车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0</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辆（其他用车主要是：无）；单位价值50万元以上通用设备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6.22</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日，塔什库尔干县统战部资产有偿使用收入合计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年度，本部门单位实行绩效管理的项目0个，涉及预算</w:t>
      </w:r>
      <w:r>
        <w:rPr>
          <w:rFonts w:hint="eastAsia" w:ascii="仿宋_GB2312" w:eastAsia="仿宋_GB2312"/>
          <w:sz w:val="32"/>
          <w:szCs w:val="32"/>
        </w:rPr>
        <w:t>0万元</w:t>
      </w:r>
      <w:r>
        <w:rPr>
          <w:rFonts w:hint="eastAsia" w:ascii="仿宋_GB2312" w:hAnsi="宋体" w:eastAsia="仿宋_GB2312" w:cs="宋体"/>
          <w:sz w:val="32"/>
          <w:szCs w:val="32"/>
        </w:rPr>
        <w:t>，项目支出决算</w:t>
      </w:r>
      <w:r>
        <w:rPr>
          <w:rFonts w:hint="eastAsia" w:ascii="仿宋_GB2312" w:eastAsia="仿宋_GB2312"/>
          <w:sz w:val="32"/>
          <w:szCs w:val="32"/>
        </w:rPr>
        <w:t>0万元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p>
    <w:p>
      <w:pPr>
        <w:spacing w:line="560" w:lineRule="exact"/>
        <w:ind w:firstLine="64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24</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（项）：指其他宗教事务支出。</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34</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（项）：指其他统战事务支出。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hAnsi="Calibri" w:eastAsia="仿宋_GB2312"/>
          <w:sz w:val="32"/>
          <w:szCs w:val="32"/>
          <w:lang w:val="en-GB"/>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320" w:firstLineChars="100"/>
        <w:rPr>
          <w:rFonts w:ascii="仿宋_GB2312" w:eastAsia="仿宋_GB2312"/>
          <w:sz w:val="32"/>
          <w:szCs w:val="32"/>
        </w:rPr>
      </w:pPr>
    </w:p>
    <w:p>
      <w:pPr>
        <w:spacing w:line="560" w:lineRule="exact"/>
        <w:ind w:firstLine="320" w:firstLineChars="100"/>
        <w:rPr>
          <w:rFonts w:ascii="仿宋_GB2312" w:eastAsia="仿宋_GB2312"/>
          <w:sz w:val="32"/>
          <w:szCs w:val="32"/>
        </w:rPr>
      </w:pPr>
    </w:p>
    <w:p>
      <w:pPr>
        <w:spacing w:line="560" w:lineRule="exact"/>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10</w:t>
    </w:r>
    <w:r>
      <w:rPr>
        <w:rStyle w:val="6"/>
        <w:sz w:val="28"/>
        <w:szCs w:val="28"/>
      </w:rPr>
      <w:fldChar w:fldCharType="end"/>
    </w:r>
    <w:r>
      <w:rPr>
        <w:rStyle w:val="6"/>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17A0F"/>
    <w:multiLevelType w:val="singleLevel"/>
    <w:tmpl w:val="5A617A0F"/>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451A9"/>
    <w:rsid w:val="0005116D"/>
    <w:rsid w:val="00056563"/>
    <w:rsid w:val="0011311F"/>
    <w:rsid w:val="00141209"/>
    <w:rsid w:val="0014229E"/>
    <w:rsid w:val="00145DB1"/>
    <w:rsid w:val="001B1B7D"/>
    <w:rsid w:val="00230C56"/>
    <w:rsid w:val="00240E14"/>
    <w:rsid w:val="002644E6"/>
    <w:rsid w:val="00277601"/>
    <w:rsid w:val="002E1B11"/>
    <w:rsid w:val="002F3D29"/>
    <w:rsid w:val="00394A22"/>
    <w:rsid w:val="004061E4"/>
    <w:rsid w:val="00485B81"/>
    <w:rsid w:val="004976C1"/>
    <w:rsid w:val="004B54CF"/>
    <w:rsid w:val="004F24D3"/>
    <w:rsid w:val="00500292"/>
    <w:rsid w:val="00501EAA"/>
    <w:rsid w:val="005339B1"/>
    <w:rsid w:val="005424E1"/>
    <w:rsid w:val="00566BEF"/>
    <w:rsid w:val="00580D50"/>
    <w:rsid w:val="00587EA2"/>
    <w:rsid w:val="005A0237"/>
    <w:rsid w:val="005C398B"/>
    <w:rsid w:val="005D4801"/>
    <w:rsid w:val="005D70EE"/>
    <w:rsid w:val="00642BB5"/>
    <w:rsid w:val="006E1F6B"/>
    <w:rsid w:val="007147DC"/>
    <w:rsid w:val="00772535"/>
    <w:rsid w:val="00782B64"/>
    <w:rsid w:val="00786B16"/>
    <w:rsid w:val="007A174C"/>
    <w:rsid w:val="007A43AF"/>
    <w:rsid w:val="007B05A1"/>
    <w:rsid w:val="007D0240"/>
    <w:rsid w:val="00806514"/>
    <w:rsid w:val="00840431"/>
    <w:rsid w:val="008576AF"/>
    <w:rsid w:val="00871945"/>
    <w:rsid w:val="0088630E"/>
    <w:rsid w:val="00892F45"/>
    <w:rsid w:val="008B4B33"/>
    <w:rsid w:val="008D633E"/>
    <w:rsid w:val="008D6C4E"/>
    <w:rsid w:val="00936F21"/>
    <w:rsid w:val="00946669"/>
    <w:rsid w:val="00975E2E"/>
    <w:rsid w:val="009902CF"/>
    <w:rsid w:val="009F635E"/>
    <w:rsid w:val="00A70611"/>
    <w:rsid w:val="00A808F2"/>
    <w:rsid w:val="00AA080E"/>
    <w:rsid w:val="00AA3CE3"/>
    <w:rsid w:val="00AC51DA"/>
    <w:rsid w:val="00AE1E9C"/>
    <w:rsid w:val="00AE6B8D"/>
    <w:rsid w:val="00B649FB"/>
    <w:rsid w:val="00B8500A"/>
    <w:rsid w:val="00BB7D4F"/>
    <w:rsid w:val="00C43487"/>
    <w:rsid w:val="00C50EE1"/>
    <w:rsid w:val="00D91BA1"/>
    <w:rsid w:val="00E00AEA"/>
    <w:rsid w:val="00E0168B"/>
    <w:rsid w:val="00E15B4B"/>
    <w:rsid w:val="00E32784"/>
    <w:rsid w:val="00E56972"/>
    <w:rsid w:val="00E930EF"/>
    <w:rsid w:val="00F319FF"/>
    <w:rsid w:val="00F329B8"/>
    <w:rsid w:val="00F425AC"/>
    <w:rsid w:val="013657A3"/>
    <w:rsid w:val="018A45B0"/>
    <w:rsid w:val="02544FA0"/>
    <w:rsid w:val="02575012"/>
    <w:rsid w:val="03570561"/>
    <w:rsid w:val="03F30660"/>
    <w:rsid w:val="0496760D"/>
    <w:rsid w:val="05495078"/>
    <w:rsid w:val="064763B5"/>
    <w:rsid w:val="06E6194F"/>
    <w:rsid w:val="06F24B33"/>
    <w:rsid w:val="079344F2"/>
    <w:rsid w:val="07F926E8"/>
    <w:rsid w:val="099B7FAC"/>
    <w:rsid w:val="0A0105F8"/>
    <w:rsid w:val="0B1F6FA1"/>
    <w:rsid w:val="0C000EC2"/>
    <w:rsid w:val="0C01082A"/>
    <w:rsid w:val="0C4F0B21"/>
    <w:rsid w:val="0D383F78"/>
    <w:rsid w:val="0D650C89"/>
    <w:rsid w:val="0E8130D0"/>
    <w:rsid w:val="0E85170A"/>
    <w:rsid w:val="0F1E2314"/>
    <w:rsid w:val="0F4C1488"/>
    <w:rsid w:val="10405B3C"/>
    <w:rsid w:val="12BD455E"/>
    <w:rsid w:val="14413001"/>
    <w:rsid w:val="146D08F9"/>
    <w:rsid w:val="14D7574E"/>
    <w:rsid w:val="16AA4B5F"/>
    <w:rsid w:val="16BE371B"/>
    <w:rsid w:val="17422A68"/>
    <w:rsid w:val="184238BA"/>
    <w:rsid w:val="18DD310C"/>
    <w:rsid w:val="198A75ED"/>
    <w:rsid w:val="19F1181F"/>
    <w:rsid w:val="1A2360B1"/>
    <w:rsid w:val="1AA86109"/>
    <w:rsid w:val="1B3634F2"/>
    <w:rsid w:val="1BCE0162"/>
    <w:rsid w:val="1BDB263F"/>
    <w:rsid w:val="1C087512"/>
    <w:rsid w:val="1C2F58ED"/>
    <w:rsid w:val="1D512590"/>
    <w:rsid w:val="1E03411F"/>
    <w:rsid w:val="1E6A1F4A"/>
    <w:rsid w:val="1E842F86"/>
    <w:rsid w:val="1E8A5ABA"/>
    <w:rsid w:val="1EC11612"/>
    <w:rsid w:val="1F2E5BB0"/>
    <w:rsid w:val="1F4352EC"/>
    <w:rsid w:val="1F723907"/>
    <w:rsid w:val="1FA4538B"/>
    <w:rsid w:val="1FB73C3E"/>
    <w:rsid w:val="205466CF"/>
    <w:rsid w:val="20AE3A37"/>
    <w:rsid w:val="20B826E0"/>
    <w:rsid w:val="20C11A53"/>
    <w:rsid w:val="210E68C4"/>
    <w:rsid w:val="213A4089"/>
    <w:rsid w:val="22F03669"/>
    <w:rsid w:val="2350164D"/>
    <w:rsid w:val="23781FB9"/>
    <w:rsid w:val="24A061E7"/>
    <w:rsid w:val="25760A45"/>
    <w:rsid w:val="280B7A79"/>
    <w:rsid w:val="28507F34"/>
    <w:rsid w:val="295C10C0"/>
    <w:rsid w:val="29640F3F"/>
    <w:rsid w:val="29A20757"/>
    <w:rsid w:val="29C25B8C"/>
    <w:rsid w:val="29E40C73"/>
    <w:rsid w:val="2A0C05F3"/>
    <w:rsid w:val="2A7B1D25"/>
    <w:rsid w:val="2BCC2A16"/>
    <w:rsid w:val="2C0B139B"/>
    <w:rsid w:val="2C405C68"/>
    <w:rsid w:val="2D733300"/>
    <w:rsid w:val="2DB067A5"/>
    <w:rsid w:val="2DB10AEC"/>
    <w:rsid w:val="2DBB2EB2"/>
    <w:rsid w:val="2DE46883"/>
    <w:rsid w:val="2E114166"/>
    <w:rsid w:val="2ED86B73"/>
    <w:rsid w:val="2F2F264A"/>
    <w:rsid w:val="2F840F1D"/>
    <w:rsid w:val="2FBF2A1F"/>
    <w:rsid w:val="302E42F6"/>
    <w:rsid w:val="30520D9F"/>
    <w:rsid w:val="30A0023C"/>
    <w:rsid w:val="311C7574"/>
    <w:rsid w:val="314B078D"/>
    <w:rsid w:val="31E27CC7"/>
    <w:rsid w:val="33D346FF"/>
    <w:rsid w:val="343B6F06"/>
    <w:rsid w:val="346C016A"/>
    <w:rsid w:val="3484310F"/>
    <w:rsid w:val="34A73F27"/>
    <w:rsid w:val="36320444"/>
    <w:rsid w:val="364E5405"/>
    <w:rsid w:val="37FA19CC"/>
    <w:rsid w:val="38A22F64"/>
    <w:rsid w:val="394657A2"/>
    <w:rsid w:val="39E63201"/>
    <w:rsid w:val="3ACD1780"/>
    <w:rsid w:val="3AEF7607"/>
    <w:rsid w:val="3BC63FBF"/>
    <w:rsid w:val="3C9A62D9"/>
    <w:rsid w:val="3D0A60C9"/>
    <w:rsid w:val="3D895F36"/>
    <w:rsid w:val="3E8D29A8"/>
    <w:rsid w:val="3F8A3229"/>
    <w:rsid w:val="404B735C"/>
    <w:rsid w:val="42025AD0"/>
    <w:rsid w:val="431714DA"/>
    <w:rsid w:val="43757C57"/>
    <w:rsid w:val="43BC642B"/>
    <w:rsid w:val="43F925AB"/>
    <w:rsid w:val="45A16B89"/>
    <w:rsid w:val="46ED4172"/>
    <w:rsid w:val="46F80B25"/>
    <w:rsid w:val="46FE48C7"/>
    <w:rsid w:val="486730F5"/>
    <w:rsid w:val="495D4634"/>
    <w:rsid w:val="497A7A75"/>
    <w:rsid w:val="49AA0E84"/>
    <w:rsid w:val="4A047866"/>
    <w:rsid w:val="4A432AF6"/>
    <w:rsid w:val="4AB3149A"/>
    <w:rsid w:val="4B4B3585"/>
    <w:rsid w:val="4B772E5D"/>
    <w:rsid w:val="4C005DD8"/>
    <w:rsid w:val="4C115FFC"/>
    <w:rsid w:val="4C327125"/>
    <w:rsid w:val="4C4A04CA"/>
    <w:rsid w:val="4F7504F5"/>
    <w:rsid w:val="50694539"/>
    <w:rsid w:val="517857B4"/>
    <w:rsid w:val="520F4286"/>
    <w:rsid w:val="526C1D49"/>
    <w:rsid w:val="5288584E"/>
    <w:rsid w:val="528A65F0"/>
    <w:rsid w:val="530D2102"/>
    <w:rsid w:val="53225042"/>
    <w:rsid w:val="535128E7"/>
    <w:rsid w:val="54015D3B"/>
    <w:rsid w:val="54522E33"/>
    <w:rsid w:val="545B2BF0"/>
    <w:rsid w:val="54AB17E8"/>
    <w:rsid w:val="54AC6530"/>
    <w:rsid w:val="5521499D"/>
    <w:rsid w:val="558264B1"/>
    <w:rsid w:val="56E11E4E"/>
    <w:rsid w:val="578B6DBF"/>
    <w:rsid w:val="57AA621B"/>
    <w:rsid w:val="58CF776D"/>
    <w:rsid w:val="59155896"/>
    <w:rsid w:val="59E44CA9"/>
    <w:rsid w:val="5A5A1687"/>
    <w:rsid w:val="5C552A25"/>
    <w:rsid w:val="5CBA069B"/>
    <w:rsid w:val="5D195D61"/>
    <w:rsid w:val="5D440617"/>
    <w:rsid w:val="5E412253"/>
    <w:rsid w:val="5EA5073A"/>
    <w:rsid w:val="5EC01E00"/>
    <w:rsid w:val="5F975726"/>
    <w:rsid w:val="5FD21B19"/>
    <w:rsid w:val="6036539F"/>
    <w:rsid w:val="605D61C9"/>
    <w:rsid w:val="6094276D"/>
    <w:rsid w:val="6235061F"/>
    <w:rsid w:val="62484725"/>
    <w:rsid w:val="62917B85"/>
    <w:rsid w:val="63C62AB9"/>
    <w:rsid w:val="641447DB"/>
    <w:rsid w:val="642D6292"/>
    <w:rsid w:val="647B59B3"/>
    <w:rsid w:val="649E5A21"/>
    <w:rsid w:val="667B3452"/>
    <w:rsid w:val="670F6E57"/>
    <w:rsid w:val="675C04AD"/>
    <w:rsid w:val="677A0183"/>
    <w:rsid w:val="67D378F3"/>
    <w:rsid w:val="67FA7BBB"/>
    <w:rsid w:val="68174659"/>
    <w:rsid w:val="68B33CDA"/>
    <w:rsid w:val="6976234D"/>
    <w:rsid w:val="69FE1268"/>
    <w:rsid w:val="6AB82F3E"/>
    <w:rsid w:val="6BA22A5F"/>
    <w:rsid w:val="6BE063A4"/>
    <w:rsid w:val="6BE77E36"/>
    <w:rsid w:val="6C3A0498"/>
    <w:rsid w:val="6D1E5C1E"/>
    <w:rsid w:val="6D5D309E"/>
    <w:rsid w:val="6DC9704B"/>
    <w:rsid w:val="6DCD3BB3"/>
    <w:rsid w:val="6ECA3312"/>
    <w:rsid w:val="6F4F1FAB"/>
    <w:rsid w:val="6FD63C04"/>
    <w:rsid w:val="6FDE3184"/>
    <w:rsid w:val="735A3365"/>
    <w:rsid w:val="737F5858"/>
    <w:rsid w:val="73806420"/>
    <w:rsid w:val="752143A9"/>
    <w:rsid w:val="779C08E4"/>
    <w:rsid w:val="77B4354B"/>
    <w:rsid w:val="78747744"/>
    <w:rsid w:val="787A139B"/>
    <w:rsid w:val="78871B7D"/>
    <w:rsid w:val="78A127BE"/>
    <w:rsid w:val="79932A68"/>
    <w:rsid w:val="7A7C4EFD"/>
    <w:rsid w:val="7AA231FF"/>
    <w:rsid w:val="7B167B0F"/>
    <w:rsid w:val="7B3A3492"/>
    <w:rsid w:val="7B5D10FE"/>
    <w:rsid w:val="7B722873"/>
    <w:rsid w:val="7C0D3FD1"/>
    <w:rsid w:val="7CB71E7E"/>
    <w:rsid w:val="7D45163D"/>
    <w:rsid w:val="7E5F1E14"/>
    <w:rsid w:val="7F1300F0"/>
    <w:rsid w:val="7F342A42"/>
    <w:rsid w:val="7FBE489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character" w:default="1" w:styleId="5">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11"/>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4">
    <w:name w:val="Normal (Web)"/>
    <w:basedOn w:val="1"/>
    <w:unhideWhenUsed/>
    <w:qFormat/>
    <w:uiPriority w:val="99"/>
    <w:pPr>
      <w:spacing w:beforeAutospacing="1" w:afterAutospacing="1"/>
      <w:jc w:val="left"/>
    </w:pPr>
    <w:rPr>
      <w:sz w:val="24"/>
    </w:rPr>
  </w:style>
  <w:style w:type="character" w:styleId="6">
    <w:name w:val="page number"/>
    <w:qFormat/>
    <w:uiPriority w:val="99"/>
    <w:rPr>
      <w:rFonts w:cs="Times New Roman"/>
    </w:rPr>
  </w:style>
  <w:style w:type="character" w:styleId="7">
    <w:name w:val="FollowedHyperlink"/>
    <w:unhideWhenUsed/>
    <w:qFormat/>
    <w:uiPriority w:val="99"/>
    <w:rPr>
      <w:color w:val="5D5D5D"/>
      <w:u w:val="none"/>
    </w:rPr>
  </w:style>
  <w:style w:type="character" w:styleId="8">
    <w:name w:val="Hyperlink"/>
    <w:unhideWhenUsed/>
    <w:qFormat/>
    <w:uiPriority w:val="99"/>
    <w:rPr>
      <w:color w:val="5D5D5D"/>
      <w:u w:val="none"/>
    </w:rPr>
  </w:style>
  <w:style w:type="character" w:customStyle="1" w:styleId="10">
    <w:name w:val="页脚 Char"/>
    <w:link w:val="2"/>
    <w:qFormat/>
    <w:locked/>
    <w:uiPriority w:val="99"/>
    <w:rPr>
      <w:rFonts w:cs="Times New Roman"/>
      <w:sz w:val="18"/>
      <w:szCs w:val="18"/>
    </w:rPr>
  </w:style>
  <w:style w:type="character" w:customStyle="1" w:styleId="11">
    <w:name w:val="页眉 Char"/>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0E7764-FAAF-4B29-B5B8-F0AFF94E1F1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968</Words>
  <Characters>5523</Characters>
  <Lines>46</Lines>
  <Paragraphs>12</Paragraphs>
  <TotalTime>2</TotalTime>
  <ScaleCrop>false</ScaleCrop>
  <LinksUpToDate>false</LinksUpToDate>
  <CharactersWithSpaces>6479</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网军作战指挥室</cp:lastModifiedBy>
  <cp:lastPrinted>2018-05-23T17:23:00Z</cp:lastPrinted>
  <dcterms:modified xsi:type="dcterms:W3CDTF">2019-01-01T03:37:24Z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