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2018年度新疆喀什地区塔什库尔干县政法委员会部门决算公开说明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（一）贯彻执行党的路线、方针、政策以及党委的有关决策和部署，统一政法各部门的思想和行动</w:t>
      </w:r>
      <w:r>
        <w:rPr>
          <w:rFonts w:hint="eastAsia" w:ascii="仿宋_GB2312" w:eastAsia="仿宋_GB2312"/>
          <w:sz w:val="32"/>
          <w:szCs w:val="32"/>
          <w:lang w:eastAsia="zh-CN"/>
        </w:rPr>
        <w:t>，</w:t>
      </w:r>
      <w:r>
        <w:rPr>
          <w:rFonts w:hint="eastAsia" w:ascii="仿宋_GB2312" w:eastAsia="仿宋_GB2312"/>
          <w:sz w:val="32"/>
          <w:szCs w:val="32"/>
        </w:rPr>
        <w:t>（二）组织政法工作中有关法律及重大政策的调查研究；指导政法工作改革，对依法治理工作提出意见、建议</w:t>
      </w:r>
      <w:r>
        <w:rPr>
          <w:rFonts w:hint="eastAsia" w:ascii="仿宋_GB2312" w:eastAsia="仿宋_GB2312"/>
          <w:sz w:val="32"/>
          <w:szCs w:val="32"/>
          <w:lang w:eastAsia="zh-CN"/>
        </w:rPr>
        <w:t>，</w:t>
      </w:r>
      <w:r>
        <w:rPr>
          <w:rFonts w:hint="eastAsia" w:ascii="仿宋_GB2312" w:eastAsia="仿宋_GB2312"/>
          <w:sz w:val="32"/>
          <w:szCs w:val="32"/>
        </w:rPr>
        <w:t>（三）研究处理政法工作的重大问题并及时向同级党委提出建议，对一定时期的政法工作作出全局性部署并检查落实</w:t>
      </w:r>
      <w:r>
        <w:rPr>
          <w:rFonts w:hint="eastAsia" w:ascii="仿宋_GB2312" w:eastAsia="仿宋_GB2312"/>
          <w:sz w:val="32"/>
          <w:szCs w:val="32"/>
          <w:lang w:eastAsia="zh-CN"/>
        </w:rPr>
        <w:t>，</w:t>
      </w:r>
      <w:r>
        <w:rPr>
          <w:rFonts w:hint="eastAsia" w:ascii="仿宋_GB2312" w:eastAsia="仿宋_GB2312"/>
          <w:sz w:val="32"/>
          <w:szCs w:val="32"/>
        </w:rPr>
        <w:t>（四）维护政法各部门依法独立行使职权；依法组织开展执法监督；指导、协调政法各部门的工作；组织研究和讨论有争议的重大、疑难案件</w:t>
      </w:r>
      <w:r>
        <w:rPr>
          <w:rFonts w:hint="eastAsia" w:ascii="仿宋_GB2312" w:eastAsia="仿宋_GB2312"/>
          <w:sz w:val="32"/>
          <w:szCs w:val="32"/>
          <w:lang w:eastAsia="zh-CN"/>
        </w:rPr>
        <w:t>，</w:t>
      </w:r>
      <w:r>
        <w:rPr>
          <w:rFonts w:hint="eastAsia" w:ascii="仿宋_GB2312" w:eastAsia="仿宋_GB2312"/>
          <w:sz w:val="32"/>
          <w:szCs w:val="32"/>
        </w:rPr>
        <w:t>（五）组织调查、协助处理抗法的重大事件，确保政法各部门正常开展工作，协助同级党委组织部考检查督促政法队伍的纪检、干部和人事工作</w:t>
      </w:r>
      <w:r>
        <w:rPr>
          <w:rFonts w:hint="eastAsia" w:ascii="仿宋_GB2312" w:eastAsia="仿宋_GB2312"/>
          <w:sz w:val="32"/>
          <w:szCs w:val="32"/>
          <w:lang w:eastAsia="zh-CN"/>
        </w:rPr>
        <w:t>，</w:t>
      </w:r>
      <w:r>
        <w:rPr>
          <w:rFonts w:hint="eastAsia" w:ascii="仿宋_GB2312" w:eastAsia="仿宋_GB2312"/>
          <w:sz w:val="32"/>
          <w:szCs w:val="32"/>
        </w:rPr>
        <w:t>（六）组织、协调、指导本级维护社会</w:t>
      </w:r>
      <w:r>
        <w:rPr>
          <w:rFonts w:hint="eastAsia" w:ascii="仿宋_GB2312" w:eastAsia="仿宋_GB2312"/>
          <w:sz w:val="32"/>
          <w:szCs w:val="32"/>
          <w:lang w:val="en-US" w:eastAsia="zh-CN"/>
        </w:rPr>
        <w:t>和谐</w:t>
      </w:r>
      <w:r>
        <w:rPr>
          <w:rFonts w:hint="eastAsia" w:ascii="仿宋_GB2312" w:eastAsia="仿宋_GB2312"/>
          <w:sz w:val="32"/>
          <w:szCs w:val="32"/>
        </w:rPr>
        <w:t>工作、社会治安综合治理工作、防范与处理邪教问题工作等。调查掌握社会治安综合治理方面的新情况、新问题；制订并检查落实社会治安综合治理的重大措施</w:t>
      </w:r>
      <w:r>
        <w:rPr>
          <w:rFonts w:hint="eastAsia" w:ascii="仿宋_GB2312" w:eastAsia="仿宋_GB2312"/>
          <w:sz w:val="32"/>
          <w:szCs w:val="32"/>
          <w:lang w:eastAsia="zh-CN"/>
        </w:rPr>
        <w:t>，</w:t>
      </w:r>
      <w:r>
        <w:rPr>
          <w:rFonts w:hint="eastAsia" w:ascii="仿宋_GB2312" w:eastAsia="仿宋_GB2312"/>
          <w:sz w:val="32"/>
          <w:szCs w:val="32"/>
        </w:rPr>
        <w:t>（七）研究和指导本级政法队伍建设，协助党委组织部考察、管理政法部门领导班子和干部队伍</w:t>
      </w:r>
      <w:r>
        <w:rPr>
          <w:rFonts w:hint="eastAsia" w:ascii="仿宋_GB2312" w:eastAsia="仿宋_GB2312"/>
          <w:sz w:val="32"/>
          <w:szCs w:val="32"/>
          <w:lang w:eastAsia="zh-CN"/>
        </w:rPr>
        <w:t>，</w:t>
      </w:r>
      <w:r>
        <w:rPr>
          <w:rFonts w:hint="eastAsia" w:ascii="仿宋_GB2312" w:eastAsia="仿宋_GB2312"/>
          <w:sz w:val="32"/>
          <w:szCs w:val="32"/>
        </w:rPr>
        <w:t>（八）承办党委和上级政法委员会、维护</w:t>
      </w:r>
      <w:r>
        <w:rPr>
          <w:rFonts w:hint="eastAsia" w:ascii="仿宋_GB2312" w:eastAsia="仿宋_GB2312"/>
          <w:sz w:val="32"/>
          <w:szCs w:val="32"/>
          <w:lang w:val="en-US" w:eastAsia="zh-CN"/>
        </w:rPr>
        <w:t>和谐</w:t>
      </w:r>
      <w:r>
        <w:rPr>
          <w:rFonts w:hint="eastAsia" w:ascii="仿宋_GB2312" w:eastAsia="仿宋_GB2312"/>
          <w:sz w:val="32"/>
          <w:szCs w:val="32"/>
        </w:rPr>
        <w:t>及社会治安综合治理委员会交办的其它事项。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新疆喀什地区塔什库尔干县政法委员会</w:t>
      </w:r>
      <w:r>
        <w:rPr>
          <w:rFonts w:hint="eastAsia" w:ascii="仿宋_GB2312" w:eastAsia="仿宋_GB2312"/>
          <w:sz w:val="32"/>
          <w:szCs w:val="32"/>
        </w:rPr>
        <w:t>部门决算包括：</w:t>
      </w:r>
      <w:r>
        <w:rPr>
          <w:rFonts w:ascii="仿宋_GB2312" w:eastAsia="仿宋_GB2312"/>
          <w:sz w:val="32"/>
          <w:szCs w:val="32"/>
        </w:rPr>
        <w:t>新疆喀什地区塔什库尔干县政法委员会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新疆喀什地区塔什库尔干县政法委员会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新疆喀什地区塔什库尔干县政法委员会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35,023.93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，与上年相比，减少48,067.43万元，下降57.85%，减少的主要原因是：</w:t>
      </w:r>
      <w:r>
        <w:rPr>
          <w:rFonts w:hint="eastAsia" w:ascii="仿宋_GB2312" w:eastAsia="仿宋_GB2312"/>
          <w:color w:val="000000" w:themeColor="text1"/>
          <w:sz w:val="32"/>
          <w:szCs w:val="32"/>
        </w:rPr>
        <w:t>减少基础设施项目及采购项目；</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35,023.93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，与上年相比，减少61,067.43万元，下降63.55%，减少的主要原因是：</w:t>
      </w:r>
      <w:r>
        <w:rPr>
          <w:rFonts w:hint="eastAsia" w:ascii="仿宋_GB2312" w:eastAsia="仿宋_GB2312"/>
          <w:color w:val="000000" w:themeColor="text1"/>
          <w:sz w:val="32"/>
          <w:szCs w:val="32"/>
        </w:rPr>
        <w:t>减少基础设施项目及采购项目；</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bookmarkStart w:id="88" w:name="_GoBack"/>
      <w:bookmarkEnd w:id="8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35,023.93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35,023.93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况：本年收入年初预算数3,402.8万元</w:t>
      </w:r>
      <w:r>
        <w:rPr>
          <w:rFonts w:hint="eastAsia" w:ascii="仿宋_GB2312" w:eastAsia="仿宋_GB2312"/>
          <w:sz w:val="32"/>
          <w:szCs w:val="32"/>
        </w:rPr>
        <w:t>，决算数35,023.93万元</w:t>
      </w:r>
      <w:r>
        <w:rPr>
          <w:rFonts w:ascii="仿宋_GB2312" w:eastAsia="仿宋_GB2312"/>
          <w:sz w:val="32"/>
          <w:szCs w:val="32"/>
        </w:rPr>
        <w:t>，预决算差异率929.27%，差异主要原因是基本建设类项目、采购项目、边民补贴资金未纳入年初部门预算。</w:t>
      </w:r>
      <w:bookmarkEnd w:id="15"/>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（三）部门支出总体情况说明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35,023.93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394.29</w:t>
      </w:r>
      <w:r>
        <w:rPr>
          <w:rFonts w:hint="eastAsia" w:ascii="仿宋_GB2312" w:eastAsia="仿宋_GB2312"/>
          <w:color w:val="000000" w:themeColor="text1"/>
          <w:sz w:val="32"/>
          <w:szCs w:val="32"/>
        </w:rPr>
        <w:t>万元，占</w:t>
      </w:r>
      <w:r>
        <w:rPr>
          <w:rFonts w:hint="eastAsia" w:ascii="仿宋_GB2312" w:eastAsia="仿宋_GB2312"/>
          <w:sz w:val="32"/>
          <w:szCs w:val="32"/>
        </w:rPr>
        <w:t>1.13%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34,629.64</w:t>
      </w:r>
      <w:r>
        <w:rPr>
          <w:rFonts w:hint="eastAsia" w:ascii="仿宋_GB2312" w:eastAsia="仿宋_GB2312"/>
          <w:color w:val="000000" w:themeColor="text1"/>
          <w:sz w:val="32"/>
          <w:szCs w:val="32"/>
        </w:rPr>
        <w:t>万元，占</w:t>
      </w:r>
      <w:r>
        <w:rPr>
          <w:rFonts w:hint="eastAsia" w:ascii="仿宋_GB2312" w:eastAsia="仿宋_GB2312"/>
          <w:sz w:val="32"/>
          <w:szCs w:val="32"/>
        </w:rPr>
        <w:t>98.87%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与年初预算数相比情况：本年支出年初预算数3,402.8万元，</w:t>
      </w:r>
      <w:r>
        <w:rPr>
          <w:rFonts w:hint="eastAsia" w:ascii="仿宋_GB2312" w:eastAsia="仿宋_GB2312"/>
          <w:sz w:val="32"/>
          <w:szCs w:val="32"/>
        </w:rPr>
        <w:t>决算数35,023.93万元</w:t>
      </w:r>
      <w:r>
        <w:rPr>
          <w:rFonts w:ascii="仿宋_GB2312" w:eastAsia="仿宋_GB2312"/>
          <w:sz w:val="32"/>
          <w:szCs w:val="32"/>
        </w:rPr>
        <w:t>，预决算差异率929.27%，差异主要原因是基本建设类项目、采购项目、边民补贴资金未纳入年初部门预算。</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35,023.93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，与上年相比，减少48,067.43万元，下降57.85%，减少的主要原因是：比上年减少基础设施项目、采购项目。</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35,023.93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，与上年相比，减少61,067.43万元，下降63.55%，减少的主要原因是：</w:t>
      </w:r>
      <w:r>
        <w:rPr>
          <w:rFonts w:ascii="仿宋_GB2312" w:eastAsia="仿宋_GB2312"/>
          <w:sz w:val="32"/>
          <w:szCs w:val="32"/>
        </w:rPr>
        <w:t>比上年减少基础设施项目、采购项目。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394.29</w:t>
      </w:r>
      <w:r>
        <w:rPr>
          <w:rFonts w:hint="eastAsia" w:ascii="仿宋_GB2312" w:eastAsia="仿宋_GB2312"/>
          <w:color w:val="000000" w:themeColor="text1"/>
          <w:sz w:val="32"/>
          <w:szCs w:val="32"/>
        </w:rPr>
        <w:t>万元，项目支出</w:t>
      </w:r>
      <w:r>
        <w:rPr>
          <w:rFonts w:hint="eastAsia" w:ascii="仿宋_GB2312" w:eastAsia="仿宋_GB2312"/>
          <w:sz w:val="32"/>
          <w:szCs w:val="32"/>
        </w:rPr>
        <w:t>34,629.64</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3,402.8</w:t>
      </w:r>
      <w:r>
        <w:rPr>
          <w:rFonts w:hint="eastAsia" w:ascii="仿宋_GB2312" w:eastAsia="仿宋_GB2312"/>
          <w:color w:val="000000" w:themeColor="text1"/>
          <w:sz w:val="32"/>
          <w:szCs w:val="32"/>
        </w:rPr>
        <w:t>万元，决算数</w:t>
      </w:r>
      <w:r>
        <w:rPr>
          <w:rFonts w:hint="eastAsia" w:ascii="仿宋_GB2312" w:eastAsia="仿宋_GB2312"/>
          <w:sz w:val="32"/>
          <w:szCs w:val="32"/>
        </w:rPr>
        <w:t>35,023.93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，预决算差异率929.27%，差异主要原因是基础设施项目、采购项目、边民补贴资金未纳入年初部门预算。</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3,402.8</w:t>
      </w:r>
      <w:r>
        <w:rPr>
          <w:rFonts w:hint="eastAsia" w:ascii="仿宋_GB2312" w:eastAsia="仿宋_GB2312"/>
          <w:color w:val="000000" w:themeColor="text1"/>
          <w:sz w:val="32"/>
          <w:szCs w:val="32"/>
        </w:rPr>
        <w:t>万元，决算数</w:t>
      </w:r>
      <w:r>
        <w:rPr>
          <w:rFonts w:hint="eastAsia" w:ascii="仿宋_GB2312" w:eastAsia="仿宋_GB2312"/>
          <w:sz w:val="32"/>
          <w:szCs w:val="32"/>
        </w:rPr>
        <w:t>35,023.93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，预决算差异率929.27%，差异主要原因是基础设施项目、采购项目、边民补贴资金未纳入年初部门预算。</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35,023.93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，与上年相比，减少48,067.43万元，下降57.85%，减少的主要原因是：比上年减少基础设施项目、采购项目。</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35,023.93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，与上年相比，减少61,067.43万元，下降63.55%，减少的主要原因是：比上年减少基础设施项目、采购项目。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住房保障支出23.94万元,一般公共服务支出340.7万元,国防支出1,020.6万元,交通运输支出756万元,公共安全支出7,224.49万元,其他支出25,624.55万元,社会保障和就业支出33.65万元。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工资福利支出269.11万元,商品和服务支出1,151.62万元,对个人和家庭的补助23,030.63万元,资本性支出（基本建设）1,128万元,资本性支出9,444.57万元。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3,402.8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35,023.93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，预决算差异率929.27%，差异主要原因是基础设施项目、采购项目、边民补贴资金未纳入年初部门预算。</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3,402.8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35,023.93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，预决算差异率929.27%，差异主要原因是基础设施项目、采购项目、边民补贴资金未纳入年初部门预算。</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spacing w:line="540" w:lineRule="exact"/>
        <w:rPr>
          <w:rFonts w:ascii="仿宋_GB2312" w:eastAsia="仿宋_GB2312"/>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sz w:val="32"/>
          <w:szCs w:val="32"/>
        </w:rPr>
        <w:t>1.83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，与上年相比，减少0.06万元，下降3.17%，减少的主要原因是：厉行勤俭节约，减少公务用车经费支出。</w:t>
      </w:r>
      <w:bookmarkEnd w:id="52"/>
      <w:bookmarkStart w:id="54" w:name="OLE_LINK75"/>
      <w:r>
        <w:rPr>
          <w:rFonts w:hint="eastAsia" w:ascii="仿宋_GB2312" w:eastAsia="仿宋_GB2312"/>
          <w:color w:val="000000" w:themeColor="text1"/>
          <w:sz w:val="32"/>
          <w:szCs w:val="32"/>
        </w:rPr>
        <w:t>其中，</w:t>
      </w:r>
      <w:bookmarkStart w:id="55" w:name="OLE_LINK30"/>
      <w:r>
        <w:rPr>
          <w:rFonts w:hint="eastAsia" w:ascii="仿宋_GB2312" w:eastAsia="仿宋_GB2312"/>
          <w:color w:val="000000" w:themeColor="text1"/>
          <w:sz w:val="32"/>
          <w:szCs w:val="32"/>
        </w:rPr>
        <w:t>因公出国（境）费支出</w:t>
      </w:r>
      <w:bookmarkEnd w:id="55"/>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减少</w:t>
      </w:r>
      <w:r>
        <w:rPr>
          <w:rFonts w:hint="eastAsia" w:ascii="仿宋_GB2312" w:eastAsia="仿宋_GB2312"/>
          <w:sz w:val="32"/>
          <w:szCs w:val="32"/>
          <w:highlight w:val="none"/>
          <w:lang w:val="en-US" w:eastAsia="zh-CN"/>
        </w:rPr>
        <w:t>0万元，降低0%，</w:t>
      </w:r>
      <w:r>
        <w:rPr>
          <w:rFonts w:hint="eastAsia" w:ascii="仿宋_GB2312" w:eastAsia="仿宋_GB2312"/>
          <w:sz w:val="32"/>
          <w:szCs w:val="32"/>
        </w:rPr>
        <w:t>减少的主要原因是：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bookmarkEnd w:id="54"/>
      <w:bookmarkStart w:id="56" w:name="OLE_LINK31"/>
      <w:bookmarkStart w:id="57" w:name="OLE_LINK76"/>
      <w:r>
        <w:rPr>
          <w:rFonts w:hint="eastAsia" w:ascii="仿宋_GB2312" w:eastAsia="仿宋_GB2312"/>
          <w:color w:val="000000" w:themeColor="text1"/>
          <w:sz w:val="32"/>
          <w:szCs w:val="32"/>
        </w:rPr>
        <w:t>公务用车购置及运行维护费支出</w:t>
      </w:r>
      <w:bookmarkEnd w:id="56"/>
      <w:r>
        <w:rPr>
          <w:rFonts w:hint="eastAsia" w:ascii="仿宋_GB2312" w:eastAsia="仿宋_GB2312"/>
          <w:sz w:val="32"/>
          <w:szCs w:val="32"/>
        </w:rPr>
        <w:t>1.83</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100%，与上年相比，减少0.06万元，下降3.17%，减少的主要原因是：厉行勤俭节约，减少公务用车经费支出；</w:t>
      </w:r>
      <w:bookmarkEnd w:id="57"/>
      <w:bookmarkStart w:id="58" w:name="OLE_LINK32"/>
      <w:bookmarkStart w:id="59" w:name="OLE_LINK77"/>
      <w:bookmarkStart w:id="60" w:name="OLE_LINK78"/>
      <w:r>
        <w:rPr>
          <w:rFonts w:hint="eastAsia" w:ascii="仿宋_GB2312" w:eastAsia="仿宋_GB2312"/>
          <w:color w:val="000000" w:themeColor="text1"/>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减少</w:t>
      </w:r>
      <w:r>
        <w:rPr>
          <w:rFonts w:hint="eastAsia" w:ascii="仿宋_GB2312" w:eastAsia="仿宋_GB2312"/>
          <w:sz w:val="32"/>
          <w:szCs w:val="32"/>
          <w:highlight w:val="none"/>
          <w:lang w:val="en-US" w:eastAsia="zh-CN"/>
        </w:rPr>
        <w:t>0万元，降低0%，</w:t>
      </w:r>
      <w:r>
        <w:rPr>
          <w:rFonts w:hint="eastAsia" w:ascii="仿宋_GB2312" w:eastAsia="仿宋_GB2312"/>
          <w:sz w:val="32"/>
          <w:szCs w:val="32"/>
        </w:rPr>
        <w:t>减少的主要原因是：本单位无公务接待费支出。</w:t>
      </w:r>
      <w:bookmarkEnd w:id="59"/>
      <w:bookmarkEnd w:id="60"/>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1" w:name="OLE_LINK79"/>
      <w:bookmarkStart w:id="62"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新疆喀什地区塔什库尔干县政法委员会</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sz w:val="32"/>
          <w:szCs w:val="32"/>
        </w:rPr>
        <w:t>本单位无因公出国（境）费支出</w:t>
      </w:r>
      <w:r>
        <w:rPr>
          <w:rFonts w:ascii="仿宋_GB2312" w:eastAsia="仿宋_GB2312"/>
          <w:color w:val="000000" w:themeColor="text1"/>
          <w:sz w:val="32"/>
          <w:szCs w:val="32"/>
        </w:rPr>
        <w:t>。</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1.83</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1.83</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主要用于汽车油料、维护费、保险费支出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新疆喀什地区塔什库尔干县政法委员会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万元，决算数1.83万元</w:t>
      </w:r>
      <w:r>
        <w:rPr>
          <w:rFonts w:ascii="仿宋_GB2312" w:eastAsia="仿宋_GB2312"/>
          <w:color w:val="000000" w:themeColor="text1"/>
          <w:sz w:val="32"/>
          <w:szCs w:val="32"/>
        </w:rPr>
        <w:t>，预决算差异率-8.5%，差异主要原因是厉行勤俭节约，减少公务用车经费支出。</w:t>
      </w:r>
      <w:bookmarkEnd w:id="76"/>
      <w:bookmarkStart w:id="77" w:name="OLE_LINK87"/>
      <w:bookmarkStart w:id="7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ascii="仿宋_GB2312" w:eastAsia="仿宋_GB2312"/>
          <w:color w:val="000000"/>
          <w:sz w:val="32"/>
          <w:szCs w:val="32"/>
        </w:rPr>
        <w:t>本单位无因公出国（境）费支出</w:t>
      </w:r>
      <w:r>
        <w:rPr>
          <w:rFonts w:ascii="仿宋_GB2312" w:eastAsia="仿宋_GB2312"/>
          <w:color w:val="000000" w:themeColor="text1"/>
          <w:sz w:val="32"/>
          <w:szCs w:val="32"/>
        </w:rPr>
        <w:t>；</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w:t>
      </w:r>
      <w:r>
        <w:rPr>
          <w:rFonts w:hint="eastAsia" w:ascii="仿宋_GB2312" w:hAnsi="宋体" w:eastAsia="仿宋_GB2312" w:cs="宋体"/>
          <w:color w:val="000000" w:themeColor="text1"/>
          <w:kern w:val="0"/>
          <w:sz w:val="32"/>
          <w:szCs w:val="32"/>
        </w:rPr>
        <w:t>公务用车购置</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，预决算差异率-8.5%，差异主要原因是厉行勤俭节约，减少公务用车经费支出；</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hint="eastAsia" w:ascii="仿宋_GB2312" w:eastAsia="仿宋_GB2312"/>
          <w:sz w:val="32"/>
          <w:szCs w:val="32"/>
        </w:rPr>
        <w:t>本单位无公务接待费支出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政法委员会机关运行经费支出51.57万元，与上年相比，增加27.38万元，增长113.19%，增加的主要原因是：2018年新搬入边防大楼办公，增加公用取暖费，另七个中心在单位办公，增加办公经费。</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1,326.12</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662.15</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663.3</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0.68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24.5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丰田越野车一辆主要用于单位一般日常外出</w:t>
      </w:r>
      <w:r>
        <w:rPr>
          <w:rFonts w:ascii="仿宋_GB2312" w:eastAsia="仿宋_GB2312"/>
          <w:color w:val="000000" w:themeColor="text1"/>
          <w:sz w:val="32"/>
          <w:szCs w:val="32"/>
        </w:rPr>
        <w:t>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hint="eastAsia" w:ascii="仿宋_GB2312" w:eastAsia="仿宋_GB2312"/>
          <w:sz w:val="32"/>
          <w:szCs w:val="32"/>
        </w:rPr>
      </w:pPr>
      <w:r>
        <w:rPr>
          <w:rFonts w:hint="eastAsia" w:ascii="仿宋_GB2312" w:eastAsia="仿宋_GB2312"/>
          <w:sz w:val="32"/>
          <w:szCs w:val="32"/>
        </w:rPr>
        <w:t>2018年度，本部门单位预算绩效自评情况：</w:t>
      </w:r>
      <w:r>
        <w:rPr>
          <w:rFonts w:hint="eastAsia" w:ascii="仿宋_GB2312" w:eastAsia="仿宋_GB2312"/>
          <w:sz w:val="32"/>
          <w:szCs w:val="32"/>
          <w:lang w:eastAsia="zh-CN"/>
        </w:rPr>
        <w:t>本单位项目预算绩效情况按照上级文件要求不予公开。</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204（类）99（款）01（项）指：其他公共安全支出。214（类）01（款）38（项）指：口岸建设。203（类）06（款）08（项）指：边海防。221（类）02（款）01（项）指：住房公积金。201（类）31（款）01（项）指：行政运行。201（类）36（款）99（项）指：其他共产党事务支出。229（类）99（款）01（项）指：其他支出。203（类）99（款）01（项）指：其他国防支出。204（类）02（款）04（项）指：治安管理。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p>
      <w:pPr>
        <w:spacing w:line="540" w:lineRule="exact"/>
        <w:rPr>
          <w:rFonts w:ascii="仿宋_GB2312" w:eastAsia="仿宋_GB2312"/>
          <w:sz w:val="32"/>
          <w:szCs w:val="32"/>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34356"/>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2CA6795"/>
    <w:rsid w:val="03AA79F6"/>
    <w:rsid w:val="04741FE5"/>
    <w:rsid w:val="04DB02C7"/>
    <w:rsid w:val="06500503"/>
    <w:rsid w:val="06B856EE"/>
    <w:rsid w:val="07FE5938"/>
    <w:rsid w:val="084604BC"/>
    <w:rsid w:val="08883825"/>
    <w:rsid w:val="09725983"/>
    <w:rsid w:val="0A382BB5"/>
    <w:rsid w:val="0AA4543A"/>
    <w:rsid w:val="0AEC1B2B"/>
    <w:rsid w:val="0BE4600E"/>
    <w:rsid w:val="0BE61132"/>
    <w:rsid w:val="0C9B0DD6"/>
    <w:rsid w:val="0CE4791C"/>
    <w:rsid w:val="0E063C64"/>
    <w:rsid w:val="0E1567CB"/>
    <w:rsid w:val="0F4C7B96"/>
    <w:rsid w:val="0FFB575E"/>
    <w:rsid w:val="10845F1B"/>
    <w:rsid w:val="113857D7"/>
    <w:rsid w:val="11463A00"/>
    <w:rsid w:val="11600918"/>
    <w:rsid w:val="11B0398F"/>
    <w:rsid w:val="134B1AE0"/>
    <w:rsid w:val="13A51D3A"/>
    <w:rsid w:val="13B960C5"/>
    <w:rsid w:val="14C92C62"/>
    <w:rsid w:val="14DF3AFB"/>
    <w:rsid w:val="152777F4"/>
    <w:rsid w:val="1536644F"/>
    <w:rsid w:val="15C674B6"/>
    <w:rsid w:val="17D54B04"/>
    <w:rsid w:val="18D54A0D"/>
    <w:rsid w:val="1A4106A0"/>
    <w:rsid w:val="1A4F5437"/>
    <w:rsid w:val="1AB77CD0"/>
    <w:rsid w:val="1C201FCC"/>
    <w:rsid w:val="1C93382F"/>
    <w:rsid w:val="1CDA55E9"/>
    <w:rsid w:val="1E807156"/>
    <w:rsid w:val="1EA657F6"/>
    <w:rsid w:val="1F097CB6"/>
    <w:rsid w:val="1F243D21"/>
    <w:rsid w:val="2166156B"/>
    <w:rsid w:val="21B02D83"/>
    <w:rsid w:val="22A236F5"/>
    <w:rsid w:val="22BB2282"/>
    <w:rsid w:val="23995975"/>
    <w:rsid w:val="2432220E"/>
    <w:rsid w:val="248303BA"/>
    <w:rsid w:val="24837E47"/>
    <w:rsid w:val="252E01AA"/>
    <w:rsid w:val="2680023E"/>
    <w:rsid w:val="270A413B"/>
    <w:rsid w:val="29680352"/>
    <w:rsid w:val="2A020F75"/>
    <w:rsid w:val="2B007AEE"/>
    <w:rsid w:val="2BC14C56"/>
    <w:rsid w:val="2C1B026F"/>
    <w:rsid w:val="2CC61F55"/>
    <w:rsid w:val="2D1B09F1"/>
    <w:rsid w:val="2DC970EF"/>
    <w:rsid w:val="2DE06CFD"/>
    <w:rsid w:val="2EF7452F"/>
    <w:rsid w:val="2F1D13B4"/>
    <w:rsid w:val="2FAA3DA6"/>
    <w:rsid w:val="2FFE73AF"/>
    <w:rsid w:val="30682E1F"/>
    <w:rsid w:val="30E210D2"/>
    <w:rsid w:val="311371D6"/>
    <w:rsid w:val="31EB64C9"/>
    <w:rsid w:val="328E0592"/>
    <w:rsid w:val="336D0D6F"/>
    <w:rsid w:val="352E4BEC"/>
    <w:rsid w:val="35B7379D"/>
    <w:rsid w:val="37387A4F"/>
    <w:rsid w:val="37DD5594"/>
    <w:rsid w:val="38F24FA8"/>
    <w:rsid w:val="3A336283"/>
    <w:rsid w:val="3A98342A"/>
    <w:rsid w:val="3AB6780E"/>
    <w:rsid w:val="3AD56D70"/>
    <w:rsid w:val="3B2920C2"/>
    <w:rsid w:val="3BE41ABD"/>
    <w:rsid w:val="3C5421A9"/>
    <w:rsid w:val="3C84620A"/>
    <w:rsid w:val="3CEE0C36"/>
    <w:rsid w:val="3D903B21"/>
    <w:rsid w:val="3F440741"/>
    <w:rsid w:val="411416DF"/>
    <w:rsid w:val="41FC306C"/>
    <w:rsid w:val="425B13BA"/>
    <w:rsid w:val="441567E2"/>
    <w:rsid w:val="443E76A1"/>
    <w:rsid w:val="44BE5554"/>
    <w:rsid w:val="451E0908"/>
    <w:rsid w:val="452C2D31"/>
    <w:rsid w:val="45D26E14"/>
    <w:rsid w:val="46A541B1"/>
    <w:rsid w:val="472025A7"/>
    <w:rsid w:val="48C57772"/>
    <w:rsid w:val="49782886"/>
    <w:rsid w:val="4A6F0D28"/>
    <w:rsid w:val="4AAF085C"/>
    <w:rsid w:val="4AEB7E60"/>
    <w:rsid w:val="4B4B135B"/>
    <w:rsid w:val="4B954C1B"/>
    <w:rsid w:val="4BC7055F"/>
    <w:rsid w:val="4CFC7DB2"/>
    <w:rsid w:val="4E7C187D"/>
    <w:rsid w:val="4E851CD3"/>
    <w:rsid w:val="508941AD"/>
    <w:rsid w:val="50E65530"/>
    <w:rsid w:val="51457139"/>
    <w:rsid w:val="51574DBD"/>
    <w:rsid w:val="51EC1DA8"/>
    <w:rsid w:val="51F60FA8"/>
    <w:rsid w:val="52FC5524"/>
    <w:rsid w:val="532D7A17"/>
    <w:rsid w:val="53A53F6E"/>
    <w:rsid w:val="54AF4562"/>
    <w:rsid w:val="54C9674B"/>
    <w:rsid w:val="556318EA"/>
    <w:rsid w:val="55A60AA1"/>
    <w:rsid w:val="56451615"/>
    <w:rsid w:val="57FC5774"/>
    <w:rsid w:val="59B332C9"/>
    <w:rsid w:val="5A44758A"/>
    <w:rsid w:val="5BEC4BB3"/>
    <w:rsid w:val="5C070B55"/>
    <w:rsid w:val="5CB96DCE"/>
    <w:rsid w:val="5CE61580"/>
    <w:rsid w:val="5D14084A"/>
    <w:rsid w:val="5D175666"/>
    <w:rsid w:val="5D556A3C"/>
    <w:rsid w:val="5D7B25C9"/>
    <w:rsid w:val="5E5D7F9A"/>
    <w:rsid w:val="5ECB44B4"/>
    <w:rsid w:val="5EE2043C"/>
    <w:rsid w:val="602D2E37"/>
    <w:rsid w:val="61460FBE"/>
    <w:rsid w:val="62451D40"/>
    <w:rsid w:val="62775810"/>
    <w:rsid w:val="62990BE5"/>
    <w:rsid w:val="62D83744"/>
    <w:rsid w:val="630F4048"/>
    <w:rsid w:val="63AA02E5"/>
    <w:rsid w:val="64700DE9"/>
    <w:rsid w:val="648A1F0E"/>
    <w:rsid w:val="656B0BC6"/>
    <w:rsid w:val="658B2FB6"/>
    <w:rsid w:val="65C613BD"/>
    <w:rsid w:val="65FD118C"/>
    <w:rsid w:val="682C3D89"/>
    <w:rsid w:val="68611305"/>
    <w:rsid w:val="69EF54A2"/>
    <w:rsid w:val="6A162DE0"/>
    <w:rsid w:val="6A331428"/>
    <w:rsid w:val="6AF21979"/>
    <w:rsid w:val="6B2E5CB6"/>
    <w:rsid w:val="6B3D4886"/>
    <w:rsid w:val="6D9712C7"/>
    <w:rsid w:val="6DF8675E"/>
    <w:rsid w:val="6EA80098"/>
    <w:rsid w:val="6F8D70FF"/>
    <w:rsid w:val="6F972874"/>
    <w:rsid w:val="6FFE5011"/>
    <w:rsid w:val="7178734D"/>
    <w:rsid w:val="71791096"/>
    <w:rsid w:val="717B0C34"/>
    <w:rsid w:val="717E21CA"/>
    <w:rsid w:val="71FB78FD"/>
    <w:rsid w:val="7275064A"/>
    <w:rsid w:val="733F750B"/>
    <w:rsid w:val="735702E2"/>
    <w:rsid w:val="73D86CDB"/>
    <w:rsid w:val="765F635A"/>
    <w:rsid w:val="76B73454"/>
    <w:rsid w:val="76D254BD"/>
    <w:rsid w:val="77114BB3"/>
    <w:rsid w:val="77727ACD"/>
    <w:rsid w:val="78071142"/>
    <w:rsid w:val="79296B37"/>
    <w:rsid w:val="7A4C4C40"/>
    <w:rsid w:val="7A5A768D"/>
    <w:rsid w:val="7A74552D"/>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2020-04-05T03:28:00Z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