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hint="eastAsia" w:ascii="黑体" w:hAnsi="黑体" w:eastAsia="黑体"/>
          <w:sz w:val="32"/>
          <w:szCs w:val="32"/>
          <w:lang w:eastAsia="zh-CN"/>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2018年度新疆喀什地区中国共产主义青年团塔什库尔干县委员会部门决算公开说明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w:t>
      </w:r>
      <w:r>
        <w:rPr>
          <w:rFonts w:hint="eastAsia" w:ascii="黑体" w:hAnsi="黑体" w:eastAsia="黑体"/>
          <w:bCs/>
          <w:kern w:val="0"/>
          <w:sz w:val="32"/>
          <w:szCs w:val="32"/>
          <w:lang w:val="en-US" w:eastAsia="zh-CN"/>
        </w:rPr>
        <w:t xml:space="preserve"> </w:t>
      </w:r>
      <w:r>
        <w:rPr>
          <w:rFonts w:hint="eastAsia" w:ascii="黑体" w:hAnsi="黑体" w:eastAsia="黑体"/>
          <w:bCs/>
          <w:kern w:val="0"/>
          <w:sz w:val="32"/>
          <w:szCs w:val="32"/>
        </w:rPr>
        <w:t>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hint="eastAsia" w:ascii="黑体" w:hAnsi="黑体" w:eastAsia="仿宋_GB2312" w:cs="宋体"/>
          <w:bCs/>
          <w:kern w:val="0"/>
          <w:sz w:val="32"/>
          <w:szCs w:val="32"/>
          <w:lang w:eastAsia="zh-CN"/>
        </w:rPr>
      </w:pPr>
      <w:r>
        <w:rPr>
          <w:rFonts w:hint="eastAsia" w:ascii="仿宋_GB2312" w:eastAsia="仿宋_GB2312"/>
          <w:sz w:val="32"/>
          <w:szCs w:val="32"/>
        </w:rPr>
        <w:t>1、领导全县共青团工作，组织全县共青团组织围绕永顺改革、发展的大局开展工作，在永顺政治、经济、文化等活动中发挥党的助手作用。</w:t>
      </w:r>
      <w:r>
        <w:rPr>
          <w:rFonts w:hint="eastAsia" w:ascii="仿宋_GB2312" w:eastAsia="仿宋_GB2312"/>
          <w:sz w:val="32"/>
          <w:szCs w:val="32"/>
        </w:rPr>
        <w:br w:type="textWrapping"/>
      </w:r>
      <w:r>
        <w:rPr>
          <w:rFonts w:hint="eastAsia" w:ascii="仿宋_GB2312" w:eastAsia="仿宋_GB2312"/>
          <w:sz w:val="32"/>
          <w:szCs w:val="32"/>
        </w:rPr>
        <w:t>2、围绕县委、县政府中心工作，推进全县青少年精神文明建设；负责指导并组织实施全县青少年的思想理论教育、宣传文化活动，培养、选拔、推荐、表彰优秀青少年；指导全县志愿者工作的开展。</w:t>
      </w:r>
      <w:r>
        <w:rPr>
          <w:rFonts w:hint="eastAsia" w:ascii="仿宋_GB2312" w:eastAsia="仿宋_GB2312"/>
          <w:sz w:val="32"/>
          <w:szCs w:val="32"/>
        </w:rPr>
        <w:br w:type="textWrapping"/>
      </w:r>
      <w:r>
        <w:rPr>
          <w:rFonts w:hint="eastAsia" w:ascii="仿宋_GB2312" w:eastAsia="仿宋_GB2312"/>
          <w:sz w:val="32"/>
          <w:szCs w:val="32"/>
        </w:rPr>
        <w:t>3、负责全县共青团工作和青少年工作的理论研究；向县委、县政府反映青少年思想状况，参与协调处理各种与青少年利益相关的工作；对青少年工作中的重大问题提出立法建议，参与有关全县青少年法规的起草、实施、监督等工作；承担永顺县预防青少年违法犯罪工作领导小组办公室的工作。</w:t>
      </w:r>
      <w:r>
        <w:rPr>
          <w:rFonts w:hint="eastAsia" w:ascii="仿宋_GB2312" w:eastAsia="仿宋_GB2312"/>
          <w:sz w:val="32"/>
          <w:szCs w:val="32"/>
        </w:rPr>
        <w:br w:type="textWrapping"/>
      </w:r>
      <w:r>
        <w:rPr>
          <w:rFonts w:hint="eastAsia" w:ascii="仿宋_GB2312" w:eastAsia="仿宋_GB2312"/>
          <w:sz w:val="32"/>
          <w:szCs w:val="32"/>
        </w:rPr>
        <w:t>4、负责研究、指导全县团的组织建设和干部队伍建设，推进全县团的基层组织建设；协助党组织管理各乡镇及县直各战线团委书记，选拔、培养和推荐优秀青年干部；指导全县共青团组织协助有关部门开展青年人力资源开发工作。</w:t>
      </w:r>
      <w:r>
        <w:rPr>
          <w:rFonts w:hint="eastAsia" w:ascii="仿宋_GB2312" w:eastAsia="仿宋_GB2312"/>
          <w:sz w:val="32"/>
          <w:szCs w:val="32"/>
        </w:rPr>
        <w:br w:type="textWrapping"/>
      </w:r>
      <w:r>
        <w:rPr>
          <w:rFonts w:hint="eastAsia" w:ascii="仿宋_GB2312" w:eastAsia="仿宋_GB2312"/>
          <w:sz w:val="32"/>
          <w:szCs w:val="32"/>
        </w:rPr>
        <w:t>5、负责全县青年统战工作。</w:t>
      </w:r>
      <w:r>
        <w:rPr>
          <w:rFonts w:hint="eastAsia" w:ascii="仿宋_GB2312" w:eastAsia="仿宋_GB2312"/>
          <w:sz w:val="32"/>
          <w:szCs w:val="32"/>
        </w:rPr>
        <w:br w:type="textWrapping"/>
      </w:r>
      <w:r>
        <w:rPr>
          <w:rFonts w:hint="eastAsia" w:ascii="仿宋_GB2312" w:eastAsia="仿宋_GB2312"/>
          <w:sz w:val="32"/>
          <w:szCs w:val="32"/>
        </w:rPr>
        <w:t>6、指导和帮助县少先队工作委员会开展工作。</w:t>
      </w:r>
      <w:r>
        <w:rPr>
          <w:rFonts w:hint="eastAsia" w:ascii="仿宋_GB2312" w:eastAsia="仿宋_GB2312"/>
          <w:sz w:val="32"/>
          <w:szCs w:val="32"/>
        </w:rPr>
        <w:br w:type="textWrapping"/>
      </w:r>
      <w:r>
        <w:rPr>
          <w:rFonts w:hint="eastAsia" w:ascii="仿宋_GB2312" w:eastAsia="仿宋_GB2312"/>
          <w:sz w:val="32"/>
          <w:szCs w:val="32"/>
        </w:rPr>
        <w:t>7、承办县委、县政府和团州委交办的其他事。</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新疆喀什地区中国共产主义青年团塔什库尔干县委员会</w:t>
      </w:r>
      <w:r>
        <w:rPr>
          <w:rFonts w:hint="eastAsia" w:ascii="仿宋_GB2312" w:eastAsia="仿宋_GB2312"/>
          <w:sz w:val="32"/>
          <w:szCs w:val="32"/>
        </w:rPr>
        <w:t>部门决算包括：</w:t>
      </w:r>
      <w:r>
        <w:rPr>
          <w:rFonts w:ascii="仿宋_GB2312" w:eastAsia="仿宋_GB2312"/>
          <w:sz w:val="32"/>
          <w:szCs w:val="32"/>
        </w:rPr>
        <w:t>新疆喀什地区中国共产主义青年团塔什库尔干县委员会</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新疆喀什地区中国共产主义青年团塔什库尔干县委员会</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新疆喀什地区中国共产主义青年团塔什库尔干县委员会</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jc w:val="both"/>
        <w:textAlignment w:val="auto"/>
        <w:outlineLvl w:val="9"/>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lang w:val="en-US" w:eastAsia="zh-CN"/>
        </w:rPr>
        <w:t xml:space="preserve">    </w:t>
      </w:r>
      <w:r>
        <w:rPr>
          <w:rFonts w:hint="eastAsia" w:ascii="仿宋_GB2312" w:eastAsia="仿宋_GB2312"/>
          <w:color w:val="000000" w:themeColor="text1"/>
          <w:sz w:val="32"/>
          <w:szCs w:val="32"/>
        </w:rPr>
        <w:t>2018年度收入</w:t>
      </w:r>
      <w:r>
        <w:rPr>
          <w:rFonts w:hint="eastAsia" w:ascii="仿宋_GB2312" w:eastAsia="仿宋_GB2312"/>
          <w:sz w:val="32"/>
          <w:szCs w:val="32"/>
        </w:rPr>
        <w:t>34.5</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，与上年相比，增加4.43万元，增长14.73%，增加的主要原因是：</w:t>
      </w:r>
      <w:r>
        <w:rPr>
          <w:rFonts w:hint="eastAsia" w:ascii="仿宋_GB2312" w:eastAsia="仿宋_GB2312"/>
          <w:color w:val="000000" w:themeColor="text1"/>
          <w:sz w:val="32"/>
          <w:szCs w:val="32"/>
        </w:rPr>
        <w:t>政策性调资</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rPr>
        <w:t>基本工资增加，高海拔</w:t>
      </w:r>
      <w:r>
        <w:rPr>
          <w:rFonts w:hint="eastAsia" w:ascii="仿宋_GB2312" w:eastAsia="仿宋_GB2312"/>
          <w:color w:val="000000" w:themeColor="text1"/>
          <w:sz w:val="32"/>
          <w:szCs w:val="32"/>
          <w:lang w:val="en-US" w:eastAsia="zh-CN"/>
        </w:rPr>
        <w:t>地区工龄</w:t>
      </w:r>
      <w:r>
        <w:rPr>
          <w:rFonts w:hint="eastAsia" w:ascii="仿宋_GB2312" w:eastAsia="仿宋_GB2312"/>
          <w:color w:val="000000" w:themeColor="text1"/>
          <w:sz w:val="32"/>
          <w:szCs w:val="32"/>
        </w:rPr>
        <w:t>补贴增加，艰边津贴增加；</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34.5</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，与上年相比，增加4.43万元，增长14.73%，增加的主要原因是：</w:t>
      </w:r>
      <w:r>
        <w:rPr>
          <w:rFonts w:hint="eastAsia" w:ascii="仿宋_GB2312" w:eastAsia="仿宋_GB2312"/>
          <w:color w:val="000000" w:themeColor="text1"/>
          <w:sz w:val="32"/>
          <w:szCs w:val="32"/>
        </w:rPr>
        <w:t>政策性调资</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rPr>
        <w:t>基本工资增加，高海拔</w:t>
      </w:r>
      <w:r>
        <w:rPr>
          <w:rFonts w:hint="eastAsia" w:ascii="仿宋_GB2312" w:eastAsia="仿宋_GB2312"/>
          <w:color w:val="000000" w:themeColor="text1"/>
          <w:sz w:val="32"/>
          <w:szCs w:val="32"/>
          <w:lang w:val="en-US" w:eastAsia="zh-CN"/>
        </w:rPr>
        <w:t>地区工龄</w:t>
      </w:r>
      <w:r>
        <w:rPr>
          <w:rFonts w:hint="eastAsia" w:ascii="仿宋_GB2312" w:eastAsia="仿宋_GB2312"/>
          <w:color w:val="000000" w:themeColor="text1"/>
          <w:sz w:val="32"/>
          <w:szCs w:val="32"/>
        </w:rPr>
        <w:t>补贴增加，艰边津贴增加；</w:t>
      </w:r>
      <w:bookmarkEnd w:id="7"/>
      <w:bookmarkStart w:id="8" w:name="OLE_LINK54"/>
      <w:r>
        <w:rPr>
          <w:rFonts w:hint="eastAsia" w:ascii="仿宋_GB2312" w:eastAsia="仿宋_GB2312"/>
          <w:color w:val="000000"/>
          <w:sz w:val="32"/>
          <w:szCs w:val="32"/>
        </w:rPr>
        <w:t>结余</w:t>
      </w:r>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w:t>
      </w:r>
      <w:r>
        <w:rPr>
          <w:rFonts w:hint="eastAsia" w:ascii="仿宋_GB2312" w:eastAsia="仿宋_GB2312"/>
          <w:sz w:val="32"/>
          <w:szCs w:val="32"/>
        </w:rPr>
        <w:t>增加0万元，增长0%，</w:t>
      </w:r>
      <w:r>
        <w:rPr>
          <w:rFonts w:hint="eastAsia" w:ascii="仿宋_GB2312" w:eastAsia="仿宋_GB2312"/>
          <w:sz w:val="32"/>
          <w:szCs w:val="32"/>
          <w:lang w:eastAsia="zh-CN"/>
        </w:rPr>
        <w:t>增减变化的</w:t>
      </w:r>
      <w:r>
        <w:rPr>
          <w:rFonts w:hint="eastAsia" w:ascii="仿宋_GB2312" w:eastAsia="仿宋_GB2312"/>
          <w:sz w:val="32"/>
          <w:szCs w:val="32"/>
        </w:rPr>
        <w:t>主要原因是：</w:t>
      </w:r>
      <w:r>
        <w:rPr>
          <w:rFonts w:hint="eastAsia" w:ascii="仿宋_GB2312" w:eastAsia="仿宋_GB2312"/>
          <w:color w:val="000000"/>
          <w:sz w:val="32"/>
          <w:szCs w:val="32"/>
          <w:lang w:val="en-US" w:eastAsia="zh-CN"/>
        </w:rPr>
        <w:t>本年与上年均无结余资金</w:t>
      </w:r>
      <w:r>
        <w:rPr>
          <w:rFonts w:ascii="仿宋_GB2312" w:eastAsia="仿宋_GB2312"/>
          <w:color w:val="000000"/>
          <w:sz w:val="32"/>
          <w:szCs w:val="32"/>
        </w:rPr>
        <w:t>。</w:t>
      </w:r>
      <w:bookmarkEnd w:id="8"/>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both"/>
        <w:textAlignment w:val="auto"/>
        <w:outlineLvl w:val="9"/>
        <w:rPr>
          <w:rFonts w:ascii="楷体_GB2312" w:eastAsia="楷体_GB2312"/>
          <w:b/>
          <w:bCs/>
          <w:sz w:val="32"/>
          <w:szCs w:val="32"/>
        </w:rPr>
      </w:pPr>
      <w:r>
        <w:rPr>
          <w:rFonts w:hint="eastAsia" w:ascii="楷体_GB2312" w:eastAsia="楷体_GB2312"/>
          <w:b/>
          <w:bCs/>
          <w:sz w:val="32"/>
          <w:szCs w:val="32"/>
        </w:rPr>
        <w:t>（二）部门收入总体情况说明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34.5</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34.5</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况：本年收入年初预算数34.99万元</w:t>
      </w:r>
      <w:r>
        <w:rPr>
          <w:rFonts w:hint="eastAsia" w:ascii="仿宋_GB2312" w:eastAsia="仿宋_GB2312"/>
          <w:sz w:val="32"/>
          <w:szCs w:val="32"/>
        </w:rPr>
        <w:t>，决算数34.5万元</w:t>
      </w:r>
      <w:r>
        <w:rPr>
          <w:rFonts w:ascii="仿宋_GB2312" w:eastAsia="仿宋_GB2312"/>
          <w:sz w:val="32"/>
          <w:szCs w:val="32"/>
        </w:rPr>
        <w:t>，预决算差异率-1.4%，差异主要原因是决算数中基本养老保险，公积金较预算数减少。</w:t>
      </w:r>
      <w:bookmarkEnd w:id="15"/>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both"/>
        <w:textAlignment w:val="auto"/>
        <w:outlineLvl w:val="9"/>
        <w:rPr>
          <w:rFonts w:ascii="楷体_GB2312" w:eastAsia="楷体_GB2312"/>
          <w:b/>
          <w:bCs/>
          <w:sz w:val="32"/>
          <w:szCs w:val="32"/>
        </w:rPr>
      </w:pPr>
      <w:r>
        <w:rPr>
          <w:rFonts w:hint="eastAsia" w:ascii="楷体_GB2312" w:eastAsia="楷体_GB2312"/>
          <w:b/>
          <w:bCs/>
          <w:sz w:val="32"/>
          <w:szCs w:val="32"/>
        </w:rPr>
        <w:t>（三）部门支出总体情况说明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34.5</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34.5</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与年初预算数相比情况：本年支出年初预算数34.99万元，</w:t>
      </w:r>
      <w:r>
        <w:rPr>
          <w:rFonts w:hint="eastAsia" w:ascii="仿宋_GB2312" w:eastAsia="仿宋_GB2312"/>
          <w:sz w:val="32"/>
          <w:szCs w:val="32"/>
        </w:rPr>
        <w:t>决算数34.5万元</w:t>
      </w:r>
      <w:r>
        <w:rPr>
          <w:rFonts w:ascii="仿宋_GB2312" w:eastAsia="仿宋_GB2312"/>
          <w:sz w:val="32"/>
          <w:szCs w:val="32"/>
        </w:rPr>
        <w:t>，预决算差异率-1.4%，差异主要原因是决算数中基本养老保险，公积金较预算数减少。</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hint="eastAsia" w:ascii="仿宋_GB2312" w:eastAsia="仿宋_GB2312"/>
          <w:sz w:val="32"/>
          <w:szCs w:val="32"/>
          <w:lang w:val="en-US" w:eastAsia="zh-CN"/>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34.5</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，与上年相比，增加4.43万元，增长14.73%，增加的主要原因是：</w:t>
      </w:r>
      <w:r>
        <w:rPr>
          <w:rFonts w:hint="eastAsia" w:ascii="仿宋_GB2312" w:eastAsia="仿宋_GB2312"/>
          <w:color w:val="000000" w:themeColor="text1"/>
          <w:sz w:val="32"/>
          <w:szCs w:val="32"/>
        </w:rPr>
        <w:t>政策性调资</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rPr>
        <w:t>基本工资增加，高海拔</w:t>
      </w:r>
      <w:r>
        <w:rPr>
          <w:rFonts w:hint="eastAsia" w:ascii="仿宋_GB2312" w:eastAsia="仿宋_GB2312"/>
          <w:color w:val="000000" w:themeColor="text1"/>
          <w:sz w:val="32"/>
          <w:szCs w:val="32"/>
          <w:lang w:val="en-US" w:eastAsia="zh-CN"/>
        </w:rPr>
        <w:t>地区工龄</w:t>
      </w:r>
      <w:r>
        <w:rPr>
          <w:rFonts w:hint="eastAsia" w:ascii="仿宋_GB2312" w:eastAsia="仿宋_GB2312"/>
          <w:color w:val="000000" w:themeColor="text1"/>
          <w:sz w:val="32"/>
          <w:szCs w:val="32"/>
        </w:rPr>
        <w:t>补贴增加，艰边津贴增加</w:t>
      </w:r>
      <w:r>
        <w:rPr>
          <w:rFonts w:hint="eastAsia" w:ascii="仿宋_GB2312" w:eastAsia="仿宋_GB2312"/>
          <w:sz w:val="32"/>
          <w:szCs w:val="32"/>
        </w:rPr>
        <w:t>。</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34.5</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，与上年相比，增加4.43万元，增长14.73%，增加的主要原因是：</w:t>
      </w:r>
      <w:r>
        <w:rPr>
          <w:rFonts w:hint="eastAsia" w:ascii="仿宋_GB2312" w:eastAsia="仿宋_GB2312"/>
          <w:color w:val="000000" w:themeColor="text1"/>
          <w:sz w:val="32"/>
          <w:szCs w:val="32"/>
        </w:rPr>
        <w:t>政策性调资</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rPr>
        <w:t>基本工资增加，高海拔</w:t>
      </w:r>
      <w:r>
        <w:rPr>
          <w:rFonts w:hint="eastAsia" w:ascii="仿宋_GB2312" w:eastAsia="仿宋_GB2312"/>
          <w:color w:val="000000" w:themeColor="text1"/>
          <w:sz w:val="32"/>
          <w:szCs w:val="32"/>
          <w:lang w:val="en-US" w:eastAsia="zh-CN"/>
        </w:rPr>
        <w:t>地区工龄</w:t>
      </w:r>
      <w:r>
        <w:rPr>
          <w:rFonts w:hint="eastAsia" w:ascii="仿宋_GB2312" w:eastAsia="仿宋_GB2312"/>
          <w:color w:val="000000" w:themeColor="text1"/>
          <w:sz w:val="32"/>
          <w:szCs w:val="32"/>
        </w:rPr>
        <w:t>补贴增加，艰边津贴增加</w:t>
      </w:r>
      <w:r>
        <w:rPr>
          <w:rFonts w:ascii="仿宋_GB2312" w:eastAsia="仿宋_GB2312"/>
          <w:sz w:val="32"/>
          <w:szCs w:val="32"/>
        </w:rPr>
        <w:t>。</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34.5</w:t>
      </w:r>
      <w:r>
        <w:rPr>
          <w:rFonts w:hint="eastAsia" w:ascii="仿宋_GB2312" w:eastAsia="仿宋_GB2312"/>
          <w:color w:val="000000" w:themeColor="text1"/>
          <w:sz w:val="32"/>
          <w:szCs w:val="32"/>
        </w:rPr>
        <w:t>万元，项目支出</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29"/>
      <w:bookmarkStart w:id="31" w:name="OLE_LINK16"/>
      <w:bookmarkStart w:id="32" w:name="OLE_LINK62"/>
      <w:r>
        <w:rPr>
          <w:rFonts w:hint="eastAsia" w:ascii="仿宋_GB2312" w:eastAsia="仿宋_GB2312"/>
          <w:color w:val="000000"/>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,增加0万元，增长0%，增加的主要原因是：本年与上年均无结转结余资金。</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34.99</w:t>
      </w:r>
      <w:r>
        <w:rPr>
          <w:rFonts w:hint="eastAsia" w:ascii="仿宋_GB2312" w:eastAsia="仿宋_GB2312"/>
          <w:color w:val="000000" w:themeColor="text1"/>
          <w:sz w:val="32"/>
          <w:szCs w:val="32"/>
        </w:rPr>
        <w:t>万元，决算数</w:t>
      </w:r>
      <w:r>
        <w:rPr>
          <w:rFonts w:hint="eastAsia" w:ascii="仿宋_GB2312" w:eastAsia="仿宋_GB2312"/>
          <w:sz w:val="32"/>
          <w:szCs w:val="32"/>
        </w:rPr>
        <w:t>34.5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，预决算差异率-1.4%，差异主要原因是决算数中基本养老保险，公积金较预算数减少。</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34.99</w:t>
      </w:r>
      <w:r>
        <w:rPr>
          <w:rFonts w:hint="eastAsia" w:ascii="仿宋_GB2312" w:eastAsia="仿宋_GB2312"/>
          <w:color w:val="000000" w:themeColor="text1"/>
          <w:sz w:val="32"/>
          <w:szCs w:val="32"/>
        </w:rPr>
        <w:t>万元，决算数</w:t>
      </w:r>
      <w:r>
        <w:rPr>
          <w:rFonts w:hint="eastAsia" w:ascii="仿宋_GB2312" w:eastAsia="仿宋_GB2312"/>
          <w:sz w:val="32"/>
          <w:szCs w:val="32"/>
        </w:rPr>
        <w:t>34.5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，预决算差异率-1.4%，差异主要原因是决算数中基本养老保险，公积金较预算数减少。</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34.5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，与上年相比，增加4.43万元，增长14.73%，增加的主要原因是：</w:t>
      </w:r>
      <w:r>
        <w:rPr>
          <w:rFonts w:hint="eastAsia" w:ascii="仿宋_GB2312" w:eastAsia="仿宋_GB2312"/>
          <w:color w:val="000000" w:themeColor="text1"/>
          <w:sz w:val="32"/>
          <w:szCs w:val="32"/>
        </w:rPr>
        <w:t>政策性调资</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rPr>
        <w:t>基本工资增加，高海拔</w:t>
      </w:r>
      <w:r>
        <w:rPr>
          <w:rFonts w:hint="eastAsia" w:ascii="仿宋_GB2312" w:eastAsia="仿宋_GB2312"/>
          <w:color w:val="000000" w:themeColor="text1"/>
          <w:sz w:val="32"/>
          <w:szCs w:val="32"/>
          <w:lang w:val="en-US" w:eastAsia="zh-CN"/>
        </w:rPr>
        <w:t>地区工龄</w:t>
      </w:r>
      <w:r>
        <w:rPr>
          <w:rFonts w:hint="eastAsia" w:ascii="仿宋_GB2312" w:eastAsia="仿宋_GB2312"/>
          <w:color w:val="000000" w:themeColor="text1"/>
          <w:sz w:val="32"/>
          <w:szCs w:val="32"/>
        </w:rPr>
        <w:t>补贴增加，艰边津贴增加</w:t>
      </w:r>
      <w:r>
        <w:rPr>
          <w:rFonts w:ascii="仿宋_GB2312" w:eastAsia="仿宋_GB2312"/>
          <w:color w:val="000000" w:themeColor="text1"/>
          <w:sz w:val="32"/>
          <w:szCs w:val="32"/>
        </w:rPr>
        <w:t>。</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34.5</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，与上年相比，增加4.43万元，增长14.73%，增加的主要原因是：</w:t>
      </w:r>
      <w:r>
        <w:rPr>
          <w:rFonts w:hint="eastAsia" w:ascii="仿宋_GB2312" w:eastAsia="仿宋_GB2312"/>
          <w:color w:val="000000" w:themeColor="text1"/>
          <w:sz w:val="32"/>
          <w:szCs w:val="32"/>
        </w:rPr>
        <w:t>政策性调资</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rPr>
        <w:t>基本工资增加，高海拔</w:t>
      </w:r>
      <w:r>
        <w:rPr>
          <w:rFonts w:hint="eastAsia" w:ascii="仿宋_GB2312" w:eastAsia="仿宋_GB2312"/>
          <w:color w:val="000000" w:themeColor="text1"/>
          <w:sz w:val="32"/>
          <w:szCs w:val="32"/>
          <w:lang w:val="en-US" w:eastAsia="zh-CN"/>
        </w:rPr>
        <w:t>地区工龄</w:t>
      </w:r>
      <w:r>
        <w:rPr>
          <w:rFonts w:hint="eastAsia" w:ascii="仿宋_GB2312" w:eastAsia="仿宋_GB2312"/>
          <w:color w:val="000000" w:themeColor="text1"/>
          <w:sz w:val="32"/>
          <w:szCs w:val="32"/>
        </w:rPr>
        <w:t>补贴增加，艰边津贴增加</w:t>
      </w:r>
      <w:bookmarkStart w:id="79" w:name="_GoBack"/>
      <w:bookmarkEnd w:id="79"/>
      <w:r>
        <w:rPr>
          <w:rFonts w:hint="eastAsia" w:ascii="仿宋_GB2312" w:eastAsia="仿宋_GB2312"/>
          <w:sz w:val="32"/>
          <w:szCs w:val="32"/>
        </w:rPr>
        <w:t>。</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住房保障支出2.25万元,一般公共服务支出28.95万元,社会保障和就业支出3.29万元。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工资福利支出31.32万元,商品和服务支出2.06万元,对个人和家庭的补助1.11万元。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34.99</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34.5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，预决算差异率-1.4%，差异主要原因是决算数中基本养老保险，公积金较预算数减少。</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34.99</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34.5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，预决算差异率-1.4%，差异主要原因是决算数中基本养老保险，公积金较预算数减少。</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，预决算差异率0%，差异主要原因是无变化。</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，预决算差异率0%，差异主要原因是无变化。</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eastAsia="仿宋_GB2312"/>
          <w:color w:val="000000"/>
          <w:sz w:val="32"/>
          <w:szCs w:val="32"/>
        </w:rPr>
      </w:pPr>
      <w:r>
        <w:rPr>
          <w:rFonts w:hint="eastAsia" w:ascii="仿宋_GB2312" w:eastAsia="仿宋_GB2312"/>
          <w:color w:val="000000"/>
          <w:sz w:val="32"/>
          <w:szCs w:val="32"/>
        </w:rPr>
        <w:t>年末结转结余0万元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eastAsia="zh-CN"/>
        </w:rPr>
        <w:t>，</w:t>
      </w:r>
      <w:r>
        <w:rPr>
          <w:rFonts w:hint="eastAsia" w:ascii="仿宋_GB2312" w:eastAsia="仿宋_GB2312"/>
          <w:color w:val="000000"/>
          <w:sz w:val="32"/>
          <w:szCs w:val="32"/>
        </w:rPr>
        <w:t>增加0万元，增长0%。</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jc w:val="both"/>
        <w:textAlignment w:val="auto"/>
        <w:outlineLvl w:val="9"/>
        <w:rPr>
          <w:rFonts w:ascii="仿宋_GB2312" w:eastAsia="仿宋_GB2312"/>
          <w:color w:val="000000"/>
          <w:sz w:val="32"/>
          <w:szCs w:val="32"/>
        </w:rPr>
      </w:pP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其中财政拨款结转结余0万元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val="en-US" w:eastAsia="zh-CN"/>
        </w:rPr>
        <w:t>,</w:t>
      </w:r>
      <w:r>
        <w:rPr>
          <w:rFonts w:hint="eastAsia" w:ascii="仿宋_GB2312" w:eastAsia="仿宋_GB2312"/>
          <w:color w:val="000000"/>
          <w:sz w:val="32"/>
          <w:szCs w:val="32"/>
        </w:rPr>
        <w:t>增加0万元，增长0%。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hint="eastAsia" w:ascii="仿宋_GB2312" w:eastAsia="仿宋_GB2312"/>
          <w:color w:val="000000"/>
          <w:sz w:val="32"/>
          <w:szCs w:val="32"/>
        </w:rPr>
      </w:pPr>
      <w:bookmarkStart w:id="52" w:name="OLE_LINK79"/>
      <w:bookmarkStart w:id="53" w:name="OLE_LINK80"/>
      <w:r>
        <w:rPr>
          <w:rFonts w:hint="eastAsia" w:ascii="仿宋_GB2312" w:eastAsia="仿宋_GB2312"/>
          <w:color w:val="000000"/>
          <w:sz w:val="32"/>
          <w:szCs w:val="32"/>
        </w:rPr>
        <w:t>2018年度一般公共预算“三公”经费支出决算</w:t>
      </w:r>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hint="eastAsia" w:ascii="仿宋_GB2312" w:eastAsia="仿宋_GB2312"/>
          <w:sz w:val="32"/>
          <w:szCs w:val="32"/>
          <w:highlight w:val="none"/>
          <w:lang w:val="en-US" w:eastAsia="zh-CN"/>
        </w:rPr>
        <w:t>本单位无</w:t>
      </w:r>
      <w:r>
        <w:rPr>
          <w:rFonts w:hint="eastAsia" w:ascii="仿宋_GB2312" w:eastAsia="仿宋_GB2312"/>
          <w:color w:val="000000"/>
          <w:sz w:val="32"/>
          <w:szCs w:val="32"/>
        </w:rPr>
        <w:t>“三公”经费支出</w:t>
      </w:r>
      <w:r>
        <w:rPr>
          <w:rFonts w:hint="eastAsia" w:ascii="仿宋_GB2312" w:eastAsia="仿宋_GB2312"/>
          <w:sz w:val="32"/>
          <w:szCs w:val="32"/>
        </w:rPr>
        <w:t>。</w:t>
      </w:r>
      <w:r>
        <w:rPr>
          <w:rFonts w:hint="eastAsia" w:ascii="仿宋_GB2312" w:eastAsia="仿宋_GB2312"/>
          <w:color w:val="000000"/>
          <w:sz w:val="32"/>
          <w:szCs w:val="32"/>
        </w:rPr>
        <w:t>其中，因公出国（境）费支出</w:t>
      </w:r>
      <w:r>
        <w:rPr>
          <w:rFonts w:hint="eastAsia" w:ascii="仿宋_GB2312" w:eastAsia="仿宋_GB2312"/>
          <w:sz w:val="32"/>
          <w:szCs w:val="32"/>
        </w:rPr>
        <w:t>0</w:t>
      </w:r>
      <w:r>
        <w:rPr>
          <w:rFonts w:hint="eastAsia" w:ascii="仿宋_GB2312" w:eastAsia="仿宋_GB2312"/>
          <w:color w:val="000000"/>
          <w:sz w:val="32"/>
          <w:szCs w:val="32"/>
        </w:rPr>
        <w:t>万元，占</w:t>
      </w:r>
      <w:r>
        <w:rPr>
          <w:rFonts w:hint="eastAsia" w:ascii="仿宋_GB2312" w:eastAsia="仿宋_GB2312"/>
          <w:sz w:val="32"/>
          <w:szCs w:val="32"/>
        </w:rPr>
        <w:t>0%，与上年相比</w:t>
      </w:r>
      <w:r>
        <w:rPr>
          <w:rFonts w:hint="eastAsia" w:ascii="仿宋_GB2312" w:eastAsia="仿宋_GB2312"/>
          <w:sz w:val="32"/>
          <w:szCs w:val="32"/>
          <w:lang w:val="en-US"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ascii="仿宋_GB2312" w:eastAsia="仿宋_GB2312"/>
          <w:color w:val="000000"/>
          <w:sz w:val="32"/>
          <w:szCs w:val="32"/>
        </w:rPr>
        <w:t>本单位无因公出国（境）费支出</w:t>
      </w:r>
      <w:r>
        <w:rPr>
          <w:rFonts w:hint="eastAsia" w:ascii="仿宋_GB2312" w:eastAsia="仿宋_GB2312"/>
          <w:sz w:val="32"/>
          <w:szCs w:val="32"/>
        </w:rPr>
        <w:t>；</w:t>
      </w:r>
      <w:r>
        <w:rPr>
          <w:rFonts w:hint="eastAsia" w:ascii="仿宋_GB2312" w:eastAsia="仿宋_GB2312"/>
          <w:color w:val="000000"/>
          <w:sz w:val="32"/>
          <w:szCs w:val="32"/>
        </w:rPr>
        <w:t>公务用车购置及运行维护费支出</w:t>
      </w:r>
      <w:r>
        <w:rPr>
          <w:rFonts w:hint="eastAsia" w:ascii="仿宋_GB2312" w:eastAsia="仿宋_GB2312"/>
          <w:sz w:val="32"/>
          <w:szCs w:val="32"/>
        </w:rPr>
        <w:t>0</w:t>
      </w:r>
      <w:r>
        <w:rPr>
          <w:rFonts w:hint="eastAsia" w:ascii="仿宋_GB2312" w:eastAsia="仿宋_GB2312"/>
          <w:color w:val="000000"/>
          <w:sz w:val="32"/>
          <w:szCs w:val="32"/>
        </w:rPr>
        <w:t>万元，占</w:t>
      </w:r>
      <w:r>
        <w:rPr>
          <w:rFonts w:hint="eastAsia" w:ascii="仿宋_GB2312" w:eastAsia="仿宋_GB2312"/>
          <w:sz w:val="32"/>
          <w:szCs w:val="32"/>
        </w:rPr>
        <w:t>0%，与上年相比</w:t>
      </w:r>
      <w:r>
        <w:rPr>
          <w:rFonts w:hint="eastAsia" w:ascii="仿宋_GB2312" w:eastAsia="仿宋_GB2312"/>
          <w:sz w:val="32"/>
          <w:szCs w:val="32"/>
          <w:lang w:val="en-US"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的主要原因是：本单位无公务用车购置及维护</w:t>
      </w:r>
      <w:r>
        <w:rPr>
          <w:rFonts w:hint="eastAsia" w:ascii="仿宋_GB2312" w:eastAsia="仿宋_GB2312"/>
          <w:color w:val="000000"/>
          <w:sz w:val="32"/>
          <w:szCs w:val="32"/>
        </w:rPr>
        <w:t>费</w:t>
      </w:r>
      <w:r>
        <w:rPr>
          <w:rFonts w:hint="eastAsia" w:ascii="仿宋_GB2312" w:eastAsia="仿宋_GB2312"/>
          <w:sz w:val="32"/>
          <w:szCs w:val="32"/>
        </w:rPr>
        <w:t>支出；</w:t>
      </w:r>
      <w:r>
        <w:rPr>
          <w:rFonts w:hint="eastAsia" w:ascii="仿宋_GB2312" w:eastAsia="仿宋_GB2312"/>
          <w:color w:val="000000"/>
          <w:sz w:val="32"/>
          <w:szCs w:val="32"/>
        </w:rPr>
        <w:t>公务接待费支出</w:t>
      </w:r>
      <w:r>
        <w:rPr>
          <w:rFonts w:hint="eastAsia" w:ascii="仿宋_GB2312" w:eastAsia="仿宋_GB2312"/>
          <w:sz w:val="32"/>
          <w:szCs w:val="32"/>
        </w:rPr>
        <w:t>0</w:t>
      </w:r>
      <w:r>
        <w:rPr>
          <w:rFonts w:hint="eastAsia" w:ascii="仿宋_GB2312" w:eastAsia="仿宋_GB2312"/>
          <w:color w:val="000000"/>
          <w:sz w:val="32"/>
          <w:szCs w:val="32"/>
        </w:rPr>
        <w:t>万元，占</w:t>
      </w:r>
      <w:r>
        <w:rPr>
          <w:rFonts w:hint="eastAsia" w:ascii="仿宋_GB2312" w:eastAsia="仿宋_GB2312"/>
          <w:sz w:val="32"/>
          <w:szCs w:val="32"/>
        </w:rPr>
        <w:t>0%，与上年相比</w:t>
      </w:r>
      <w:r>
        <w:rPr>
          <w:rFonts w:hint="eastAsia" w:ascii="仿宋_GB2312" w:eastAsia="仿宋_GB2312"/>
          <w:sz w:val="32"/>
          <w:szCs w:val="32"/>
          <w:lang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的主要原因是：本单位无公务接待费支出。</w:t>
      </w:r>
      <w:r>
        <w:rPr>
          <w:rFonts w:hint="eastAsia" w:ascii="仿宋_GB2312" w:eastAsia="仿宋_GB2312"/>
          <w:color w:val="000000"/>
          <w:sz w:val="32"/>
          <w:szCs w:val="32"/>
        </w:rPr>
        <w:t>具体情况如下：</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新疆喀什地区中国共产主义青年团塔什库尔干县委员会</w:t>
      </w:r>
      <w:r>
        <w:rPr>
          <w:rFonts w:hint="eastAsia" w:ascii="仿宋_GB2312" w:eastAsia="仿宋_GB2312"/>
          <w:color w:val="000000" w:themeColor="text1"/>
          <w:sz w:val="32"/>
          <w:szCs w:val="32"/>
        </w:rPr>
        <w:t>单位</w:t>
      </w:r>
      <w:bookmarkStart w:id="54" w:name="OLE_LINK33"/>
      <w:r>
        <w:rPr>
          <w:rFonts w:hint="eastAsia" w:ascii="仿宋_GB2312" w:eastAsia="仿宋_GB2312"/>
          <w:color w:val="000000" w:themeColor="text1"/>
          <w:sz w:val="32"/>
          <w:szCs w:val="32"/>
        </w:rPr>
        <w:t>全年</w:t>
      </w:r>
      <w:bookmarkStart w:id="55" w:name="OLE_LINK34"/>
      <w:bookmarkStart w:id="56" w:name="OLE_LINK35"/>
      <w:bookmarkStart w:id="57" w:name="OLE_LINK36"/>
      <w:r>
        <w:rPr>
          <w:rFonts w:hint="eastAsia" w:ascii="仿宋_GB2312" w:eastAsia="仿宋_GB2312"/>
          <w:color w:val="000000" w:themeColor="text1"/>
          <w:sz w:val="32"/>
          <w:szCs w:val="32"/>
        </w:rPr>
        <w:t>使用一般公共预算财政拨款安排的出国（境）团组</w:t>
      </w:r>
      <w:bookmarkEnd w:id="54"/>
      <w:bookmarkEnd w:id="55"/>
      <w:bookmarkEnd w:id="56"/>
      <w:r>
        <w:rPr>
          <w:rFonts w:hint="eastAsia" w:ascii="仿宋_GB2312" w:eastAsia="仿宋_GB2312"/>
          <w:sz w:val="32"/>
          <w:szCs w:val="32"/>
        </w:rPr>
        <w:t>0</w:t>
      </w:r>
      <w:r>
        <w:rPr>
          <w:rFonts w:hint="eastAsia" w:ascii="仿宋_GB2312" w:eastAsia="仿宋_GB2312"/>
          <w:color w:val="000000" w:themeColor="text1"/>
          <w:sz w:val="32"/>
          <w:szCs w:val="32"/>
        </w:rPr>
        <w:t>个</w:t>
      </w:r>
      <w:bookmarkEnd w:id="57"/>
      <w:r>
        <w:rPr>
          <w:rFonts w:hint="eastAsia" w:ascii="仿宋_GB2312" w:eastAsia="仿宋_GB2312"/>
          <w:color w:val="000000" w:themeColor="text1"/>
          <w:sz w:val="32"/>
          <w:szCs w:val="32"/>
        </w:rPr>
        <w:t>，</w:t>
      </w:r>
      <w:bookmarkStart w:id="58"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58"/>
      <w:r>
        <w:rPr>
          <w:rFonts w:hint="eastAsia" w:ascii="仿宋_GB2312" w:eastAsia="仿宋_GB2312"/>
          <w:color w:val="000000" w:themeColor="text1"/>
          <w:sz w:val="32"/>
          <w:szCs w:val="32"/>
        </w:rPr>
        <w:t>。</w:t>
      </w:r>
      <w:bookmarkStart w:id="59"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本单位2018年无因公出国（境）支出。</w:t>
      </w:r>
      <w:bookmarkEnd w:id="52"/>
      <w:bookmarkEnd w:id="53"/>
      <w:bookmarkEnd w:id="59"/>
    </w:p>
    <w:p>
      <w:pPr>
        <w:spacing w:line="540" w:lineRule="exact"/>
        <w:ind w:firstLine="640" w:firstLineChars="200"/>
        <w:rPr>
          <w:rFonts w:ascii="仿宋_GB2312" w:eastAsia="仿宋_GB2312"/>
          <w:color w:val="000000" w:themeColor="text1"/>
          <w:sz w:val="32"/>
          <w:szCs w:val="32"/>
        </w:rPr>
      </w:pPr>
      <w:bookmarkStart w:id="60"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61"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61"/>
      <w:r>
        <w:rPr>
          <w:rFonts w:hint="eastAsia" w:ascii="仿宋_GB2312" w:eastAsia="仿宋_GB2312"/>
          <w:color w:val="000000" w:themeColor="text1"/>
          <w:sz w:val="32"/>
          <w:szCs w:val="32"/>
        </w:rPr>
        <w:t>，</w:t>
      </w:r>
      <w:bookmarkStart w:id="62" w:name="OLE_LINK40"/>
      <w:bookmarkStart w:id="63"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62"/>
      <w:bookmarkEnd w:id="63"/>
      <w:r>
        <w:rPr>
          <w:rFonts w:hint="eastAsia" w:ascii="仿宋_GB2312" w:eastAsia="仿宋_GB2312"/>
          <w:color w:val="000000" w:themeColor="text1"/>
          <w:sz w:val="32"/>
          <w:szCs w:val="32"/>
        </w:rPr>
        <w:t>。主要用于</w:t>
      </w:r>
      <w:r>
        <w:rPr>
          <w:rFonts w:hint="eastAsia" w:ascii="仿宋_GB2312" w:eastAsia="仿宋_GB2312"/>
          <w:sz w:val="32"/>
          <w:szCs w:val="32"/>
        </w:rPr>
        <w:t>本单位2018年无公务用车购置及运行维护费</w:t>
      </w:r>
      <w:r>
        <w:rPr>
          <w:rFonts w:hint="eastAsia" w:ascii="仿宋_GB2312" w:eastAsia="仿宋_GB2312"/>
          <w:color w:val="000000" w:themeColor="text1"/>
          <w:sz w:val="32"/>
          <w:szCs w:val="32"/>
        </w:rPr>
        <w:t>等。</w:t>
      </w:r>
      <w:bookmarkEnd w:id="60"/>
      <w:bookmarkStart w:id="64"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0</w:t>
      </w:r>
      <w:r>
        <w:rPr>
          <w:rFonts w:hint="eastAsia" w:ascii="仿宋_GB2312" w:eastAsia="仿宋_GB2312"/>
          <w:color w:val="000000" w:themeColor="text1"/>
          <w:sz w:val="32"/>
          <w:szCs w:val="32"/>
        </w:rPr>
        <w:t>辆。</w:t>
      </w:r>
      <w:bookmarkEnd w:id="64"/>
    </w:p>
    <w:p>
      <w:pPr>
        <w:spacing w:line="540" w:lineRule="exact"/>
        <w:ind w:firstLine="640" w:firstLineChars="200"/>
        <w:rPr>
          <w:rFonts w:ascii="仿宋_GB2312" w:eastAsia="仿宋_GB2312"/>
          <w:color w:val="000000" w:themeColor="text1"/>
          <w:sz w:val="32"/>
          <w:szCs w:val="32"/>
        </w:rPr>
      </w:pPr>
      <w:bookmarkStart w:id="65"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本单位2018年无公务接待费支出</w:t>
      </w:r>
      <w:r>
        <w:rPr>
          <w:rFonts w:hint="eastAsia" w:ascii="仿宋_GB2312" w:eastAsia="仿宋_GB2312"/>
          <w:color w:val="000000" w:themeColor="text1"/>
          <w:sz w:val="32"/>
          <w:szCs w:val="32"/>
        </w:rPr>
        <w:t>等。</w:t>
      </w:r>
      <w:bookmarkEnd w:id="65"/>
      <w:bookmarkStart w:id="66" w:name="OLE_LINK84"/>
      <w:r>
        <w:rPr>
          <w:rFonts w:hint="eastAsia" w:ascii="仿宋_GB2312" w:eastAsia="仿宋_GB2312"/>
          <w:sz w:val="32"/>
          <w:szCs w:val="32"/>
        </w:rPr>
        <w:t>新疆喀什地区中国共产主义青年团塔什库尔干县委员会</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66"/>
    </w:p>
    <w:p>
      <w:pPr>
        <w:spacing w:line="540" w:lineRule="exact"/>
        <w:ind w:firstLine="640" w:firstLineChars="200"/>
        <w:rPr>
          <w:rFonts w:ascii="仿宋_GB2312" w:hAnsi="宋体" w:eastAsia="仿宋_GB2312" w:cs="宋体"/>
          <w:color w:val="000000" w:themeColor="text1"/>
          <w:kern w:val="0"/>
          <w:sz w:val="32"/>
          <w:szCs w:val="32"/>
        </w:rPr>
      </w:pPr>
      <w:bookmarkStart w:id="67"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，预决算差异率0%，差异主要原因是无变化。</w:t>
      </w:r>
      <w:bookmarkEnd w:id="67"/>
      <w:bookmarkStart w:id="68" w:name="OLE_LINK86"/>
      <w:bookmarkStart w:id="69"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，预决算差异率0%，差异主要原因是无变化；</w:t>
      </w:r>
      <w:bookmarkEnd w:id="68"/>
      <w:bookmarkEnd w:id="69"/>
      <w:bookmarkStart w:id="70" w:name="OLE_LINK89"/>
      <w:bookmarkStart w:id="71"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，预决算差异率0%，差异主要原因是无变化；</w:t>
      </w:r>
      <w:bookmarkEnd w:id="70"/>
      <w:bookmarkEnd w:id="71"/>
      <w:bookmarkStart w:id="72"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，预决算差异率0%，差异主要原因是无变化；</w:t>
      </w:r>
      <w:bookmarkEnd w:id="72"/>
      <w:bookmarkStart w:id="73"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73"/>
      <w:r>
        <w:rPr>
          <w:rFonts w:ascii="仿宋_GB2312" w:eastAsia="仿宋_GB2312"/>
          <w:color w:val="000000" w:themeColor="text1"/>
          <w:sz w:val="32"/>
          <w:szCs w:val="32"/>
        </w:rPr>
        <w:t>无变化。</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2018年度新疆喀什地区中国共产主义青年团塔什库尔干县委员会机关运行经费支出2.06万元，与上年相比，增加1.18万元，增长134.09%，增加的主要原因是：差旅费、邮电费较上年增加。</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74" w:name="OLE_LINK45"/>
      <w:r>
        <w:rPr>
          <w:rFonts w:hint="eastAsia" w:ascii="仿宋_GB2312" w:eastAsia="仿宋_GB2312"/>
          <w:color w:val="000000" w:themeColor="text1"/>
          <w:sz w:val="32"/>
          <w:szCs w:val="32"/>
        </w:rPr>
        <w:t>政府采购支出总额</w:t>
      </w:r>
      <w:bookmarkEnd w:id="74"/>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5" w:name="OLE_LINK46"/>
      <w:r>
        <w:rPr>
          <w:rFonts w:hint="eastAsia" w:ascii="仿宋_GB2312" w:eastAsia="仿宋_GB2312"/>
          <w:color w:val="000000" w:themeColor="text1"/>
          <w:sz w:val="32"/>
          <w:szCs w:val="32"/>
        </w:rPr>
        <w:t>政府采购货物支出</w:t>
      </w:r>
      <w:bookmarkEnd w:id="75"/>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76" w:name="OLE_LINK47"/>
      <w:r>
        <w:rPr>
          <w:rFonts w:hint="eastAsia" w:ascii="仿宋_GB2312" w:eastAsia="仿宋_GB2312"/>
          <w:color w:val="000000" w:themeColor="text1"/>
          <w:sz w:val="32"/>
          <w:szCs w:val="32"/>
        </w:rPr>
        <w:t>政府采购工程支出</w:t>
      </w:r>
      <w:bookmarkEnd w:id="76"/>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77" w:name="OLE_LINK48"/>
      <w:r>
        <w:rPr>
          <w:rFonts w:hint="eastAsia" w:ascii="仿宋_GB2312" w:eastAsia="仿宋_GB2312"/>
          <w:color w:val="000000" w:themeColor="text1"/>
          <w:sz w:val="32"/>
          <w:szCs w:val="32"/>
        </w:rPr>
        <w:t>政府采购服务支出</w:t>
      </w:r>
      <w:bookmarkEnd w:id="77"/>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78"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7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2018年度，本部门单位预算绩效自评情况：</w:t>
      </w:r>
      <w:r>
        <w:rPr>
          <w:rFonts w:ascii="仿宋_GB2312" w:eastAsia="仿宋_GB2312"/>
          <w:color w:val="000000" w:themeColor="text1"/>
          <w:sz w:val="32"/>
          <w:szCs w:val="32"/>
        </w:rPr>
        <w:t>201</w:t>
      </w:r>
      <w:r>
        <w:rPr>
          <w:rFonts w:hint="eastAsia" w:ascii="仿宋_GB2312" w:eastAsia="仿宋_GB2312"/>
          <w:color w:val="000000" w:themeColor="text1"/>
          <w:sz w:val="32"/>
          <w:szCs w:val="32"/>
          <w:lang w:val="en-US" w:eastAsia="zh-CN"/>
        </w:rPr>
        <w:t>8</w:t>
      </w:r>
      <w:r>
        <w:rPr>
          <w:rFonts w:hint="eastAsia" w:ascii="仿宋_GB2312" w:eastAsia="仿宋_GB2312"/>
          <w:color w:val="000000" w:themeColor="text1"/>
          <w:sz w:val="32"/>
          <w:szCs w:val="32"/>
        </w:rPr>
        <w:t>年度，本部门单位实行绩效管理的项目</w:t>
      </w:r>
      <w:r>
        <w:rPr>
          <w:rFonts w:ascii="仿宋_GB2312" w:eastAsia="仿宋_GB2312"/>
          <w:color w:val="000000" w:themeColor="text1"/>
          <w:sz w:val="32"/>
          <w:szCs w:val="32"/>
        </w:rPr>
        <w:t>0</w:t>
      </w:r>
      <w:r>
        <w:rPr>
          <w:rFonts w:hint="eastAsia" w:ascii="仿宋_GB2312" w:eastAsia="仿宋_GB2312"/>
          <w:color w:val="000000" w:themeColor="text1"/>
          <w:sz w:val="32"/>
          <w:szCs w:val="32"/>
        </w:rPr>
        <w:t>个，涉及预算</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万元，项目支出决算</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万元。年末本部门单位民生项目和重点支出项目的绩效评价开展情况及结果：无</w:t>
      </w:r>
      <w:r>
        <w:rPr>
          <w:rFonts w:hint="eastAsia" w:ascii="仿宋_GB2312" w:eastAsia="仿宋_GB2312"/>
          <w:color w:val="000000" w:themeColor="text1"/>
          <w:sz w:val="32"/>
          <w:szCs w:val="32"/>
          <w:lang w:eastAsia="zh-CN"/>
        </w:rPr>
        <w:t>预算绩效情况</w:t>
      </w:r>
      <w:r>
        <w:rPr>
          <w:rFonts w:hint="eastAsia" w:ascii="仿宋_GB2312" w:eastAsia="仿宋_GB2312"/>
          <w:color w:val="000000" w:themeColor="text1"/>
          <w:sz w:val="32"/>
          <w:szCs w:val="32"/>
        </w:rPr>
        <w:t>。</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201（类）29（款）01（项）指：行政运行。221（类）02（款）01（项）指：住房公积金。208（类）05（款）05（项）指：机关事业单位基本养老保险缴费支出。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hint="eastAsia" w:ascii="宋体" w:hAnsi="宋体" w:eastAsia="宋体"/>
        <w:sz w:val="28"/>
        <w:lang w:eastAsia="zh-CN"/>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- 1 -</w:t>
    </w:r>
    <w:r>
      <w:rPr>
        <w:rStyle w:val="8"/>
        <w:rFonts w:ascii="宋体" w:hAnsi="宋体" w:eastAsia="宋体"/>
        <w:sz w:val="28"/>
      </w:rPr>
      <w:fldChar w:fldCharType="end"/>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-12-</w:t>
    </w:r>
    <w:r>
      <w:rPr>
        <w:rStyle w:val="8"/>
        <w:rFonts w:ascii="宋体" w:hAnsi="宋体" w:eastAsia="宋体"/>
        <w:sz w:val="28"/>
        <w:szCs w:val="28"/>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3B919FB"/>
    <w:rsid w:val="040B3CFC"/>
    <w:rsid w:val="04741FE5"/>
    <w:rsid w:val="047E1FC1"/>
    <w:rsid w:val="04DB02C7"/>
    <w:rsid w:val="06B856EE"/>
    <w:rsid w:val="07FE5938"/>
    <w:rsid w:val="084604BC"/>
    <w:rsid w:val="08883825"/>
    <w:rsid w:val="09725983"/>
    <w:rsid w:val="0A382BB5"/>
    <w:rsid w:val="0A60733A"/>
    <w:rsid w:val="0AA4543A"/>
    <w:rsid w:val="0BA567BA"/>
    <w:rsid w:val="0BE61132"/>
    <w:rsid w:val="0C8D48CE"/>
    <w:rsid w:val="0C9B0DD6"/>
    <w:rsid w:val="0CE4791C"/>
    <w:rsid w:val="0E063C64"/>
    <w:rsid w:val="0F4C7B96"/>
    <w:rsid w:val="0FED019A"/>
    <w:rsid w:val="0FFB575E"/>
    <w:rsid w:val="10845F1B"/>
    <w:rsid w:val="10B8152E"/>
    <w:rsid w:val="11463A00"/>
    <w:rsid w:val="11600918"/>
    <w:rsid w:val="11B0398F"/>
    <w:rsid w:val="13B960C5"/>
    <w:rsid w:val="152777F4"/>
    <w:rsid w:val="15C674B6"/>
    <w:rsid w:val="18D54A0D"/>
    <w:rsid w:val="1A4106A0"/>
    <w:rsid w:val="1A4F5437"/>
    <w:rsid w:val="1A78703C"/>
    <w:rsid w:val="1AB77CD0"/>
    <w:rsid w:val="1C8D7D51"/>
    <w:rsid w:val="1D430CCC"/>
    <w:rsid w:val="1DAF72BD"/>
    <w:rsid w:val="1E807156"/>
    <w:rsid w:val="1EA657F6"/>
    <w:rsid w:val="1F097CB6"/>
    <w:rsid w:val="2093570E"/>
    <w:rsid w:val="2166156B"/>
    <w:rsid w:val="21B02D83"/>
    <w:rsid w:val="226432BA"/>
    <w:rsid w:val="22A236F5"/>
    <w:rsid w:val="23995975"/>
    <w:rsid w:val="2432220E"/>
    <w:rsid w:val="248303BA"/>
    <w:rsid w:val="24837E47"/>
    <w:rsid w:val="252E01AA"/>
    <w:rsid w:val="2680023E"/>
    <w:rsid w:val="27002B89"/>
    <w:rsid w:val="27736E6A"/>
    <w:rsid w:val="29680352"/>
    <w:rsid w:val="2A020F75"/>
    <w:rsid w:val="2B007AEE"/>
    <w:rsid w:val="2BC14C56"/>
    <w:rsid w:val="2C1B026F"/>
    <w:rsid w:val="2CC61F55"/>
    <w:rsid w:val="2EF0063D"/>
    <w:rsid w:val="2EF7452F"/>
    <w:rsid w:val="2F1D13B4"/>
    <w:rsid w:val="2F5D12C0"/>
    <w:rsid w:val="2FAA3DA6"/>
    <w:rsid w:val="30682E1F"/>
    <w:rsid w:val="30E210D2"/>
    <w:rsid w:val="311371D6"/>
    <w:rsid w:val="31EB64C9"/>
    <w:rsid w:val="336D0D6F"/>
    <w:rsid w:val="352E4BEC"/>
    <w:rsid w:val="357A5C3B"/>
    <w:rsid w:val="37DD5594"/>
    <w:rsid w:val="38F24FA8"/>
    <w:rsid w:val="3A98342A"/>
    <w:rsid w:val="3AB6780E"/>
    <w:rsid w:val="3AD56D70"/>
    <w:rsid w:val="3B2920C2"/>
    <w:rsid w:val="3BE41ABD"/>
    <w:rsid w:val="3C5421A9"/>
    <w:rsid w:val="3CA9299C"/>
    <w:rsid w:val="3D903B21"/>
    <w:rsid w:val="3F440741"/>
    <w:rsid w:val="41FC306C"/>
    <w:rsid w:val="4217720C"/>
    <w:rsid w:val="44BE5554"/>
    <w:rsid w:val="451E0908"/>
    <w:rsid w:val="452C2D31"/>
    <w:rsid w:val="45BB3609"/>
    <w:rsid w:val="45D26E14"/>
    <w:rsid w:val="46A541B1"/>
    <w:rsid w:val="472D1A7B"/>
    <w:rsid w:val="48C57772"/>
    <w:rsid w:val="49782886"/>
    <w:rsid w:val="4A6F0D28"/>
    <w:rsid w:val="4AAF085C"/>
    <w:rsid w:val="4AEB7E60"/>
    <w:rsid w:val="4B4B135B"/>
    <w:rsid w:val="4BC7055F"/>
    <w:rsid w:val="4C36257F"/>
    <w:rsid w:val="4C62167E"/>
    <w:rsid w:val="4CFC7DB2"/>
    <w:rsid w:val="4E7C187D"/>
    <w:rsid w:val="4F300E8E"/>
    <w:rsid w:val="508941AD"/>
    <w:rsid w:val="50E65530"/>
    <w:rsid w:val="51457139"/>
    <w:rsid w:val="51574DBD"/>
    <w:rsid w:val="51EC1DA8"/>
    <w:rsid w:val="52FC5524"/>
    <w:rsid w:val="532D7A17"/>
    <w:rsid w:val="54AF4562"/>
    <w:rsid w:val="54C9674B"/>
    <w:rsid w:val="556318EA"/>
    <w:rsid w:val="55A60AA1"/>
    <w:rsid w:val="56451615"/>
    <w:rsid w:val="57976038"/>
    <w:rsid w:val="57FC5774"/>
    <w:rsid w:val="59B332C9"/>
    <w:rsid w:val="5A44758A"/>
    <w:rsid w:val="5BEC4BB3"/>
    <w:rsid w:val="5C070B55"/>
    <w:rsid w:val="5CB509C2"/>
    <w:rsid w:val="5CB96DCE"/>
    <w:rsid w:val="5CE61580"/>
    <w:rsid w:val="5D175666"/>
    <w:rsid w:val="5D46196B"/>
    <w:rsid w:val="5D556A3C"/>
    <w:rsid w:val="5D714CF7"/>
    <w:rsid w:val="5D7B25C9"/>
    <w:rsid w:val="5ECB44B4"/>
    <w:rsid w:val="5EE2043C"/>
    <w:rsid w:val="5F022286"/>
    <w:rsid w:val="602D2E37"/>
    <w:rsid w:val="61460FBE"/>
    <w:rsid w:val="616C7F70"/>
    <w:rsid w:val="616D30E5"/>
    <w:rsid w:val="61A105FD"/>
    <w:rsid w:val="62775810"/>
    <w:rsid w:val="62D83744"/>
    <w:rsid w:val="630848FA"/>
    <w:rsid w:val="630F4048"/>
    <w:rsid w:val="63AA02E5"/>
    <w:rsid w:val="64700DE9"/>
    <w:rsid w:val="65C613BD"/>
    <w:rsid w:val="65FD118C"/>
    <w:rsid w:val="682C3D89"/>
    <w:rsid w:val="68611305"/>
    <w:rsid w:val="6A162DE0"/>
    <w:rsid w:val="6A331428"/>
    <w:rsid w:val="6B2E5CB6"/>
    <w:rsid w:val="6B3D4886"/>
    <w:rsid w:val="6CF741DC"/>
    <w:rsid w:val="6D930DAF"/>
    <w:rsid w:val="6DF8675E"/>
    <w:rsid w:val="6EA80098"/>
    <w:rsid w:val="6F8D70FF"/>
    <w:rsid w:val="6FFE5011"/>
    <w:rsid w:val="7178734D"/>
    <w:rsid w:val="71791096"/>
    <w:rsid w:val="717B0C34"/>
    <w:rsid w:val="71FB78FD"/>
    <w:rsid w:val="72704B53"/>
    <w:rsid w:val="7275064A"/>
    <w:rsid w:val="733F750B"/>
    <w:rsid w:val="735702E2"/>
    <w:rsid w:val="765F635A"/>
    <w:rsid w:val="76B73454"/>
    <w:rsid w:val="76D254BD"/>
    <w:rsid w:val="77727ACD"/>
    <w:rsid w:val="78071142"/>
    <w:rsid w:val="79296B37"/>
    <w:rsid w:val="7A4C4C40"/>
    <w:rsid w:val="7AA0518E"/>
    <w:rsid w:val="7B041636"/>
    <w:rsid w:val="7CA86749"/>
    <w:rsid w:val="7E5D1B5C"/>
    <w:rsid w:val="7EC92370"/>
    <w:rsid w:val="7EE57CEA"/>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qFormat/>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unhideWhenUsed/>
    <w:qFormat/>
    <w:uiPriority w:val="99"/>
    <w:rPr>
      <w:sz w:val="21"/>
      <w:szCs w:val="21"/>
    </w:rPr>
  </w:style>
  <w:style w:type="character" w:customStyle="1" w:styleId="11">
    <w:name w:val="页脚 Char"/>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Char"/>
    <w:basedOn w:val="7"/>
    <w:link w:val="3"/>
    <w:semiHidden/>
    <w:qFormat/>
    <w:uiPriority w:val="99"/>
    <w:rPr>
      <w:rFonts w:ascii="Times New Roman" w:hAnsi="Times New Roman" w:eastAsia="宋体" w:cs="Times New Roman"/>
      <w:szCs w:val="24"/>
    </w:rPr>
  </w:style>
  <w:style w:type="character" w:customStyle="1" w:styleId="13">
    <w:name w:val="批注主题 Char"/>
    <w:basedOn w:val="12"/>
    <w:link w:val="2"/>
    <w:semiHidden/>
    <w:qFormat/>
    <w:uiPriority w:val="99"/>
    <w:rPr>
      <w:rFonts w:ascii="Times New Roman" w:hAnsi="Times New Roman" w:eastAsia="宋体" w:cs="Times New Roman"/>
      <w:b/>
      <w:bCs/>
      <w:szCs w:val="24"/>
    </w:rPr>
  </w:style>
  <w:style w:type="character" w:customStyle="1" w:styleId="14">
    <w:name w:val="批注框文本 Char"/>
    <w:basedOn w:val="7"/>
    <w:link w:val="4"/>
    <w:semiHidden/>
    <w:qFormat/>
    <w:uiPriority w:val="99"/>
    <w:rPr>
      <w:rFonts w:ascii="Times New Roman" w:hAnsi="Times New Roman" w:eastAsia="宋体" w:cs="Times New Roman"/>
      <w:sz w:val="18"/>
      <w:szCs w:val="18"/>
    </w:rPr>
  </w:style>
  <w:style w:type="character" w:customStyle="1" w:styleId="15">
    <w:name w:val="页眉 Char"/>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0</TotalTime>
  <ScaleCrop>false</ScaleCrop>
  <LinksUpToDate>false</LinksUpToDate>
  <CharactersWithSpaces>7696</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Lenovo</cp:lastModifiedBy>
  <dcterms:modified xsi:type="dcterms:W3CDTF">2020-04-05T03:36:19Z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