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2018年度新疆喀什地区塔什库尔干县总工会部门决算公开说明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1、根据党的基本理论，基本路线，基本纲领和工作方针，团结县委的工作部署要求，研究制定工作计划，组织，指导开展本县工会工作。</w:t>
      </w:r>
      <w:r>
        <w:rPr>
          <w:rFonts w:hint="eastAsia" w:ascii="仿宋_GB2312" w:eastAsia="仿宋_GB2312"/>
          <w:sz w:val="32"/>
          <w:szCs w:val="32"/>
        </w:rPr>
        <w:br w:type="textWrapping"/>
      </w:r>
      <w:r>
        <w:rPr>
          <w:rFonts w:hint="eastAsia" w:ascii="仿宋_GB2312" w:eastAsia="仿宋_GB2312"/>
          <w:sz w:val="32"/>
          <w:szCs w:val="32"/>
        </w:rPr>
        <w:t>2、对有关职工合法权益的重大问题进行调查研究，向县委，政府反映职工的思想，愿望和要求，并提出意见和建议。</w:t>
      </w:r>
      <w:r>
        <w:rPr>
          <w:rFonts w:hint="eastAsia" w:ascii="仿宋_GB2312" w:eastAsia="仿宋_GB2312"/>
          <w:sz w:val="32"/>
          <w:szCs w:val="32"/>
        </w:rPr>
        <w:br w:type="textWrapping"/>
      </w:r>
      <w:r>
        <w:rPr>
          <w:rFonts w:hint="eastAsia" w:ascii="仿宋_GB2312" w:eastAsia="仿宋_GB2312"/>
          <w:sz w:val="32"/>
          <w:szCs w:val="32"/>
        </w:rPr>
        <w:t>3、指导基层工作自身建设和改革，组织各级工会开展以职工代表大会为基本制度的民主选举，民主决策，民主管理和民主监督工作，推动建立平等协商，集体合同制度和监督保证机制的工作。</w:t>
      </w:r>
      <w:r>
        <w:rPr>
          <w:rFonts w:hint="eastAsia" w:ascii="仿宋_GB2312" w:eastAsia="仿宋_GB2312"/>
          <w:sz w:val="32"/>
          <w:szCs w:val="32"/>
        </w:rPr>
        <w:br w:type="textWrapping"/>
      </w:r>
      <w:r>
        <w:rPr>
          <w:rFonts w:hint="eastAsia" w:ascii="仿宋_GB2312" w:eastAsia="仿宋_GB2312"/>
          <w:sz w:val="32"/>
          <w:szCs w:val="32"/>
        </w:rPr>
        <w:t>4、依照法律和《中国工会章程》组织和指导各级工会坚定不移地贯彻落实党的全心全意依靠工人阶级的根本指导方针，进一步突出和属行维护职能。</w:t>
      </w:r>
      <w:r>
        <w:rPr>
          <w:rFonts w:hint="eastAsia" w:ascii="仿宋_GB2312" w:eastAsia="仿宋_GB2312"/>
          <w:sz w:val="32"/>
          <w:szCs w:val="32"/>
        </w:rPr>
        <w:br w:type="textWrapping"/>
      </w:r>
      <w:r>
        <w:rPr>
          <w:rFonts w:hint="eastAsia" w:ascii="仿宋_GB2312" w:eastAsia="仿宋_GB2312"/>
          <w:sz w:val="32"/>
          <w:szCs w:val="32"/>
        </w:rPr>
        <w:t>5、做好劳动模范推荐，评选及职工的培训工作。</w:t>
      </w:r>
      <w:r>
        <w:rPr>
          <w:rFonts w:hint="eastAsia" w:ascii="仿宋_GB2312" w:eastAsia="仿宋_GB2312"/>
          <w:sz w:val="32"/>
          <w:szCs w:val="32"/>
        </w:rPr>
        <w:br w:type="textWrapping"/>
      </w:r>
      <w:r>
        <w:rPr>
          <w:rFonts w:hint="eastAsia" w:ascii="仿宋_GB2312" w:eastAsia="仿宋_GB2312"/>
          <w:sz w:val="32"/>
          <w:szCs w:val="32"/>
        </w:rPr>
        <w:t>6、负责工会经费和资产的管理，审查，审计工作。</w:t>
      </w:r>
      <w:r>
        <w:rPr>
          <w:rFonts w:hint="eastAsia" w:ascii="仿宋_GB2312" w:eastAsia="仿宋_GB2312"/>
          <w:sz w:val="32"/>
          <w:szCs w:val="32"/>
        </w:rPr>
        <w:br w:type="textWrapping"/>
      </w:r>
      <w:r>
        <w:rPr>
          <w:rFonts w:hint="eastAsia" w:ascii="仿宋_GB2312" w:eastAsia="仿宋_GB2312"/>
          <w:sz w:val="32"/>
          <w:szCs w:val="32"/>
        </w:rPr>
        <w:t>7、承办地区总工会和县委，政府交办的其他事项。</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新疆喀什地区塔什库尔干县总工会</w:t>
      </w:r>
      <w:r>
        <w:rPr>
          <w:rFonts w:hint="eastAsia" w:ascii="仿宋_GB2312" w:eastAsia="仿宋_GB2312"/>
          <w:sz w:val="32"/>
          <w:szCs w:val="32"/>
        </w:rPr>
        <w:t>部门决算包括：</w:t>
      </w:r>
      <w:r>
        <w:rPr>
          <w:rFonts w:ascii="仿宋_GB2312" w:eastAsia="仿宋_GB2312"/>
          <w:sz w:val="32"/>
          <w:szCs w:val="32"/>
        </w:rPr>
        <w:t>新疆喀什地区塔什库尔干县总工会</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新疆喀什地区塔什库尔干县总工会</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新疆喀什地区塔什库尔干县总工会</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85.4</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，与上年相比，增加8.98万元，增长11.75%，增加的主要原因是：</w:t>
      </w:r>
      <w:r>
        <w:rPr>
          <w:rFonts w:hint="eastAsia" w:ascii="仿宋_GB2312" w:eastAsia="仿宋_GB2312"/>
          <w:color w:val="000000" w:themeColor="text1"/>
          <w:sz w:val="32"/>
          <w:szCs w:val="32"/>
        </w:rPr>
        <w:t>2018年7月增加艰苦边远地区津贴、2018年12月增加基本工资、高海拔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w:t>
      </w:r>
      <w:r>
        <w:rPr>
          <w:rFonts w:hint="eastAsia" w:ascii="仿宋_GB2312" w:eastAsia="仿宋_GB2312"/>
          <w:color w:val="000000" w:themeColor="text1"/>
          <w:sz w:val="32"/>
          <w:szCs w:val="32"/>
          <w:lang w:val="en-US" w:eastAsia="zh-CN"/>
        </w:rPr>
        <w:t>工资</w:t>
      </w:r>
      <w:r>
        <w:rPr>
          <w:rFonts w:hint="eastAsia" w:ascii="仿宋_GB2312" w:eastAsia="仿宋_GB2312"/>
          <w:color w:val="000000" w:themeColor="text1"/>
          <w:sz w:val="32"/>
          <w:szCs w:val="32"/>
        </w:rPr>
        <w:t>上调及补发等导致决算数较上年数增加；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85.4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，与上年相比，增加8.98万元，增长11.75%，增加的主要原因是：</w:t>
      </w:r>
      <w:r>
        <w:rPr>
          <w:rFonts w:hint="eastAsia" w:ascii="仿宋_GB2312" w:eastAsia="仿宋_GB2312"/>
          <w:color w:val="000000" w:themeColor="text1"/>
          <w:sz w:val="32"/>
          <w:szCs w:val="32"/>
        </w:rPr>
        <w:t>2018年7月增加艰苦边远地区津贴、2018年12月增加基本工资、高海拔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w:t>
      </w:r>
      <w:r>
        <w:rPr>
          <w:rFonts w:hint="eastAsia" w:ascii="仿宋_GB2312" w:eastAsia="仿宋_GB2312"/>
          <w:color w:val="000000" w:themeColor="text1"/>
          <w:sz w:val="32"/>
          <w:szCs w:val="32"/>
          <w:lang w:val="en-US" w:eastAsia="zh-CN"/>
        </w:rPr>
        <w:t>工资</w:t>
      </w:r>
      <w:r>
        <w:rPr>
          <w:rFonts w:hint="eastAsia" w:ascii="仿宋_GB2312" w:eastAsia="仿宋_GB2312"/>
          <w:color w:val="000000" w:themeColor="text1"/>
          <w:sz w:val="32"/>
          <w:szCs w:val="32"/>
        </w:rPr>
        <w:t>上调及补发等导致决算数较上年数增加；</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color w:val="000000"/>
          <w:sz w:val="32"/>
          <w:szCs w:val="32"/>
          <w:lang w:val="en-US" w:eastAsia="zh-CN"/>
        </w:rPr>
        <w:t>本年与上年均无结余资金</w:t>
      </w:r>
      <w:r>
        <w:rPr>
          <w:rFonts w:ascii="仿宋_GB2312" w:eastAsia="仿宋_GB2312"/>
          <w:color w:val="000000"/>
          <w:sz w:val="32"/>
          <w:szCs w:val="32"/>
        </w:rPr>
        <w:t>。</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85.4</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85.4</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况：本年收入年初预算数79.95万元</w:t>
      </w:r>
      <w:r>
        <w:rPr>
          <w:rFonts w:hint="eastAsia" w:ascii="仿宋_GB2312" w:eastAsia="仿宋_GB2312"/>
          <w:sz w:val="32"/>
          <w:szCs w:val="32"/>
        </w:rPr>
        <w:t>，决算数85.4万元</w:t>
      </w:r>
      <w:r>
        <w:rPr>
          <w:rFonts w:ascii="仿宋_GB2312" w:eastAsia="仿宋_GB2312"/>
          <w:sz w:val="32"/>
          <w:szCs w:val="32"/>
        </w:rPr>
        <w:t>，预决算差异率6.82%，差异主要原因是</w:t>
      </w:r>
      <w:r>
        <w:rPr>
          <w:rFonts w:hint="eastAsia" w:ascii="仿宋_GB2312" w:eastAsia="仿宋_GB2312"/>
          <w:color w:val="000000" w:themeColor="text1"/>
          <w:sz w:val="32"/>
          <w:szCs w:val="32"/>
        </w:rPr>
        <w:t>2018年7月增加艰苦边远地区津贴、2018年12月增加基本工资、高海拔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w:t>
      </w:r>
      <w:r>
        <w:rPr>
          <w:rFonts w:hint="eastAsia" w:ascii="仿宋_GB2312" w:eastAsia="仿宋_GB2312"/>
          <w:color w:val="000000" w:themeColor="text1"/>
          <w:sz w:val="32"/>
          <w:szCs w:val="32"/>
          <w:lang w:val="en-US" w:eastAsia="zh-CN"/>
        </w:rPr>
        <w:t>工资</w:t>
      </w:r>
      <w:r>
        <w:rPr>
          <w:rFonts w:hint="eastAsia" w:ascii="仿宋_GB2312" w:eastAsia="仿宋_GB2312"/>
          <w:color w:val="000000" w:themeColor="text1"/>
          <w:sz w:val="32"/>
          <w:szCs w:val="32"/>
        </w:rPr>
        <w:t>上调及补发等</w:t>
      </w:r>
      <w:r>
        <w:rPr>
          <w:rFonts w:ascii="仿宋_GB2312" w:eastAsia="仿宋_GB2312"/>
          <w:sz w:val="32"/>
          <w:szCs w:val="32"/>
        </w:rPr>
        <w:t>导致决算数较预算数增加。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85.4</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85.4</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与年初预算数相比情况：本年支出年初预算数79.95万元，</w:t>
      </w:r>
      <w:r>
        <w:rPr>
          <w:rFonts w:hint="eastAsia" w:ascii="仿宋_GB2312" w:eastAsia="仿宋_GB2312"/>
          <w:sz w:val="32"/>
          <w:szCs w:val="32"/>
        </w:rPr>
        <w:t>决算数85.4万元</w:t>
      </w:r>
      <w:r>
        <w:rPr>
          <w:rFonts w:ascii="仿宋_GB2312" w:eastAsia="仿宋_GB2312"/>
          <w:sz w:val="32"/>
          <w:szCs w:val="32"/>
        </w:rPr>
        <w:t>，预决算差异率6.82%，差异主要原因是</w:t>
      </w:r>
      <w:r>
        <w:rPr>
          <w:rFonts w:hint="eastAsia" w:ascii="仿宋_GB2312" w:eastAsia="仿宋_GB2312"/>
          <w:color w:val="000000" w:themeColor="text1"/>
          <w:sz w:val="32"/>
          <w:szCs w:val="32"/>
        </w:rPr>
        <w:t>2018年7月增加艰苦边远地区津贴、2018年12月增加基本工资、高海拔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w:t>
      </w:r>
      <w:r>
        <w:rPr>
          <w:rFonts w:hint="eastAsia" w:ascii="仿宋_GB2312" w:eastAsia="仿宋_GB2312"/>
          <w:color w:val="000000" w:themeColor="text1"/>
          <w:sz w:val="32"/>
          <w:szCs w:val="32"/>
          <w:lang w:val="en-US" w:eastAsia="zh-CN"/>
        </w:rPr>
        <w:t>工资</w:t>
      </w:r>
      <w:r>
        <w:rPr>
          <w:rFonts w:hint="eastAsia" w:ascii="仿宋_GB2312" w:eastAsia="仿宋_GB2312"/>
          <w:color w:val="000000" w:themeColor="text1"/>
          <w:sz w:val="32"/>
          <w:szCs w:val="32"/>
        </w:rPr>
        <w:t>上调及补发</w:t>
      </w:r>
      <w:r>
        <w:rPr>
          <w:rFonts w:ascii="仿宋_GB2312" w:eastAsia="仿宋_GB2312"/>
          <w:sz w:val="32"/>
          <w:szCs w:val="32"/>
        </w:rPr>
        <w:t>等导致决算数较预算数增加。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85.4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，与上年相比，增加8.98万元，增长11.75%，增加的主要原因是：</w:t>
      </w:r>
      <w:r>
        <w:rPr>
          <w:rFonts w:hint="eastAsia" w:ascii="仿宋_GB2312" w:eastAsia="仿宋_GB2312"/>
          <w:color w:val="000000" w:themeColor="text1"/>
          <w:sz w:val="32"/>
          <w:szCs w:val="32"/>
        </w:rPr>
        <w:t>2018年7月增加艰苦边远地区津贴、2018年12月增加基本工资、高海拔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w:t>
      </w:r>
      <w:r>
        <w:rPr>
          <w:rFonts w:hint="eastAsia" w:ascii="仿宋_GB2312" w:eastAsia="仿宋_GB2312"/>
          <w:color w:val="000000" w:themeColor="text1"/>
          <w:sz w:val="32"/>
          <w:szCs w:val="32"/>
          <w:lang w:val="en-US" w:eastAsia="zh-CN"/>
        </w:rPr>
        <w:t>工资</w:t>
      </w:r>
      <w:r>
        <w:rPr>
          <w:rFonts w:hint="eastAsia" w:ascii="仿宋_GB2312" w:eastAsia="仿宋_GB2312"/>
          <w:color w:val="000000" w:themeColor="text1"/>
          <w:sz w:val="32"/>
          <w:szCs w:val="32"/>
        </w:rPr>
        <w:t>上调及补发等导致决算数较上年数增加</w:t>
      </w:r>
      <w:r>
        <w:rPr>
          <w:rFonts w:hint="eastAsia" w:ascii="仿宋_GB2312" w:eastAsia="仿宋_GB2312"/>
          <w:sz w:val="32"/>
          <w:szCs w:val="32"/>
        </w:rPr>
        <w:t>。</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85.4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，与上年相比，增加8.98万元，增长11.75%，增加的主要原因是：</w:t>
      </w:r>
      <w:r>
        <w:rPr>
          <w:rFonts w:hint="eastAsia" w:ascii="仿宋_GB2312" w:eastAsia="仿宋_GB2312"/>
          <w:color w:val="000000" w:themeColor="text1"/>
          <w:sz w:val="32"/>
          <w:szCs w:val="32"/>
        </w:rPr>
        <w:t>2018年7月增加艰苦边远地区津贴、2018年12月增加基本工资、高海拔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w:t>
      </w:r>
      <w:r>
        <w:rPr>
          <w:rFonts w:hint="eastAsia" w:ascii="仿宋_GB2312" w:eastAsia="仿宋_GB2312"/>
          <w:color w:val="000000" w:themeColor="text1"/>
          <w:sz w:val="32"/>
          <w:szCs w:val="32"/>
          <w:lang w:val="en-US" w:eastAsia="zh-CN"/>
        </w:rPr>
        <w:t>工资</w:t>
      </w:r>
      <w:r>
        <w:rPr>
          <w:rFonts w:hint="eastAsia" w:ascii="仿宋_GB2312" w:eastAsia="仿宋_GB2312"/>
          <w:color w:val="000000" w:themeColor="text1"/>
          <w:sz w:val="32"/>
          <w:szCs w:val="32"/>
        </w:rPr>
        <w:t>上调及补发等导致决算数较上年数增加</w:t>
      </w:r>
      <w:r>
        <w:rPr>
          <w:rFonts w:ascii="仿宋_GB2312" w:eastAsia="仿宋_GB2312"/>
          <w:sz w:val="32"/>
          <w:szCs w:val="32"/>
        </w:rPr>
        <w:t>。</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85.4</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79.95</w:t>
      </w:r>
      <w:r>
        <w:rPr>
          <w:rFonts w:hint="eastAsia" w:ascii="仿宋_GB2312" w:eastAsia="仿宋_GB2312"/>
          <w:color w:val="000000" w:themeColor="text1"/>
          <w:sz w:val="32"/>
          <w:szCs w:val="32"/>
        </w:rPr>
        <w:t>万元，决算数</w:t>
      </w:r>
      <w:r>
        <w:rPr>
          <w:rFonts w:hint="eastAsia" w:ascii="仿宋_GB2312" w:eastAsia="仿宋_GB2312"/>
          <w:sz w:val="32"/>
          <w:szCs w:val="32"/>
        </w:rPr>
        <w:t>85.4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，预决算差异率6.82%，差异主要原因是</w:t>
      </w:r>
      <w:r>
        <w:rPr>
          <w:rFonts w:hint="eastAsia" w:ascii="仿宋_GB2312" w:eastAsia="仿宋_GB2312"/>
          <w:color w:val="000000" w:themeColor="text1"/>
          <w:sz w:val="32"/>
          <w:szCs w:val="32"/>
        </w:rPr>
        <w:t>2018年7月增加艰苦边远地区津贴、2018年12月增加基本工资、高海拔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w:t>
      </w:r>
      <w:r>
        <w:rPr>
          <w:rFonts w:hint="eastAsia" w:ascii="仿宋_GB2312" w:eastAsia="仿宋_GB2312"/>
          <w:color w:val="000000" w:themeColor="text1"/>
          <w:sz w:val="32"/>
          <w:szCs w:val="32"/>
          <w:lang w:val="en-US" w:eastAsia="zh-CN"/>
        </w:rPr>
        <w:t>工资</w:t>
      </w:r>
      <w:r>
        <w:rPr>
          <w:rFonts w:hint="eastAsia" w:ascii="仿宋_GB2312" w:eastAsia="仿宋_GB2312"/>
          <w:color w:val="000000" w:themeColor="text1"/>
          <w:sz w:val="32"/>
          <w:szCs w:val="32"/>
        </w:rPr>
        <w:t>上调及补发</w:t>
      </w:r>
      <w:r>
        <w:rPr>
          <w:rFonts w:ascii="仿宋_GB2312" w:eastAsia="仿宋_GB2312"/>
          <w:color w:val="000000" w:themeColor="text1"/>
          <w:sz w:val="32"/>
          <w:szCs w:val="32"/>
        </w:rPr>
        <w:t>等导致决算数较预算数增加。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79.95</w:t>
      </w:r>
      <w:r>
        <w:rPr>
          <w:rFonts w:hint="eastAsia" w:ascii="仿宋_GB2312" w:eastAsia="仿宋_GB2312"/>
          <w:color w:val="000000" w:themeColor="text1"/>
          <w:sz w:val="32"/>
          <w:szCs w:val="32"/>
        </w:rPr>
        <w:t>万元，决算数</w:t>
      </w:r>
      <w:r>
        <w:rPr>
          <w:rFonts w:hint="eastAsia" w:ascii="仿宋_GB2312" w:eastAsia="仿宋_GB2312"/>
          <w:sz w:val="32"/>
          <w:szCs w:val="32"/>
        </w:rPr>
        <w:t>85.4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，预决算差异率6.82%，差异主要原因是</w:t>
      </w:r>
      <w:r>
        <w:rPr>
          <w:rFonts w:hint="eastAsia" w:ascii="仿宋_GB2312" w:eastAsia="仿宋_GB2312"/>
          <w:color w:val="000000" w:themeColor="text1"/>
          <w:sz w:val="32"/>
          <w:szCs w:val="32"/>
        </w:rPr>
        <w:t>2018年7月增加艰苦边远地区津贴、2018年12月增加基本工资、高海拔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w:t>
      </w:r>
      <w:r>
        <w:rPr>
          <w:rFonts w:hint="eastAsia" w:ascii="仿宋_GB2312" w:eastAsia="仿宋_GB2312"/>
          <w:color w:val="000000" w:themeColor="text1"/>
          <w:sz w:val="32"/>
          <w:szCs w:val="32"/>
          <w:lang w:val="en-US" w:eastAsia="zh-CN"/>
        </w:rPr>
        <w:t>工资</w:t>
      </w:r>
      <w:r>
        <w:rPr>
          <w:rFonts w:hint="eastAsia" w:ascii="仿宋_GB2312" w:eastAsia="仿宋_GB2312"/>
          <w:color w:val="000000" w:themeColor="text1"/>
          <w:sz w:val="32"/>
          <w:szCs w:val="32"/>
        </w:rPr>
        <w:t>上调及补发</w:t>
      </w:r>
      <w:r>
        <w:rPr>
          <w:rFonts w:ascii="仿宋_GB2312" w:eastAsia="仿宋_GB2312"/>
          <w:color w:val="000000" w:themeColor="text1"/>
          <w:sz w:val="32"/>
          <w:szCs w:val="32"/>
        </w:rPr>
        <w:t>等导致决算数较预算数增加。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85.4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，与上年相比，增加8.98万元，增长11.75%，增加的主要原因是：</w:t>
      </w:r>
      <w:r>
        <w:rPr>
          <w:rFonts w:hint="eastAsia" w:ascii="仿宋_GB2312" w:eastAsia="仿宋_GB2312"/>
          <w:color w:val="000000" w:themeColor="text1"/>
          <w:sz w:val="32"/>
          <w:szCs w:val="32"/>
        </w:rPr>
        <w:t>2018年7月增加艰苦边远地区津贴、2018年12月增加基本工资、高海拔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w:t>
      </w:r>
      <w:r>
        <w:rPr>
          <w:rFonts w:hint="eastAsia" w:ascii="仿宋_GB2312" w:eastAsia="仿宋_GB2312"/>
          <w:color w:val="000000" w:themeColor="text1"/>
          <w:sz w:val="32"/>
          <w:szCs w:val="32"/>
          <w:lang w:val="en-US" w:eastAsia="zh-CN"/>
        </w:rPr>
        <w:t>工资</w:t>
      </w:r>
      <w:r>
        <w:rPr>
          <w:rFonts w:hint="eastAsia" w:ascii="仿宋_GB2312" w:eastAsia="仿宋_GB2312"/>
          <w:color w:val="000000" w:themeColor="text1"/>
          <w:sz w:val="32"/>
          <w:szCs w:val="32"/>
        </w:rPr>
        <w:t>上调及补发等导致决算数较上年数增加</w:t>
      </w:r>
      <w:r>
        <w:rPr>
          <w:rFonts w:ascii="仿宋_GB2312" w:eastAsia="仿宋_GB2312"/>
          <w:color w:val="000000" w:themeColor="text1"/>
          <w:sz w:val="32"/>
          <w:szCs w:val="32"/>
        </w:rPr>
        <w:t>。</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85.4</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，与上年相比，增加8.98万元，增长11.75%，增加的主要原因是：</w:t>
      </w:r>
      <w:r>
        <w:rPr>
          <w:rFonts w:hint="eastAsia" w:ascii="仿宋_GB2312" w:eastAsia="仿宋_GB2312"/>
          <w:color w:val="000000" w:themeColor="text1"/>
          <w:sz w:val="32"/>
          <w:szCs w:val="32"/>
        </w:rPr>
        <w:t>2018年7月增加艰苦边远地区津贴、2018年12月增加基本工资、高海拔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w:t>
      </w:r>
      <w:r>
        <w:rPr>
          <w:rFonts w:hint="eastAsia" w:ascii="仿宋_GB2312" w:eastAsia="仿宋_GB2312"/>
          <w:color w:val="000000" w:themeColor="text1"/>
          <w:sz w:val="32"/>
          <w:szCs w:val="32"/>
          <w:lang w:val="en-US" w:eastAsia="zh-CN"/>
        </w:rPr>
        <w:t>工资</w:t>
      </w:r>
      <w:r>
        <w:rPr>
          <w:rFonts w:hint="eastAsia" w:ascii="仿宋_GB2312" w:eastAsia="仿宋_GB2312"/>
          <w:color w:val="000000" w:themeColor="text1"/>
          <w:sz w:val="32"/>
          <w:szCs w:val="32"/>
        </w:rPr>
        <w:t>上调及补发等导致决算数较上年数增加</w:t>
      </w:r>
      <w:r>
        <w:rPr>
          <w:rFonts w:hint="eastAsia" w:ascii="仿宋_GB2312" w:eastAsia="仿宋_GB2312"/>
          <w:sz w:val="32"/>
          <w:szCs w:val="32"/>
        </w:rPr>
        <w:t>。</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住房保障支出5.07万元,一般公共服务支出72.89万元,社会保障和就业支出7.44万元。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工资福利支出73.05万元,商品和服务支出9.4万元,对个人和家庭的补助2.95万元。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79.95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85.4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，预决算差异率6.82%，差异主要原因是</w:t>
      </w:r>
      <w:r>
        <w:rPr>
          <w:rFonts w:hint="eastAsia" w:ascii="仿宋_GB2312" w:eastAsia="仿宋_GB2312"/>
          <w:color w:val="000000" w:themeColor="text1"/>
          <w:sz w:val="32"/>
          <w:szCs w:val="32"/>
        </w:rPr>
        <w:t>2018年7月增加艰苦边远地区津贴、2018年12月增加基本工资、高海拔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w:t>
      </w:r>
      <w:r>
        <w:rPr>
          <w:rFonts w:hint="eastAsia" w:ascii="仿宋_GB2312" w:eastAsia="仿宋_GB2312"/>
          <w:color w:val="000000" w:themeColor="text1"/>
          <w:sz w:val="32"/>
          <w:szCs w:val="32"/>
          <w:lang w:val="en-US" w:eastAsia="zh-CN"/>
        </w:rPr>
        <w:t>工资</w:t>
      </w:r>
      <w:r>
        <w:rPr>
          <w:rFonts w:hint="eastAsia" w:ascii="仿宋_GB2312" w:eastAsia="仿宋_GB2312"/>
          <w:color w:val="000000" w:themeColor="text1"/>
          <w:sz w:val="32"/>
          <w:szCs w:val="32"/>
        </w:rPr>
        <w:t>上调及补发</w:t>
      </w:r>
      <w:r>
        <w:rPr>
          <w:rFonts w:ascii="仿宋_GB2312" w:eastAsia="仿宋_GB2312"/>
          <w:color w:val="000000" w:themeColor="text1"/>
          <w:sz w:val="32"/>
          <w:szCs w:val="32"/>
        </w:rPr>
        <w:t>等导致决算数较预算数增加。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79.95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85.4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，预决算差异率6.82%，差异主要原因是</w:t>
      </w:r>
      <w:r>
        <w:rPr>
          <w:rFonts w:hint="eastAsia" w:ascii="仿宋_GB2312" w:eastAsia="仿宋_GB2312"/>
          <w:color w:val="000000" w:themeColor="text1"/>
          <w:sz w:val="32"/>
          <w:szCs w:val="32"/>
        </w:rPr>
        <w:t>2018年7月增加艰苦边远地区津贴、2018年12月增加基本工资、高海拔</w:t>
      </w:r>
      <w:r>
        <w:rPr>
          <w:rFonts w:hint="eastAsia" w:ascii="仿宋_GB2312" w:eastAsia="仿宋_GB2312"/>
          <w:color w:val="000000" w:themeColor="text1"/>
          <w:sz w:val="32"/>
          <w:szCs w:val="32"/>
          <w:lang w:val="en-US" w:eastAsia="zh-CN"/>
        </w:rPr>
        <w:t>地区</w:t>
      </w:r>
      <w:r>
        <w:rPr>
          <w:rFonts w:hint="eastAsia" w:ascii="仿宋_GB2312" w:eastAsia="仿宋_GB2312"/>
          <w:color w:val="000000" w:themeColor="text1"/>
          <w:sz w:val="32"/>
          <w:szCs w:val="32"/>
        </w:rPr>
        <w:t>工龄</w:t>
      </w:r>
      <w:r>
        <w:rPr>
          <w:rFonts w:hint="eastAsia" w:ascii="仿宋_GB2312" w:eastAsia="仿宋_GB2312"/>
          <w:color w:val="000000" w:themeColor="text1"/>
          <w:sz w:val="32"/>
          <w:szCs w:val="32"/>
          <w:lang w:val="en-US" w:eastAsia="zh-CN"/>
        </w:rPr>
        <w:t>工资</w:t>
      </w:r>
      <w:r>
        <w:rPr>
          <w:rFonts w:hint="eastAsia" w:ascii="仿宋_GB2312" w:eastAsia="仿宋_GB2312"/>
          <w:color w:val="000000" w:themeColor="text1"/>
          <w:sz w:val="32"/>
          <w:szCs w:val="32"/>
        </w:rPr>
        <w:t>上调及补发</w:t>
      </w:r>
      <w:r>
        <w:rPr>
          <w:rFonts w:ascii="仿宋_GB2312" w:eastAsia="仿宋_GB2312"/>
          <w:color w:val="000000" w:themeColor="text1"/>
          <w:sz w:val="32"/>
          <w:szCs w:val="32"/>
        </w:rPr>
        <w:t>等导致决算数较预算数增加。</w:t>
      </w:r>
      <w:bookmarkEnd w:id="43"/>
      <w:bookmarkStart w:id="88" w:name="_GoBack"/>
      <w:bookmarkEnd w:id="8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spacing w:line="540" w:lineRule="exact"/>
        <w:ind w:firstLine="640" w:firstLineChars="200"/>
        <w:rPr>
          <w:rFonts w:ascii="仿宋_GB2312" w:eastAsia="仿宋_GB2312"/>
          <w:sz w:val="32"/>
          <w:szCs w:val="32"/>
        </w:rPr>
      </w:pP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2" w:name="OLE_LINK74"/>
      <w:r>
        <w:rPr>
          <w:rFonts w:hint="eastAsia" w:ascii="仿宋_GB2312" w:eastAsia="仿宋_GB2312"/>
          <w:color w:val="000000"/>
          <w:sz w:val="32"/>
          <w:szCs w:val="32"/>
        </w:rPr>
        <w:t>2018年度</w:t>
      </w:r>
      <w:bookmarkStart w:id="53" w:name="OLE_LINK29"/>
      <w:r>
        <w:rPr>
          <w:rFonts w:hint="eastAsia" w:ascii="仿宋_GB2312" w:eastAsia="仿宋_GB2312"/>
          <w:color w:val="000000"/>
          <w:sz w:val="32"/>
          <w:szCs w:val="32"/>
        </w:rPr>
        <w:t>一般公共预算“三公”经费支出决算</w:t>
      </w:r>
      <w:bookmarkEnd w:id="53"/>
      <w:r>
        <w:rPr>
          <w:rFonts w:hint="eastAsia" w:ascii="仿宋_GB2312" w:eastAsia="仿宋_GB2312"/>
          <w:sz w:val="32"/>
          <w:szCs w:val="32"/>
          <w:lang w:val="en-US" w:eastAsia="zh-CN"/>
        </w:rPr>
        <w:t>2</w:t>
      </w:r>
      <w:r>
        <w:rPr>
          <w:rFonts w:hint="eastAsia" w:ascii="仿宋_GB2312" w:eastAsia="仿宋_GB2312"/>
          <w:color w:val="000000"/>
          <w:sz w:val="32"/>
          <w:szCs w:val="32"/>
        </w:rPr>
        <w:t>万元</w:t>
      </w:r>
      <w:r>
        <w:rPr>
          <w:rFonts w:hint="eastAsia" w:ascii="仿宋_GB2312" w:eastAsia="仿宋_GB2312"/>
          <w:sz w:val="32"/>
          <w:szCs w:val="32"/>
        </w:rPr>
        <w:t>，</w:t>
      </w:r>
      <w:r>
        <w:rPr>
          <w:rFonts w:hint="eastAsia" w:ascii="仿宋_GB2312" w:eastAsia="仿宋_GB2312"/>
          <w:sz w:val="32"/>
          <w:szCs w:val="32"/>
          <w:highlight w:val="none"/>
        </w:rPr>
        <w:t>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highlight w:val="none"/>
        </w:rPr>
        <w:t>。</w:t>
      </w:r>
      <w:bookmarkEnd w:id="52"/>
      <w:bookmarkStart w:id="54" w:name="OLE_LINK75"/>
      <w:r>
        <w:rPr>
          <w:rFonts w:hint="eastAsia" w:ascii="仿宋_GB2312" w:eastAsia="仿宋_GB2312"/>
          <w:color w:val="000000"/>
          <w:sz w:val="32"/>
          <w:szCs w:val="32"/>
          <w:highlight w:val="none"/>
        </w:rPr>
        <w:t>其中，</w:t>
      </w:r>
      <w:bookmarkStart w:id="55" w:name="OLE_LINK30"/>
      <w:r>
        <w:rPr>
          <w:rFonts w:hint="eastAsia" w:ascii="仿宋_GB2312" w:eastAsia="仿宋_GB2312"/>
          <w:color w:val="000000"/>
          <w:sz w:val="32"/>
          <w:szCs w:val="32"/>
          <w:highlight w:val="none"/>
        </w:rPr>
        <w:t>因公出国（境）费支出</w:t>
      </w:r>
      <w:bookmarkEnd w:id="55"/>
      <w:r>
        <w:rPr>
          <w:rFonts w:hint="eastAsia" w:ascii="仿宋_GB2312" w:eastAsia="仿宋_GB2312"/>
          <w:sz w:val="32"/>
          <w:szCs w:val="32"/>
          <w:highlight w:val="none"/>
        </w:rPr>
        <w:t>0</w:t>
      </w:r>
      <w:r>
        <w:rPr>
          <w:rFonts w:hint="eastAsia" w:ascii="仿宋_GB2312" w:eastAsia="仿宋_GB2312"/>
          <w:color w:val="000000"/>
          <w:sz w:val="32"/>
          <w:szCs w:val="32"/>
          <w:highlight w:val="none"/>
        </w:rPr>
        <w:t>万元，占</w:t>
      </w:r>
      <w:r>
        <w:rPr>
          <w:rFonts w:hint="eastAsia" w:ascii="仿宋_GB2312" w:eastAsia="仿宋_GB2312"/>
          <w:sz w:val="32"/>
          <w:szCs w:val="32"/>
          <w:highlight w:val="none"/>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bookmarkEnd w:id="54"/>
      <w:bookmarkStart w:id="56" w:name="OLE_LINK31"/>
      <w:bookmarkStart w:id="57" w:name="OLE_LINK76"/>
      <w:r>
        <w:rPr>
          <w:rFonts w:hint="eastAsia" w:ascii="仿宋_GB2312" w:eastAsia="仿宋_GB2312"/>
          <w:sz w:val="32"/>
          <w:szCs w:val="32"/>
          <w:highlight w:val="none"/>
          <w:lang w:eastAsia="zh-CN"/>
        </w:rPr>
        <w:t>；</w:t>
      </w:r>
      <w:r>
        <w:rPr>
          <w:rFonts w:hint="eastAsia" w:ascii="仿宋_GB2312" w:eastAsia="仿宋_GB2312"/>
          <w:color w:val="000000"/>
          <w:sz w:val="32"/>
          <w:szCs w:val="32"/>
          <w:highlight w:val="none"/>
        </w:rPr>
        <w:t>公务用车购置及运行维护费支出</w:t>
      </w:r>
      <w:bookmarkEnd w:id="56"/>
      <w:r>
        <w:rPr>
          <w:rFonts w:hint="eastAsia" w:ascii="仿宋_GB2312" w:eastAsia="仿宋_GB2312"/>
          <w:sz w:val="32"/>
          <w:szCs w:val="32"/>
          <w:highlight w:val="none"/>
          <w:lang w:val="en-US" w:eastAsia="zh-CN"/>
        </w:rPr>
        <w:t>2</w:t>
      </w:r>
      <w:r>
        <w:rPr>
          <w:rFonts w:hint="eastAsia" w:ascii="仿宋_GB2312" w:eastAsia="仿宋_GB2312"/>
          <w:color w:val="000000"/>
          <w:sz w:val="32"/>
          <w:szCs w:val="32"/>
          <w:highlight w:val="none"/>
        </w:rPr>
        <w:t>万元</w:t>
      </w:r>
      <w:r>
        <w:rPr>
          <w:rFonts w:hint="eastAsia" w:ascii="仿宋_GB2312" w:eastAsia="仿宋_GB2312"/>
          <w:color w:val="000000"/>
          <w:sz w:val="32"/>
          <w:szCs w:val="32"/>
        </w:rPr>
        <w:t>，占</w:t>
      </w:r>
      <w:r>
        <w:rPr>
          <w:rFonts w:hint="eastAsia" w:ascii="仿宋_GB2312" w:eastAsia="仿宋_GB2312"/>
          <w:sz w:val="32"/>
          <w:szCs w:val="32"/>
        </w:rPr>
        <w:t>100%，与上年相比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hint="eastAsia" w:ascii="仿宋_GB2312" w:eastAsia="仿宋_GB2312"/>
          <w:sz w:val="32"/>
          <w:szCs w:val="32"/>
          <w:highlight w:val="none"/>
          <w:lang w:val="en-US" w:eastAsia="zh-CN"/>
        </w:rPr>
        <w:t>本年支出与上年支出保持一致，无变化</w:t>
      </w:r>
      <w:r>
        <w:rPr>
          <w:rFonts w:hint="eastAsia" w:ascii="仿宋_GB2312" w:eastAsia="仿宋_GB2312"/>
          <w:sz w:val="32"/>
          <w:szCs w:val="32"/>
        </w:rPr>
        <w:t>；</w:t>
      </w:r>
      <w:bookmarkEnd w:id="57"/>
      <w:bookmarkStart w:id="58" w:name="OLE_LINK32"/>
      <w:bookmarkStart w:id="59" w:name="OLE_LINK78"/>
      <w:bookmarkStart w:id="60" w:name="OLE_LINK77"/>
      <w:r>
        <w:rPr>
          <w:rFonts w:hint="eastAsia" w:ascii="仿宋_GB2312" w:eastAsia="仿宋_GB2312"/>
          <w:color w:val="000000"/>
          <w:sz w:val="32"/>
          <w:szCs w:val="32"/>
        </w:rPr>
        <w:t>公务接待费支出</w:t>
      </w:r>
      <w:bookmarkEnd w:id="58"/>
      <w:r>
        <w:rPr>
          <w:rFonts w:hint="eastAsia" w:ascii="仿宋_GB2312" w:eastAsia="仿宋_GB2312"/>
          <w:sz w:val="32"/>
          <w:szCs w:val="32"/>
        </w:rPr>
        <w:t>0</w:t>
      </w:r>
      <w:r>
        <w:rPr>
          <w:rFonts w:hint="eastAsia" w:ascii="仿宋_GB2312" w:eastAsia="仿宋_GB2312"/>
          <w:color w:val="000000"/>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bookmarkEnd w:id="59"/>
      <w:bookmarkEnd w:id="60"/>
      <w:r>
        <w:rPr>
          <w:rFonts w:hint="eastAsia" w:ascii="仿宋_GB2312" w:eastAsia="仿宋_GB2312"/>
          <w:color w:val="000000"/>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1" w:name="OLE_LINK80"/>
      <w:bookmarkStart w:id="62"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新疆喀什地区塔什库尔干县总工会</w:t>
      </w:r>
      <w:r>
        <w:rPr>
          <w:rFonts w:hint="eastAsia" w:ascii="仿宋_GB2312" w:eastAsia="仿宋_GB2312"/>
          <w:color w:val="000000" w:themeColor="text1"/>
          <w:sz w:val="32"/>
          <w:szCs w:val="32"/>
        </w:rPr>
        <w:t>单位</w:t>
      </w:r>
      <w:bookmarkStart w:id="63" w:name="OLE_LINK33"/>
      <w:r>
        <w:rPr>
          <w:rFonts w:hint="eastAsia" w:ascii="仿宋_GB2312" w:eastAsia="仿宋_GB2312"/>
          <w:color w:val="000000" w:themeColor="text1"/>
          <w:sz w:val="32"/>
          <w:szCs w:val="32"/>
        </w:rPr>
        <w:t>全年</w:t>
      </w:r>
      <w:bookmarkStart w:id="64" w:name="OLE_LINK35"/>
      <w:bookmarkStart w:id="65" w:name="OLE_LINK34"/>
      <w:bookmarkStart w:id="66" w:name="OLE_LINK36"/>
      <w:r>
        <w:rPr>
          <w:rFonts w:hint="eastAsia" w:ascii="仿宋_GB2312" w:eastAsia="仿宋_GB2312"/>
          <w:color w:val="000000" w:themeColor="text1"/>
          <w:sz w:val="32"/>
          <w:szCs w:val="32"/>
        </w:rPr>
        <w:t>使用一般公共预算财政拨款安排的出国（境）团组</w:t>
      </w:r>
      <w:bookmarkEnd w:id="63"/>
      <w:bookmarkEnd w:id="64"/>
      <w:bookmarkEnd w:id="65"/>
      <w:r>
        <w:rPr>
          <w:rFonts w:hint="eastAsia" w:ascii="仿宋_GB2312" w:eastAsia="仿宋_GB2312"/>
          <w:sz w:val="32"/>
          <w:szCs w:val="32"/>
        </w:rPr>
        <w:t>0</w:t>
      </w:r>
      <w:r>
        <w:rPr>
          <w:rFonts w:hint="eastAsia" w:ascii="仿宋_GB2312" w:eastAsia="仿宋_GB2312"/>
          <w:color w:val="000000" w:themeColor="text1"/>
          <w:sz w:val="32"/>
          <w:szCs w:val="32"/>
        </w:rPr>
        <w:t>个</w:t>
      </w:r>
      <w:bookmarkEnd w:id="66"/>
      <w:r>
        <w:rPr>
          <w:rFonts w:hint="eastAsia" w:ascii="仿宋_GB2312" w:eastAsia="仿宋_GB2312"/>
          <w:color w:val="000000" w:themeColor="text1"/>
          <w:sz w:val="32"/>
          <w:szCs w:val="32"/>
        </w:rPr>
        <w:t>，</w:t>
      </w:r>
      <w:bookmarkStart w:id="67"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7"/>
      <w:r>
        <w:rPr>
          <w:rFonts w:hint="eastAsia" w:ascii="仿宋_GB2312" w:eastAsia="仿宋_GB2312"/>
          <w:color w:val="000000" w:themeColor="text1"/>
          <w:sz w:val="32"/>
          <w:szCs w:val="32"/>
        </w:rPr>
        <w:t>。</w:t>
      </w:r>
      <w:bookmarkStart w:id="68" w:name="OLE_LINK38"/>
      <w:r>
        <w:rPr>
          <w:rFonts w:hint="eastAsia" w:ascii="仿宋_GB2312" w:eastAsia="仿宋_GB2312"/>
          <w:color w:val="000000" w:themeColor="text1"/>
          <w:sz w:val="32"/>
          <w:szCs w:val="32"/>
        </w:rPr>
        <w:t>开支内容包括：</w:t>
      </w:r>
      <w:r>
        <w:rPr>
          <w:rFonts w:ascii="仿宋_GB2312" w:eastAsia="仿宋_GB2312"/>
          <w:color w:val="000000"/>
          <w:sz w:val="32"/>
          <w:szCs w:val="32"/>
        </w:rPr>
        <w:t>本单位无因公出国（境）费支出</w:t>
      </w:r>
      <w:r>
        <w:rPr>
          <w:rFonts w:ascii="仿宋_GB2312" w:eastAsia="仿宋_GB2312"/>
          <w:color w:val="000000" w:themeColor="text1"/>
          <w:sz w:val="32"/>
          <w:szCs w:val="32"/>
        </w:rPr>
        <w:t>。</w:t>
      </w:r>
      <w:bookmarkEnd w:id="61"/>
      <w:bookmarkEnd w:id="62"/>
      <w:bookmarkEnd w:id="68"/>
    </w:p>
    <w:p>
      <w:pPr>
        <w:spacing w:line="540" w:lineRule="exact"/>
        <w:ind w:firstLine="640" w:firstLineChars="200"/>
        <w:rPr>
          <w:rFonts w:ascii="仿宋_GB2312" w:eastAsia="仿宋_GB2312"/>
          <w:color w:val="000000" w:themeColor="text1"/>
          <w:sz w:val="32"/>
          <w:szCs w:val="32"/>
        </w:rPr>
      </w:pPr>
      <w:bookmarkStart w:id="69"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2</w:t>
      </w:r>
      <w:r>
        <w:rPr>
          <w:rFonts w:hint="eastAsia" w:ascii="仿宋_GB2312" w:eastAsia="仿宋_GB2312"/>
          <w:color w:val="000000" w:themeColor="text1"/>
          <w:sz w:val="32"/>
          <w:szCs w:val="32"/>
        </w:rPr>
        <w:t>万元,其中，</w:t>
      </w:r>
      <w:bookmarkStart w:id="70"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0"/>
      <w:r>
        <w:rPr>
          <w:rFonts w:hint="eastAsia" w:ascii="仿宋_GB2312" w:eastAsia="仿宋_GB2312"/>
          <w:color w:val="000000" w:themeColor="text1"/>
          <w:sz w:val="32"/>
          <w:szCs w:val="32"/>
        </w:rPr>
        <w:t>，</w:t>
      </w:r>
      <w:bookmarkStart w:id="71" w:name="OLE_LINK40"/>
      <w:bookmarkStart w:id="72"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2</w:t>
      </w:r>
      <w:r>
        <w:rPr>
          <w:rFonts w:hint="eastAsia" w:ascii="仿宋_GB2312" w:eastAsia="仿宋_GB2312"/>
          <w:color w:val="000000" w:themeColor="text1"/>
          <w:sz w:val="32"/>
          <w:szCs w:val="32"/>
        </w:rPr>
        <w:t>万元</w:t>
      </w:r>
      <w:bookmarkEnd w:id="71"/>
      <w:bookmarkEnd w:id="72"/>
      <w:r>
        <w:rPr>
          <w:rFonts w:hint="eastAsia" w:ascii="仿宋_GB2312" w:eastAsia="仿宋_GB2312"/>
          <w:color w:val="000000" w:themeColor="text1"/>
          <w:sz w:val="32"/>
          <w:szCs w:val="32"/>
        </w:rPr>
        <w:t>。主要用于</w:t>
      </w:r>
      <w:r>
        <w:rPr>
          <w:rFonts w:hint="eastAsia" w:ascii="仿宋_GB2312" w:eastAsia="仿宋_GB2312"/>
          <w:sz w:val="32"/>
          <w:szCs w:val="32"/>
        </w:rPr>
        <w:t>公务用车燃油费、保险费、维修费等支出</w:t>
      </w:r>
      <w:r>
        <w:rPr>
          <w:rFonts w:hint="eastAsia" w:ascii="仿宋_GB2312" w:eastAsia="仿宋_GB2312"/>
          <w:color w:val="000000" w:themeColor="text1"/>
          <w:sz w:val="32"/>
          <w:szCs w:val="32"/>
        </w:rPr>
        <w:t>等。</w:t>
      </w:r>
      <w:bookmarkEnd w:id="69"/>
      <w:bookmarkStart w:id="73"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1</w:t>
      </w:r>
      <w:r>
        <w:rPr>
          <w:rFonts w:hint="eastAsia" w:ascii="仿宋_GB2312" w:eastAsia="仿宋_GB2312"/>
          <w:color w:val="000000" w:themeColor="text1"/>
          <w:sz w:val="32"/>
          <w:szCs w:val="32"/>
        </w:rPr>
        <w:t>辆。</w:t>
      </w:r>
      <w:bookmarkEnd w:id="73"/>
    </w:p>
    <w:p>
      <w:pPr>
        <w:spacing w:line="540" w:lineRule="exact"/>
        <w:ind w:firstLine="640" w:firstLineChars="200"/>
        <w:rPr>
          <w:rFonts w:ascii="仿宋_GB2312" w:eastAsia="仿宋_GB2312"/>
          <w:color w:val="000000" w:themeColor="text1"/>
          <w:sz w:val="32"/>
          <w:szCs w:val="32"/>
        </w:rPr>
      </w:pPr>
      <w:bookmarkStart w:id="74"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本年无公务接待费支出</w:t>
      </w:r>
      <w:r>
        <w:rPr>
          <w:rFonts w:hint="eastAsia" w:ascii="仿宋_GB2312" w:eastAsia="仿宋_GB2312"/>
          <w:color w:val="000000" w:themeColor="text1"/>
          <w:sz w:val="32"/>
          <w:szCs w:val="32"/>
        </w:rPr>
        <w:t>等。</w:t>
      </w:r>
      <w:bookmarkEnd w:id="74"/>
      <w:bookmarkStart w:id="75" w:name="OLE_LINK84"/>
      <w:r>
        <w:rPr>
          <w:rFonts w:hint="eastAsia" w:ascii="仿宋_GB2312" w:eastAsia="仿宋_GB2312"/>
          <w:sz w:val="32"/>
          <w:szCs w:val="32"/>
        </w:rPr>
        <w:t>新疆喀什地区塔什库尔干县总工会</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5"/>
    </w:p>
    <w:p>
      <w:pPr>
        <w:spacing w:line="540" w:lineRule="exact"/>
        <w:ind w:firstLine="640" w:firstLineChars="200"/>
        <w:rPr>
          <w:rFonts w:ascii="仿宋_GB2312" w:hAnsi="宋体" w:eastAsia="仿宋_GB2312" w:cs="宋体"/>
          <w:color w:val="000000" w:themeColor="text1"/>
          <w:kern w:val="0"/>
          <w:sz w:val="32"/>
          <w:szCs w:val="32"/>
        </w:rPr>
      </w:pPr>
      <w:bookmarkStart w:id="76"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万元，决算数2万元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rPr>
        <w:t>按照</w:t>
      </w:r>
      <w:r>
        <w:rPr>
          <w:rFonts w:hint="eastAsia" w:ascii="仿宋_GB2312" w:eastAsia="仿宋_GB2312"/>
          <w:color w:val="000000" w:themeColor="text1"/>
          <w:sz w:val="32"/>
          <w:szCs w:val="32"/>
          <w:lang w:eastAsia="zh-CN"/>
        </w:rPr>
        <w:t>“三公”经费管理办法（试行）规定，确保“三公”经费“零增长”目标的实现</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压缩公务用车外出频率，减少车辆损耗，降低车辆运行维护费等支出</w:t>
      </w:r>
      <w:r>
        <w:rPr>
          <w:rFonts w:ascii="仿宋_GB2312" w:eastAsia="仿宋_GB2312"/>
          <w:color w:val="000000" w:themeColor="text1"/>
          <w:sz w:val="32"/>
          <w:szCs w:val="32"/>
        </w:rPr>
        <w:t>。</w:t>
      </w:r>
      <w:bookmarkEnd w:id="76"/>
      <w:bookmarkStart w:id="77" w:name="OLE_LINK87"/>
      <w:bookmarkStart w:id="78"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ascii="仿宋_GB2312" w:eastAsia="仿宋_GB2312"/>
          <w:color w:val="000000"/>
          <w:sz w:val="32"/>
          <w:szCs w:val="32"/>
        </w:rPr>
        <w:t>本单位无因公出国（境）费支出</w:t>
      </w:r>
      <w:r>
        <w:rPr>
          <w:rFonts w:ascii="仿宋_GB2312" w:eastAsia="仿宋_GB2312"/>
          <w:color w:val="000000" w:themeColor="text1"/>
          <w:sz w:val="32"/>
          <w:szCs w:val="32"/>
        </w:rPr>
        <w:t>；</w:t>
      </w:r>
      <w:bookmarkEnd w:id="77"/>
      <w:bookmarkEnd w:id="78"/>
      <w:bookmarkStart w:id="79" w:name="OLE_LINK88"/>
      <w:bookmarkStart w:id="80"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w:t>
      </w:r>
      <w:r>
        <w:rPr>
          <w:rFonts w:hint="eastAsia" w:ascii="仿宋_GB2312" w:hAnsi="宋体" w:eastAsia="仿宋_GB2312" w:cs="宋体"/>
          <w:color w:val="000000" w:themeColor="text1"/>
          <w:kern w:val="0"/>
          <w:sz w:val="32"/>
          <w:szCs w:val="32"/>
        </w:rPr>
        <w:t>公务用车购置</w:t>
      </w:r>
      <w:r>
        <w:rPr>
          <w:rFonts w:hint="eastAsia" w:ascii="仿宋_GB2312" w:hAnsi="宋体" w:eastAsia="仿宋_GB2312" w:cs="宋体"/>
          <w:color w:val="000000" w:themeColor="text1"/>
          <w:kern w:val="0"/>
          <w:sz w:val="32"/>
          <w:szCs w:val="32"/>
          <w:lang w:eastAsia="zh-CN"/>
        </w:rPr>
        <w:t>支出</w:t>
      </w:r>
      <w:r>
        <w:rPr>
          <w:rFonts w:ascii="仿宋_GB2312" w:eastAsia="仿宋_GB2312"/>
          <w:color w:val="000000" w:themeColor="text1"/>
          <w:sz w:val="32"/>
          <w:szCs w:val="32"/>
        </w:rPr>
        <w:t>；</w:t>
      </w:r>
      <w:bookmarkEnd w:id="79"/>
      <w:bookmarkEnd w:id="80"/>
      <w:bookmarkStart w:id="81"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w:t>
      </w:r>
      <w:r>
        <w:rPr>
          <w:rFonts w:hint="eastAsia" w:ascii="仿宋_GB2312" w:hAnsi="宋体" w:eastAsia="仿宋_GB2312" w:cs="宋体"/>
          <w:color w:val="000000" w:themeColor="text1"/>
          <w:kern w:val="0"/>
          <w:sz w:val="32"/>
          <w:szCs w:val="32"/>
        </w:rPr>
        <w:t>公务用车运行费</w:t>
      </w:r>
      <w:r>
        <w:rPr>
          <w:rFonts w:hint="eastAsia" w:ascii="仿宋_GB2312" w:hAnsi="宋体" w:eastAsia="仿宋_GB2312" w:cs="宋体"/>
          <w:color w:val="000000" w:themeColor="text1"/>
          <w:kern w:val="0"/>
          <w:sz w:val="32"/>
          <w:szCs w:val="32"/>
          <w:lang w:eastAsia="zh-CN"/>
        </w:rPr>
        <w:t>支出</w:t>
      </w:r>
      <w:r>
        <w:rPr>
          <w:rFonts w:ascii="仿宋_GB2312" w:eastAsia="仿宋_GB2312"/>
          <w:color w:val="000000" w:themeColor="text1"/>
          <w:sz w:val="32"/>
          <w:szCs w:val="32"/>
        </w:rPr>
        <w:t>；</w:t>
      </w:r>
      <w:bookmarkEnd w:id="81"/>
      <w:bookmarkStart w:id="82"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2"/>
      <w:r>
        <w:rPr>
          <w:rFonts w:hint="eastAsia" w:ascii="仿宋_GB2312" w:eastAsia="仿宋_GB2312"/>
          <w:sz w:val="32"/>
          <w:szCs w:val="32"/>
        </w:rPr>
        <w:t>本单位无公务接待费支出</w:t>
      </w:r>
      <w:r>
        <w:rPr>
          <w:rFonts w:ascii="仿宋_GB2312" w:eastAsia="仿宋_GB2312"/>
          <w:color w:val="000000" w:themeColor="text1"/>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2018年度新疆喀什地区塔什库尔干县总工会机关运行经费支出9.4万元，与上年相比，减少2.13万元，下降18.47%，减少的主要原因是：减少公务用车运行维护费支出。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3" w:name="OLE_LINK45"/>
      <w:r>
        <w:rPr>
          <w:rFonts w:hint="eastAsia" w:ascii="仿宋_GB2312" w:eastAsia="仿宋_GB2312"/>
          <w:color w:val="000000" w:themeColor="text1"/>
          <w:sz w:val="32"/>
          <w:szCs w:val="32"/>
        </w:rPr>
        <w:t>政府采购支出总额</w:t>
      </w:r>
      <w:bookmarkEnd w:id="83"/>
      <w:r>
        <w:rPr>
          <w:rFonts w:hint="eastAsia" w:ascii="仿宋_GB2312" w:eastAsia="仿宋_GB2312"/>
          <w:sz w:val="32"/>
          <w:szCs w:val="32"/>
        </w:rPr>
        <w:t>0.34</w:t>
      </w:r>
      <w:r>
        <w:rPr>
          <w:rFonts w:hint="eastAsia" w:ascii="仿宋_GB2312" w:eastAsia="仿宋_GB2312"/>
          <w:color w:val="000000" w:themeColor="text1"/>
          <w:sz w:val="32"/>
          <w:szCs w:val="32"/>
        </w:rPr>
        <w:t>万元，其中：</w:t>
      </w:r>
      <w:bookmarkStart w:id="84" w:name="OLE_LINK46"/>
      <w:r>
        <w:rPr>
          <w:rFonts w:hint="eastAsia" w:ascii="仿宋_GB2312" w:eastAsia="仿宋_GB2312"/>
          <w:color w:val="000000" w:themeColor="text1"/>
          <w:sz w:val="32"/>
          <w:szCs w:val="32"/>
        </w:rPr>
        <w:t>政府采购货物支出</w:t>
      </w:r>
      <w:bookmarkEnd w:id="84"/>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5" w:name="OLE_LINK47"/>
      <w:r>
        <w:rPr>
          <w:rFonts w:hint="eastAsia" w:ascii="仿宋_GB2312" w:eastAsia="仿宋_GB2312"/>
          <w:color w:val="000000" w:themeColor="text1"/>
          <w:sz w:val="32"/>
          <w:szCs w:val="32"/>
        </w:rPr>
        <w:t>政府采购工程支出</w:t>
      </w:r>
      <w:bookmarkEnd w:id="8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6" w:name="OLE_LINK48"/>
      <w:r>
        <w:rPr>
          <w:rFonts w:hint="eastAsia" w:ascii="仿宋_GB2312" w:eastAsia="仿宋_GB2312"/>
          <w:color w:val="000000" w:themeColor="text1"/>
          <w:sz w:val="32"/>
          <w:szCs w:val="32"/>
        </w:rPr>
        <w:t>政府采购服务支出</w:t>
      </w:r>
      <w:bookmarkEnd w:id="86"/>
      <w:r>
        <w:rPr>
          <w:rFonts w:hint="eastAsia" w:ascii="仿宋_GB2312" w:eastAsia="仿宋_GB2312"/>
          <w:sz w:val="32"/>
          <w:szCs w:val="32"/>
        </w:rPr>
        <w:t>0.34</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7"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w:t>
      </w:r>
      <w:r>
        <w:rPr>
          <w:rFonts w:hint="eastAsia" w:ascii="仿宋_GB2312" w:eastAsia="仿宋_GB2312"/>
          <w:color w:val="000000" w:themeColor="text1"/>
          <w:sz w:val="32"/>
          <w:szCs w:val="32"/>
        </w:rPr>
        <w:t>辆，价值</w:t>
      </w:r>
      <w:r>
        <w:rPr>
          <w:rFonts w:hint="eastAsia" w:ascii="仿宋_GB2312" w:eastAsia="仿宋_GB2312"/>
          <w:sz w:val="32"/>
          <w:szCs w:val="32"/>
        </w:rPr>
        <w:t>5.46</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尼桑皮卡车新</w:t>
      </w:r>
      <w:r>
        <w:rPr>
          <w:rFonts w:hint="eastAsia" w:ascii="仿宋_GB2312" w:eastAsia="仿宋_GB2312"/>
          <w:color w:val="000000" w:themeColor="text1"/>
          <w:sz w:val="32"/>
          <w:szCs w:val="32"/>
          <w:lang w:val="en-US" w:eastAsia="zh-CN"/>
        </w:rPr>
        <w:t>QE9685一辆，主要用于单位</w:t>
      </w:r>
      <w:r>
        <w:rPr>
          <w:rFonts w:ascii="仿宋_GB2312" w:eastAsia="仿宋_GB2312"/>
          <w:color w:val="000000" w:themeColor="text1"/>
          <w:sz w:val="32"/>
          <w:szCs w:val="32"/>
        </w:rPr>
        <w:t>一般</w:t>
      </w:r>
      <w:r>
        <w:rPr>
          <w:rFonts w:hint="eastAsia" w:ascii="仿宋_GB2312" w:eastAsia="仿宋_GB2312"/>
          <w:color w:val="000000" w:themeColor="text1"/>
          <w:sz w:val="32"/>
          <w:szCs w:val="32"/>
          <w:lang w:eastAsia="zh-CN"/>
        </w:rPr>
        <w:t>日常</w:t>
      </w:r>
      <w:r>
        <w:rPr>
          <w:rFonts w:ascii="仿宋_GB2312" w:eastAsia="仿宋_GB2312"/>
          <w:color w:val="000000" w:themeColor="text1"/>
          <w:sz w:val="32"/>
          <w:szCs w:val="32"/>
        </w:rPr>
        <w:t>公务</w:t>
      </w:r>
      <w:r>
        <w:rPr>
          <w:rFonts w:hint="eastAsia" w:ascii="仿宋_GB2312" w:eastAsia="仿宋_GB2312"/>
          <w:color w:val="000000" w:themeColor="text1"/>
          <w:sz w:val="32"/>
          <w:szCs w:val="32"/>
          <w:lang w:eastAsia="zh-CN"/>
        </w:rPr>
        <w:t>外出</w:t>
      </w:r>
      <w:r>
        <w:rPr>
          <w:rFonts w:ascii="仿宋_GB2312" w:eastAsia="仿宋_GB2312"/>
          <w:color w:val="000000" w:themeColor="text1"/>
          <w:sz w:val="32"/>
          <w:szCs w:val="32"/>
        </w:rPr>
        <w:t>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7"/>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2018年度，本部门单位预算绩效自评情况：</w:t>
      </w:r>
      <w:r>
        <w:rPr>
          <w:rFonts w:ascii="仿宋_GB2312" w:eastAsia="仿宋_GB2312"/>
          <w:color w:val="000000" w:themeColor="text1"/>
          <w:sz w:val="32"/>
          <w:szCs w:val="32"/>
        </w:rPr>
        <w:t>201</w:t>
      </w:r>
      <w:r>
        <w:rPr>
          <w:rFonts w:hint="eastAsia" w:ascii="仿宋_GB2312" w:eastAsia="仿宋_GB2312"/>
          <w:color w:val="000000" w:themeColor="text1"/>
          <w:sz w:val="32"/>
          <w:szCs w:val="32"/>
          <w:lang w:val="en-US" w:eastAsia="zh-CN"/>
        </w:rPr>
        <w:t>8</w:t>
      </w:r>
      <w:r>
        <w:rPr>
          <w:rFonts w:hint="eastAsia" w:ascii="仿宋_GB2312" w:eastAsia="仿宋_GB2312"/>
          <w:color w:val="000000" w:themeColor="text1"/>
          <w:sz w:val="32"/>
          <w:szCs w:val="32"/>
        </w:rPr>
        <w:t>年度，本部门单位实行绩效管理的项目</w:t>
      </w:r>
      <w:r>
        <w:rPr>
          <w:rFonts w:ascii="仿宋_GB2312" w:eastAsia="仿宋_GB2312"/>
          <w:color w:val="000000" w:themeColor="text1"/>
          <w:sz w:val="32"/>
          <w:szCs w:val="32"/>
        </w:rPr>
        <w:t>0</w:t>
      </w:r>
      <w:r>
        <w:rPr>
          <w:rFonts w:hint="eastAsia" w:ascii="仿宋_GB2312" w:eastAsia="仿宋_GB2312"/>
          <w:color w:val="000000" w:themeColor="text1"/>
          <w:sz w:val="32"/>
          <w:szCs w:val="32"/>
        </w:rPr>
        <w:t>个，涉及预算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万元，项目支出决算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万元。年末本部门单位民生项目和重点支出项目的绩效评价开展情况及结果：无</w:t>
      </w:r>
      <w:r>
        <w:rPr>
          <w:rFonts w:hint="eastAsia" w:ascii="仿宋_GB2312" w:eastAsia="仿宋_GB2312"/>
          <w:color w:val="000000" w:themeColor="text1"/>
          <w:sz w:val="32"/>
          <w:szCs w:val="32"/>
          <w:lang w:eastAsia="zh-CN"/>
        </w:rPr>
        <w:t>预算绩效情况</w:t>
      </w:r>
      <w:r>
        <w:rPr>
          <w:rFonts w:hint="eastAsia" w:ascii="仿宋_GB2312" w:eastAsia="仿宋_GB2312"/>
          <w:color w:val="000000" w:themeColor="text1"/>
          <w:sz w:val="32"/>
          <w:szCs w:val="32"/>
        </w:rPr>
        <w:t>。</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201（类）29（款）01（项）指：行政运行。221（类）02（款）01（项）指：住房公积金。208（类）05（款）05（项）指：机关事业单位基本养老保险缴费支出。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1EF4A3A"/>
    <w:rsid w:val="028847F9"/>
    <w:rsid w:val="03235FCE"/>
    <w:rsid w:val="03501751"/>
    <w:rsid w:val="03AA79F6"/>
    <w:rsid w:val="04741FE5"/>
    <w:rsid w:val="04DB02C7"/>
    <w:rsid w:val="06B856EE"/>
    <w:rsid w:val="07FE5938"/>
    <w:rsid w:val="084604BC"/>
    <w:rsid w:val="08883825"/>
    <w:rsid w:val="09725983"/>
    <w:rsid w:val="0A382BB5"/>
    <w:rsid w:val="0A473DA1"/>
    <w:rsid w:val="0AA4543A"/>
    <w:rsid w:val="0BE61132"/>
    <w:rsid w:val="0C9B0DD6"/>
    <w:rsid w:val="0CE4791C"/>
    <w:rsid w:val="0E063C64"/>
    <w:rsid w:val="0F4C7B96"/>
    <w:rsid w:val="0FFB575E"/>
    <w:rsid w:val="10845F1B"/>
    <w:rsid w:val="10B800AD"/>
    <w:rsid w:val="11463A00"/>
    <w:rsid w:val="11600918"/>
    <w:rsid w:val="11B0398F"/>
    <w:rsid w:val="11BD0171"/>
    <w:rsid w:val="121527A3"/>
    <w:rsid w:val="12423C79"/>
    <w:rsid w:val="133F7D3C"/>
    <w:rsid w:val="13B960C5"/>
    <w:rsid w:val="152777F4"/>
    <w:rsid w:val="15C674B6"/>
    <w:rsid w:val="18D54A0D"/>
    <w:rsid w:val="1A4106A0"/>
    <w:rsid w:val="1A4F5437"/>
    <w:rsid w:val="1AB77CD0"/>
    <w:rsid w:val="1CE56C03"/>
    <w:rsid w:val="1E807156"/>
    <w:rsid w:val="1EA657F6"/>
    <w:rsid w:val="1F097CB6"/>
    <w:rsid w:val="2166156B"/>
    <w:rsid w:val="21B02D83"/>
    <w:rsid w:val="22A236F5"/>
    <w:rsid w:val="23995975"/>
    <w:rsid w:val="241C3A57"/>
    <w:rsid w:val="2432220E"/>
    <w:rsid w:val="248303BA"/>
    <w:rsid w:val="24837E47"/>
    <w:rsid w:val="252E01AA"/>
    <w:rsid w:val="25FD0169"/>
    <w:rsid w:val="2680023E"/>
    <w:rsid w:val="29680352"/>
    <w:rsid w:val="2A020F75"/>
    <w:rsid w:val="2A35305A"/>
    <w:rsid w:val="2B007AEE"/>
    <w:rsid w:val="2BC14C56"/>
    <w:rsid w:val="2C1B026F"/>
    <w:rsid w:val="2CC61F55"/>
    <w:rsid w:val="2EE51131"/>
    <w:rsid w:val="2EF7452F"/>
    <w:rsid w:val="2F1D13B4"/>
    <w:rsid w:val="2FAA3DA6"/>
    <w:rsid w:val="30682E1F"/>
    <w:rsid w:val="30E210D2"/>
    <w:rsid w:val="311371D6"/>
    <w:rsid w:val="31EB64C9"/>
    <w:rsid w:val="327758A7"/>
    <w:rsid w:val="336D0D6F"/>
    <w:rsid w:val="34F826E7"/>
    <w:rsid w:val="350401B6"/>
    <w:rsid w:val="352E4BEC"/>
    <w:rsid w:val="367C02B1"/>
    <w:rsid w:val="37723A46"/>
    <w:rsid w:val="37DD5594"/>
    <w:rsid w:val="38F24FA8"/>
    <w:rsid w:val="39C563B3"/>
    <w:rsid w:val="3A98342A"/>
    <w:rsid w:val="3AB6780E"/>
    <w:rsid w:val="3AD56D70"/>
    <w:rsid w:val="3B2920C2"/>
    <w:rsid w:val="3BE41ABD"/>
    <w:rsid w:val="3C5421A9"/>
    <w:rsid w:val="3D903B21"/>
    <w:rsid w:val="3E2325C4"/>
    <w:rsid w:val="3F440741"/>
    <w:rsid w:val="40344361"/>
    <w:rsid w:val="40B34173"/>
    <w:rsid w:val="41FC306C"/>
    <w:rsid w:val="44BE5554"/>
    <w:rsid w:val="44C555E3"/>
    <w:rsid w:val="451E0908"/>
    <w:rsid w:val="452C2D31"/>
    <w:rsid w:val="45D26E14"/>
    <w:rsid w:val="46A541B1"/>
    <w:rsid w:val="48C57772"/>
    <w:rsid w:val="49782886"/>
    <w:rsid w:val="4A6F0D28"/>
    <w:rsid w:val="4AAF085C"/>
    <w:rsid w:val="4AEB7E60"/>
    <w:rsid w:val="4B4B135B"/>
    <w:rsid w:val="4BC7055F"/>
    <w:rsid w:val="4C4B465D"/>
    <w:rsid w:val="4CFC7DB2"/>
    <w:rsid w:val="4DFB5DA1"/>
    <w:rsid w:val="4E7C187D"/>
    <w:rsid w:val="508941AD"/>
    <w:rsid w:val="50915E48"/>
    <w:rsid w:val="5095527B"/>
    <w:rsid w:val="50E65530"/>
    <w:rsid w:val="51457139"/>
    <w:rsid w:val="51574DBD"/>
    <w:rsid w:val="51EC1DA8"/>
    <w:rsid w:val="52FC5524"/>
    <w:rsid w:val="532D7A17"/>
    <w:rsid w:val="54037856"/>
    <w:rsid w:val="54AF4562"/>
    <w:rsid w:val="54C9674B"/>
    <w:rsid w:val="556318EA"/>
    <w:rsid w:val="55A60AA1"/>
    <w:rsid w:val="56451615"/>
    <w:rsid w:val="57FC5774"/>
    <w:rsid w:val="5819532A"/>
    <w:rsid w:val="59B332C9"/>
    <w:rsid w:val="5A44758A"/>
    <w:rsid w:val="5AD76DB5"/>
    <w:rsid w:val="5BEC4BB3"/>
    <w:rsid w:val="5C070B55"/>
    <w:rsid w:val="5CB96DCE"/>
    <w:rsid w:val="5CE61580"/>
    <w:rsid w:val="5D175666"/>
    <w:rsid w:val="5D556A3C"/>
    <w:rsid w:val="5D7B25C9"/>
    <w:rsid w:val="5DD00D77"/>
    <w:rsid w:val="5ECB44B4"/>
    <w:rsid w:val="5EE2043C"/>
    <w:rsid w:val="602D2E37"/>
    <w:rsid w:val="61080B49"/>
    <w:rsid w:val="61460FBE"/>
    <w:rsid w:val="62775810"/>
    <w:rsid w:val="62D83744"/>
    <w:rsid w:val="630F4048"/>
    <w:rsid w:val="63AA02E5"/>
    <w:rsid w:val="63DC087B"/>
    <w:rsid w:val="64700DE9"/>
    <w:rsid w:val="65C613BD"/>
    <w:rsid w:val="65FD118C"/>
    <w:rsid w:val="682C3D89"/>
    <w:rsid w:val="68611305"/>
    <w:rsid w:val="6A162DE0"/>
    <w:rsid w:val="6A331428"/>
    <w:rsid w:val="6AAC2BE8"/>
    <w:rsid w:val="6B2E5CB6"/>
    <w:rsid w:val="6B3D4886"/>
    <w:rsid w:val="6DF8675E"/>
    <w:rsid w:val="6EA80098"/>
    <w:rsid w:val="6F8D70FF"/>
    <w:rsid w:val="6FFE5011"/>
    <w:rsid w:val="7178734D"/>
    <w:rsid w:val="71791096"/>
    <w:rsid w:val="717B0C34"/>
    <w:rsid w:val="71FB78FD"/>
    <w:rsid w:val="72660A99"/>
    <w:rsid w:val="7275064A"/>
    <w:rsid w:val="733F750B"/>
    <w:rsid w:val="735702E2"/>
    <w:rsid w:val="765F635A"/>
    <w:rsid w:val="76B73454"/>
    <w:rsid w:val="76D254BD"/>
    <w:rsid w:val="7738547C"/>
    <w:rsid w:val="77727ACD"/>
    <w:rsid w:val="78071142"/>
    <w:rsid w:val="79296B37"/>
    <w:rsid w:val="7A4C4C40"/>
    <w:rsid w:val="7AA0518E"/>
    <w:rsid w:val="7B041636"/>
    <w:rsid w:val="7C9C18FF"/>
    <w:rsid w:val="7CA86749"/>
    <w:rsid w:val="7EC92370"/>
    <w:rsid w:val="7F2238BD"/>
    <w:rsid w:val="7F8F0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字符"/>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字符"/>
    <w:basedOn w:val="7"/>
    <w:link w:val="3"/>
    <w:semiHidden/>
    <w:qFormat/>
    <w:uiPriority w:val="99"/>
    <w:rPr>
      <w:rFonts w:ascii="Times New Roman" w:hAnsi="Times New Roman" w:eastAsia="宋体" w:cs="Times New Roman"/>
      <w:szCs w:val="24"/>
    </w:rPr>
  </w:style>
  <w:style w:type="character" w:customStyle="1" w:styleId="13">
    <w:name w:val="批注主题 字符"/>
    <w:basedOn w:val="12"/>
    <w:link w:val="2"/>
    <w:semiHidden/>
    <w:qFormat/>
    <w:uiPriority w:val="99"/>
    <w:rPr>
      <w:rFonts w:ascii="Times New Roman" w:hAnsi="Times New Roman" w:eastAsia="宋体" w:cs="Times New Roman"/>
      <w:b/>
      <w:bCs/>
      <w:szCs w:val="24"/>
    </w:rPr>
  </w:style>
  <w:style w:type="character" w:customStyle="1" w:styleId="14">
    <w:name w:val="批注框文本 字符"/>
    <w:basedOn w:val="7"/>
    <w:link w:val="4"/>
    <w:semiHidden/>
    <w:qFormat/>
    <w:uiPriority w:val="99"/>
    <w:rPr>
      <w:rFonts w:ascii="Times New Roman" w:hAnsi="Times New Roman" w:eastAsia="宋体" w:cs="Times New Roman"/>
      <w:sz w:val="18"/>
      <w:szCs w:val="18"/>
    </w:rPr>
  </w:style>
  <w:style w:type="character" w:customStyle="1" w:styleId="15">
    <w:name w:val="页眉 字符"/>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6560</Characters>
  <Lines>54</Lines>
  <Paragraphs>15</Paragraphs>
  <TotalTime>0</TotalTime>
  <ScaleCrop>false</ScaleCrop>
  <LinksUpToDate>false</LinksUpToDate>
  <CharactersWithSpaces>7695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2020-04-05T03:42:31Z</dcterms:modified>
  <cp:revision>810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