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rPr>
      </w:pPr>
      <w:r>
        <w:rPr>
          <w:rFonts w:hint="eastAsia" w:ascii="黑体" w:hAnsi="黑体" w:eastAsia="黑体"/>
          <w:sz w:val="32"/>
          <w:szCs w:val="32"/>
        </w:rPr>
        <w:t>附件1：</w:t>
      </w:r>
    </w:p>
    <w:p>
      <w:pPr>
        <w:spacing w:line="540" w:lineRule="exact"/>
        <w:rPr>
          <w:rFonts w:hint="eastAsia" w:ascii="黑体" w:hAnsi="黑体" w:eastAsia="黑体"/>
          <w:sz w:val="32"/>
          <w:szCs w:val="32"/>
          <w:lang w:eastAsia="zh-CN"/>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2018年度新疆喀什地区塔什库尔干县教育培训服务管理局部门决算公开说明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1、落实自治区党委、地位、县委关于职业技能教育培训的政策、规定，结合我县实际情况，研究制定职业技能教育培训相关制度规定，并负责组织实施。</w:t>
      </w:r>
      <w:r>
        <w:rPr>
          <w:rFonts w:hint="eastAsia" w:ascii="仿宋_GB2312" w:eastAsia="仿宋_GB2312"/>
          <w:sz w:val="32"/>
          <w:szCs w:val="32"/>
        </w:rPr>
        <w:br w:type="textWrapping"/>
      </w:r>
      <w:r>
        <w:rPr>
          <w:rFonts w:hint="eastAsia" w:ascii="仿宋_GB2312" w:eastAsia="仿宋_GB2312"/>
          <w:sz w:val="32"/>
          <w:szCs w:val="32"/>
        </w:rPr>
        <w:t>2、承担本县职业技能教育培训中心行政管理，学员服务，教材教训、安全保卫的指导、组织、督查、落实工作。</w:t>
      </w:r>
      <w:r>
        <w:rPr>
          <w:rFonts w:hint="eastAsia" w:ascii="仿宋_GB2312" w:eastAsia="仿宋_GB2312"/>
          <w:sz w:val="32"/>
          <w:szCs w:val="32"/>
        </w:rPr>
        <w:br w:type="textWrapping"/>
      </w:r>
      <w:r>
        <w:rPr>
          <w:rFonts w:hint="eastAsia" w:ascii="仿宋_GB2312" w:eastAsia="仿宋_GB2312"/>
          <w:sz w:val="32"/>
          <w:szCs w:val="32"/>
        </w:rPr>
        <w:t>3、依据法律法规、建立健全学员教育培训服务体系，统筹协调相关部门做好“无防”（放逃跑、放闹事、放地震、防火灾、防疫情）、三学（学国语、学法律、学技能）工作，确保教育培训中心的绝对安全、万无一失。</w:t>
      </w:r>
      <w:r>
        <w:rPr>
          <w:rFonts w:hint="eastAsia" w:ascii="仿宋_GB2312" w:eastAsia="仿宋_GB2312"/>
          <w:sz w:val="32"/>
          <w:szCs w:val="32"/>
        </w:rPr>
        <w:br w:type="textWrapping"/>
      </w:r>
      <w:r>
        <w:rPr>
          <w:rFonts w:hint="eastAsia" w:ascii="仿宋_GB2312" w:eastAsia="仿宋_GB2312"/>
          <w:sz w:val="32"/>
          <w:szCs w:val="32"/>
        </w:rPr>
        <w:t>4、指导教育培训中心做好学员的安全管理和职业技能教育培训，落实好各项关心关爱帮扶优惠政策，督促指导相关部门拓宽学员就业渠道，做好结业学员评估和后期就业服务等工作。</w:t>
      </w:r>
      <w:r>
        <w:rPr>
          <w:rFonts w:hint="eastAsia" w:ascii="仿宋_GB2312" w:eastAsia="仿宋_GB2312"/>
          <w:sz w:val="32"/>
          <w:szCs w:val="32"/>
        </w:rPr>
        <w:br w:type="textWrapping"/>
      </w:r>
      <w:r>
        <w:rPr>
          <w:rFonts w:hint="eastAsia" w:ascii="仿宋_GB2312" w:eastAsia="仿宋_GB2312"/>
          <w:sz w:val="32"/>
          <w:szCs w:val="32"/>
        </w:rPr>
        <w:t>5、结合实际、开展专题研究调研，及时总结好经验好做法，为县委领导科学决策提供依据。</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新疆喀什地区塔什库尔干县职业技能教育培训服务管理局</w:t>
      </w:r>
      <w:r>
        <w:rPr>
          <w:rFonts w:hint="eastAsia" w:ascii="仿宋_GB2312" w:eastAsia="仿宋_GB2312"/>
          <w:sz w:val="32"/>
          <w:szCs w:val="32"/>
        </w:rPr>
        <w:t>部门决算包括：</w:t>
      </w:r>
      <w:r>
        <w:rPr>
          <w:rFonts w:ascii="仿宋_GB2312" w:eastAsia="仿宋_GB2312"/>
          <w:sz w:val="32"/>
          <w:szCs w:val="32"/>
        </w:rPr>
        <w:t>新疆喀什地区塔什库尔干县职业技能教育培训服务管理局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新疆喀什地区塔什库尔干县职业技能教育培训服务管理局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新疆喀什地区塔什库尔干县职业技能教育培训服务管理局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468.38</w:t>
      </w:r>
      <w:r>
        <w:rPr>
          <w:rFonts w:hint="eastAsia" w:ascii="仿宋_GB2312" w:eastAsia="仿宋_GB2312"/>
          <w:color w:val="000000" w:themeColor="text1"/>
          <w:sz w:val="32"/>
          <w:szCs w:val="32"/>
        </w:rPr>
        <w:t>万元</w:t>
      </w:r>
      <w:bookmarkEnd w:id="4"/>
      <w:bookmarkEnd w:id="5"/>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rPr>
        <w:t>468.38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hint="eastAsia" w:ascii="仿宋_GB2312" w:eastAsia="仿宋_GB2312"/>
          <w:color w:val="000000" w:themeColor="text1"/>
          <w:sz w:val="32"/>
          <w:szCs w:val="32"/>
        </w:rPr>
        <w:t>因此无上年对比数据；</w:t>
      </w:r>
      <w:bookmarkStart w:id="7" w:name="OLE_LINK53"/>
      <w:bookmarkEnd w:id="6"/>
      <w:r>
        <w:rPr>
          <w:rFonts w:hint="eastAsia" w:ascii="仿宋_GB2312" w:eastAsia="仿宋_GB2312"/>
          <w:color w:val="000000" w:themeColor="text1"/>
          <w:sz w:val="32"/>
          <w:szCs w:val="32"/>
        </w:rPr>
        <w:t>支出</w:t>
      </w:r>
      <w:r>
        <w:rPr>
          <w:rFonts w:hint="eastAsia" w:ascii="仿宋_GB2312" w:eastAsia="仿宋_GB2312"/>
          <w:sz w:val="32"/>
          <w:szCs w:val="32"/>
        </w:rPr>
        <w:t>468.38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rPr>
        <w:t>468.38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hint="eastAsia" w:ascii="仿宋_GB2312" w:eastAsia="仿宋_GB2312"/>
          <w:color w:val="000000" w:themeColor="text1"/>
          <w:sz w:val="32"/>
          <w:szCs w:val="32"/>
        </w:rPr>
        <w:t>因此无上年对比数据</w:t>
      </w:r>
      <w:r>
        <w:rPr>
          <w:rFonts w:hint="eastAsia" w:ascii="仿宋_GB2312" w:eastAsia="仿宋_GB2312"/>
          <w:color w:val="000000" w:themeColor="text1"/>
          <w:sz w:val="32"/>
          <w:szCs w:val="32"/>
          <w:lang w:eastAsia="zh-CN"/>
        </w:rPr>
        <w:t>；</w:t>
      </w:r>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主要原因是：由于本单位是2018年新增单位，</w:t>
      </w:r>
      <w:r>
        <w:rPr>
          <w:rFonts w:hint="eastAsia" w:ascii="仿宋_GB2312" w:eastAsia="仿宋_GB2312"/>
          <w:color w:val="000000" w:themeColor="text1"/>
          <w:sz w:val="32"/>
          <w:szCs w:val="32"/>
        </w:rPr>
        <w:t>因此无上年对比数据</w:t>
      </w:r>
      <w:bookmarkEnd w:id="7"/>
      <w:r>
        <w:rPr>
          <w:rFonts w:hint="eastAsia" w:ascii="仿宋_GB2312" w:eastAsia="仿宋_GB2312"/>
          <w:color w:val="000000" w:themeColor="text1"/>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468.38</w:t>
      </w:r>
      <w:r>
        <w:rPr>
          <w:rFonts w:hint="eastAsia" w:ascii="仿宋_GB2312" w:eastAsia="仿宋_GB2312"/>
          <w:color w:val="000000" w:themeColor="text1"/>
          <w:sz w:val="32"/>
          <w:szCs w:val="32"/>
        </w:rPr>
        <w:t>万元，其中：</w:t>
      </w:r>
      <w:bookmarkStart w:id="8" w:name="OLE_LINK1"/>
      <w:r>
        <w:rPr>
          <w:rFonts w:hint="eastAsia" w:ascii="仿宋_GB2312" w:eastAsia="仿宋_GB2312"/>
          <w:color w:val="000000" w:themeColor="text1"/>
          <w:sz w:val="32"/>
          <w:szCs w:val="32"/>
        </w:rPr>
        <w:t>财政拨款收入</w:t>
      </w:r>
      <w:bookmarkEnd w:id="8"/>
      <w:r>
        <w:rPr>
          <w:rFonts w:hint="eastAsia" w:ascii="仿宋_GB2312" w:eastAsia="仿宋_GB2312"/>
          <w:sz w:val="32"/>
          <w:szCs w:val="32"/>
        </w:rPr>
        <w:t>468.38</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9" w:name="OLE_LINK2"/>
      <w:r>
        <w:rPr>
          <w:rFonts w:hint="eastAsia" w:ascii="仿宋_GB2312" w:eastAsia="仿宋_GB2312"/>
          <w:color w:val="000000" w:themeColor="text1"/>
          <w:sz w:val="32"/>
          <w:szCs w:val="32"/>
        </w:rPr>
        <w:t>上级补助收入</w:t>
      </w:r>
      <w:bookmarkEnd w:id="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0" w:name="OLE_LINK3"/>
      <w:r>
        <w:rPr>
          <w:rFonts w:hint="eastAsia" w:ascii="仿宋_GB2312" w:eastAsia="仿宋_GB2312"/>
          <w:color w:val="000000" w:themeColor="text1"/>
          <w:sz w:val="32"/>
          <w:szCs w:val="32"/>
        </w:rPr>
        <w:t>事业收入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4"/>
      <w:r>
        <w:rPr>
          <w:rFonts w:hint="eastAsia" w:ascii="仿宋_GB2312" w:eastAsia="仿宋_GB2312"/>
          <w:color w:val="000000" w:themeColor="text1"/>
          <w:sz w:val="32"/>
          <w:szCs w:val="32"/>
        </w:rPr>
        <w:t>经营收入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5"/>
      <w:r>
        <w:rPr>
          <w:rFonts w:hint="eastAsia" w:ascii="仿宋_GB2312" w:eastAsia="仿宋_GB2312"/>
          <w:color w:val="000000" w:themeColor="text1"/>
          <w:sz w:val="32"/>
          <w:szCs w:val="32"/>
        </w:rPr>
        <w:t>附属单位缴款</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6"/>
      <w:r>
        <w:rPr>
          <w:rFonts w:hint="eastAsia" w:ascii="仿宋_GB2312" w:eastAsia="仿宋_GB2312"/>
          <w:color w:val="000000" w:themeColor="text1"/>
          <w:sz w:val="32"/>
          <w:szCs w:val="32"/>
        </w:rPr>
        <w:t>其他收入</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14"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况：本年收入年初预算数0万元</w:t>
      </w:r>
      <w:r>
        <w:rPr>
          <w:rFonts w:hint="eastAsia" w:ascii="仿宋_GB2312" w:eastAsia="仿宋_GB2312"/>
          <w:sz w:val="32"/>
          <w:szCs w:val="32"/>
        </w:rPr>
        <w:t>，决算数468.38万元</w:t>
      </w:r>
      <w:r>
        <w:rPr>
          <w:rFonts w:ascii="仿宋_GB2312" w:eastAsia="仿宋_GB2312"/>
          <w:sz w:val="32"/>
          <w:szCs w:val="32"/>
        </w:rPr>
        <w:t>，预决算差异率</w:t>
      </w:r>
      <w:r>
        <w:rPr>
          <w:rFonts w:hint="eastAsia" w:ascii="仿宋_GB2312" w:eastAsia="仿宋_GB2312"/>
          <w:sz w:val="32"/>
          <w:szCs w:val="32"/>
          <w:lang w:val="en-US" w:eastAsia="zh-CN"/>
        </w:rPr>
        <w:t>10</w:t>
      </w:r>
      <w:r>
        <w:rPr>
          <w:rFonts w:ascii="仿宋_GB2312" w:eastAsia="仿宋_GB2312"/>
          <w:sz w:val="32"/>
          <w:szCs w:val="32"/>
        </w:rPr>
        <w:t>0%，差异主要原因是本单位是2018年新增单位无年初预算对比数据。</w:t>
      </w:r>
      <w:bookmarkEnd w:id="14"/>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（三）部门支出总体情况说明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pacing w:val="-6"/>
          <w:sz w:val="32"/>
          <w:szCs w:val="32"/>
        </w:rPr>
      </w:pPr>
      <w:bookmarkStart w:id="15" w:name="OLE_LINK7"/>
      <w:r>
        <w:rPr>
          <w:rFonts w:hint="eastAsia" w:ascii="仿宋_GB2312" w:eastAsia="仿宋_GB2312"/>
          <w:color w:val="000000" w:themeColor="text1"/>
          <w:sz w:val="32"/>
          <w:szCs w:val="32"/>
        </w:rPr>
        <w:t>本年支出合计</w:t>
      </w:r>
      <w:bookmarkEnd w:id="15"/>
      <w:r>
        <w:rPr>
          <w:rFonts w:hint="eastAsia" w:ascii="仿宋_GB2312" w:eastAsia="仿宋_GB2312"/>
          <w:sz w:val="32"/>
          <w:szCs w:val="32"/>
        </w:rPr>
        <w:t>468.38</w:t>
      </w:r>
      <w:r>
        <w:rPr>
          <w:rFonts w:hint="eastAsia" w:ascii="仿宋_GB2312" w:eastAsia="仿宋_GB2312"/>
          <w:color w:val="000000" w:themeColor="text1"/>
          <w:sz w:val="32"/>
          <w:szCs w:val="32"/>
        </w:rPr>
        <w:t>万元，其中：</w:t>
      </w:r>
      <w:bookmarkStart w:id="16" w:name="OLE_LINK8"/>
      <w:r>
        <w:rPr>
          <w:rFonts w:hint="eastAsia" w:ascii="仿宋_GB2312" w:eastAsia="仿宋_GB2312"/>
          <w:color w:val="000000" w:themeColor="text1"/>
          <w:sz w:val="32"/>
          <w:szCs w:val="32"/>
        </w:rPr>
        <w:t>基本支出</w:t>
      </w:r>
      <w:bookmarkEnd w:id="16"/>
      <w:r>
        <w:rPr>
          <w:rFonts w:hint="eastAsia" w:ascii="仿宋_GB2312" w:eastAsia="仿宋_GB2312"/>
          <w:sz w:val="32"/>
          <w:szCs w:val="32"/>
        </w:rPr>
        <w:t>433.45</w:t>
      </w:r>
      <w:r>
        <w:rPr>
          <w:rFonts w:hint="eastAsia" w:ascii="仿宋_GB2312" w:eastAsia="仿宋_GB2312"/>
          <w:color w:val="000000" w:themeColor="text1"/>
          <w:sz w:val="32"/>
          <w:szCs w:val="32"/>
        </w:rPr>
        <w:t>万元，占</w:t>
      </w:r>
      <w:r>
        <w:rPr>
          <w:rFonts w:hint="eastAsia" w:ascii="仿宋_GB2312" w:eastAsia="仿宋_GB2312"/>
          <w:sz w:val="32"/>
          <w:szCs w:val="32"/>
        </w:rPr>
        <w:t>92.54%</w:t>
      </w:r>
      <w:r>
        <w:rPr>
          <w:rFonts w:hint="eastAsia" w:ascii="仿宋_GB2312" w:eastAsia="仿宋_GB2312"/>
          <w:color w:val="000000" w:themeColor="text1"/>
          <w:sz w:val="32"/>
          <w:szCs w:val="32"/>
        </w:rPr>
        <w:t>；</w:t>
      </w:r>
      <w:bookmarkStart w:id="17" w:name="OLE_LINK9"/>
      <w:r>
        <w:rPr>
          <w:rFonts w:hint="eastAsia" w:ascii="仿宋_GB2312" w:eastAsia="仿宋_GB2312"/>
          <w:color w:val="000000" w:themeColor="text1"/>
          <w:sz w:val="32"/>
          <w:szCs w:val="32"/>
        </w:rPr>
        <w:t>项目支出</w:t>
      </w:r>
      <w:bookmarkEnd w:id="17"/>
      <w:r>
        <w:rPr>
          <w:rFonts w:hint="eastAsia" w:ascii="仿宋_GB2312" w:eastAsia="仿宋_GB2312"/>
          <w:sz w:val="32"/>
          <w:szCs w:val="32"/>
        </w:rPr>
        <w:t>34.94</w:t>
      </w:r>
      <w:r>
        <w:rPr>
          <w:rFonts w:hint="eastAsia" w:ascii="仿宋_GB2312" w:eastAsia="仿宋_GB2312"/>
          <w:color w:val="000000" w:themeColor="text1"/>
          <w:sz w:val="32"/>
          <w:szCs w:val="32"/>
        </w:rPr>
        <w:t>万元，占</w:t>
      </w:r>
      <w:r>
        <w:rPr>
          <w:rFonts w:hint="eastAsia" w:ascii="仿宋_GB2312" w:eastAsia="仿宋_GB2312"/>
          <w:sz w:val="32"/>
          <w:szCs w:val="32"/>
        </w:rPr>
        <w:t>7.46%</w:t>
      </w:r>
      <w:r>
        <w:rPr>
          <w:rFonts w:hint="eastAsia" w:ascii="仿宋_GB2312" w:eastAsia="仿宋_GB2312"/>
          <w:color w:val="000000" w:themeColor="text1"/>
          <w:sz w:val="32"/>
          <w:szCs w:val="32"/>
        </w:rPr>
        <w:t>；</w:t>
      </w:r>
      <w:bookmarkStart w:id="18" w:name="OLE_LINK10"/>
      <w:r>
        <w:rPr>
          <w:rFonts w:hint="eastAsia" w:ascii="仿宋_GB2312" w:eastAsia="仿宋_GB2312"/>
          <w:color w:val="000000" w:themeColor="text1"/>
          <w:sz w:val="32"/>
          <w:szCs w:val="32"/>
        </w:rPr>
        <w:t>上缴上级支出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1"/>
      <w:r>
        <w:rPr>
          <w:rFonts w:hint="eastAsia" w:ascii="仿宋_GB2312" w:eastAsia="仿宋_GB2312"/>
          <w:color w:val="000000" w:themeColor="text1"/>
          <w:spacing w:val="-6"/>
          <w:sz w:val="32"/>
          <w:szCs w:val="32"/>
        </w:rPr>
        <w:t>经营支出</w:t>
      </w:r>
      <w:bookmarkEnd w:id="19"/>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0" w:name="OLE_LINK12"/>
      <w:r>
        <w:rPr>
          <w:rFonts w:hint="eastAsia" w:ascii="仿宋_GB2312" w:eastAsia="仿宋_GB2312"/>
          <w:color w:val="000000" w:themeColor="text1"/>
          <w:spacing w:val="-6"/>
          <w:sz w:val="32"/>
          <w:szCs w:val="32"/>
        </w:rPr>
        <w:t>对附属单位补助支出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21" w:name="OLE_LINK56"/>
      <w:r>
        <w:rPr>
          <w:rFonts w:hint="eastAsia" w:ascii="仿宋_GB2312" w:eastAsia="仿宋_GB2312"/>
          <w:color w:val="000000" w:themeColor="text1"/>
          <w:sz w:val="32"/>
          <w:szCs w:val="32"/>
        </w:rPr>
        <w:t>与年初预算数相比情况：本年支出年初预算数0万元，</w:t>
      </w:r>
      <w:r>
        <w:rPr>
          <w:rFonts w:hint="eastAsia" w:ascii="仿宋_GB2312" w:eastAsia="仿宋_GB2312"/>
          <w:sz w:val="32"/>
          <w:szCs w:val="32"/>
        </w:rPr>
        <w:t>决算数468.38万元</w:t>
      </w:r>
      <w:r>
        <w:rPr>
          <w:rFonts w:ascii="仿宋_GB2312" w:eastAsia="仿宋_GB2312"/>
          <w:sz w:val="32"/>
          <w:szCs w:val="32"/>
        </w:rPr>
        <w:t>，预决算差异率</w:t>
      </w:r>
      <w:r>
        <w:rPr>
          <w:rFonts w:hint="eastAsia" w:ascii="仿宋_GB2312" w:eastAsia="仿宋_GB2312"/>
          <w:sz w:val="32"/>
          <w:szCs w:val="32"/>
          <w:lang w:val="en-US" w:eastAsia="zh-CN"/>
        </w:rPr>
        <w:t>10</w:t>
      </w:r>
      <w:r>
        <w:rPr>
          <w:rFonts w:ascii="仿宋_GB2312" w:eastAsia="仿宋_GB2312"/>
          <w:sz w:val="32"/>
          <w:szCs w:val="32"/>
        </w:rPr>
        <w:t>0%，差异主要原因是本单位是2018年新增单位无年初预算对比数据。</w:t>
      </w:r>
    </w:p>
    <w:bookmarkEnd w:id="21"/>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黑体" w:hAnsi="黑体" w:eastAsia="黑体"/>
          <w:sz w:val="32"/>
          <w:szCs w:val="32"/>
        </w:rPr>
      </w:pPr>
      <w:r>
        <w:rPr>
          <w:rFonts w:hint="eastAsia" w:ascii="黑体" w:hAnsi="黑体" w:eastAsia="黑体"/>
          <w:sz w:val="32"/>
          <w:szCs w:val="32"/>
        </w:rPr>
        <w:t>二、部门财政拨款收支情况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2" w:name="OLE_LINK57"/>
      <w:bookmarkStart w:id="23" w:name="OLE_LINK58"/>
      <w:r>
        <w:rPr>
          <w:rFonts w:hint="eastAsia" w:ascii="仿宋_GB2312" w:eastAsia="仿宋_GB2312"/>
          <w:color w:val="000000" w:themeColor="text1"/>
          <w:sz w:val="32"/>
          <w:szCs w:val="32"/>
        </w:rPr>
        <w:t>2018年度</w:t>
      </w:r>
      <w:bookmarkStart w:id="24" w:name="OLE_LINK13"/>
      <w:r>
        <w:rPr>
          <w:rFonts w:hint="eastAsia" w:ascii="仿宋_GB2312" w:eastAsia="仿宋_GB2312"/>
          <w:color w:val="000000" w:themeColor="text1"/>
          <w:sz w:val="32"/>
          <w:szCs w:val="32"/>
        </w:rPr>
        <w:t>财政拨款收入</w:t>
      </w:r>
      <w:bookmarkEnd w:id="24"/>
      <w:r>
        <w:rPr>
          <w:rFonts w:hint="eastAsia" w:ascii="仿宋_GB2312" w:eastAsia="仿宋_GB2312"/>
          <w:sz w:val="32"/>
          <w:szCs w:val="32"/>
        </w:rPr>
        <w:t>468.38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rPr>
        <w:t>468.38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hint="eastAsia" w:ascii="仿宋_GB2312" w:eastAsia="仿宋_GB2312"/>
          <w:color w:val="000000" w:themeColor="text1"/>
          <w:sz w:val="32"/>
          <w:szCs w:val="32"/>
        </w:rPr>
        <w:t>因此无上年对比数据</w:t>
      </w:r>
      <w:r>
        <w:rPr>
          <w:rFonts w:hint="eastAsia" w:ascii="仿宋_GB2312" w:eastAsia="仿宋_GB2312"/>
          <w:color w:val="000000" w:themeColor="text1"/>
          <w:sz w:val="32"/>
          <w:szCs w:val="32"/>
          <w:lang w:eastAsia="zh-CN"/>
        </w:rPr>
        <w:t>。</w:t>
      </w:r>
      <w:bookmarkEnd w:id="22"/>
      <w:bookmarkEnd w:id="23"/>
      <w:bookmarkStart w:id="25" w:name="OLE_LINK14"/>
      <w:bookmarkStart w:id="26" w:name="OLE_LINK60"/>
      <w:bookmarkStart w:id="27" w:name="OLE_LINK59"/>
      <w:r>
        <w:rPr>
          <w:rFonts w:hint="eastAsia" w:ascii="仿宋_GB2312" w:eastAsia="仿宋_GB2312"/>
          <w:color w:val="000000" w:themeColor="text1"/>
          <w:sz w:val="32"/>
          <w:szCs w:val="32"/>
        </w:rPr>
        <w:t>财政拨款支出</w:t>
      </w:r>
      <w:bookmarkEnd w:id="25"/>
      <w:r>
        <w:rPr>
          <w:rFonts w:hint="eastAsia" w:ascii="仿宋_GB2312" w:eastAsia="仿宋_GB2312"/>
          <w:sz w:val="32"/>
          <w:szCs w:val="32"/>
        </w:rPr>
        <w:t>468.38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rPr>
        <w:t>468.38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ascii="仿宋_GB2312" w:eastAsia="仿宋_GB2312"/>
          <w:sz w:val="32"/>
          <w:szCs w:val="32"/>
        </w:rPr>
        <w:t>因此无上年对比数据。</w:t>
      </w:r>
      <w:bookmarkEnd w:id="26"/>
      <w:bookmarkEnd w:id="27"/>
      <w:bookmarkStart w:id="28" w:name="OLE_LINK61"/>
      <w:r>
        <w:rPr>
          <w:rFonts w:hint="eastAsia" w:ascii="仿宋_GB2312" w:eastAsia="仿宋_GB2312"/>
          <w:color w:val="000000" w:themeColor="text1"/>
          <w:sz w:val="32"/>
          <w:szCs w:val="32"/>
        </w:rPr>
        <w:t>其中：</w:t>
      </w:r>
      <w:bookmarkStart w:id="29" w:name="OLE_LINK15"/>
      <w:r>
        <w:rPr>
          <w:rFonts w:hint="eastAsia" w:ascii="仿宋_GB2312" w:eastAsia="仿宋_GB2312"/>
          <w:color w:val="000000" w:themeColor="text1"/>
          <w:sz w:val="32"/>
          <w:szCs w:val="32"/>
        </w:rPr>
        <w:t>基本支出</w:t>
      </w:r>
      <w:bookmarkEnd w:id="29"/>
      <w:r>
        <w:rPr>
          <w:rFonts w:hint="eastAsia" w:ascii="仿宋_GB2312" w:eastAsia="仿宋_GB2312"/>
          <w:sz w:val="32"/>
          <w:szCs w:val="32"/>
        </w:rPr>
        <w:t>433.45</w:t>
      </w:r>
      <w:r>
        <w:rPr>
          <w:rFonts w:hint="eastAsia" w:ascii="仿宋_GB2312" w:eastAsia="仿宋_GB2312"/>
          <w:color w:val="000000" w:themeColor="text1"/>
          <w:sz w:val="32"/>
          <w:szCs w:val="32"/>
        </w:rPr>
        <w:t>万元，项目支出</w:t>
      </w:r>
      <w:r>
        <w:rPr>
          <w:rFonts w:hint="eastAsia" w:ascii="仿宋_GB2312" w:eastAsia="仿宋_GB2312"/>
          <w:sz w:val="32"/>
          <w:szCs w:val="32"/>
        </w:rPr>
        <w:t>34.94</w:t>
      </w:r>
      <w:r>
        <w:rPr>
          <w:rFonts w:hint="eastAsia" w:ascii="仿宋_GB2312" w:eastAsia="仿宋_GB2312"/>
          <w:color w:val="000000" w:themeColor="text1"/>
          <w:sz w:val="32"/>
          <w:szCs w:val="32"/>
        </w:rPr>
        <w:t>万元。</w:t>
      </w:r>
      <w:bookmarkStart w:id="30" w:name="OLE_LINK16"/>
      <w:r>
        <w:rPr>
          <w:rFonts w:hint="eastAsia" w:ascii="仿宋_GB2312" w:eastAsia="仿宋_GB2312"/>
          <w:color w:val="000000"/>
          <w:sz w:val="32"/>
          <w:szCs w:val="32"/>
        </w:rPr>
        <w:t>财政拨款结转结余</w:t>
      </w:r>
      <w:bookmarkEnd w:id="30"/>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w:t>
      </w:r>
      <w:bookmarkStart w:id="87" w:name="_GoBack"/>
      <w:bookmarkEnd w:id="87"/>
      <w:r>
        <w:rPr>
          <w:rFonts w:hint="eastAsia" w:ascii="仿宋_GB2312" w:eastAsia="仿宋_GB2312"/>
          <w:sz w:val="32"/>
          <w:szCs w:val="32"/>
          <w:lang w:val="en-US" w:eastAsia="zh-CN"/>
        </w:rPr>
        <w:t>的主要原因是：</w:t>
      </w:r>
      <w:r>
        <w:rPr>
          <w:rFonts w:hint="eastAsia" w:ascii="仿宋_GB2312" w:eastAsia="仿宋_GB2312"/>
          <w:sz w:val="32"/>
          <w:szCs w:val="32"/>
        </w:rPr>
        <w:t>由于本单位是2018年新增单位，因此无上年对比数据。</w:t>
      </w:r>
      <w:bookmarkEnd w:id="2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bookmarkStart w:id="31"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hint="eastAsia" w:ascii="仿宋_GB2312" w:eastAsia="仿宋_GB2312"/>
          <w:sz w:val="32"/>
          <w:szCs w:val="32"/>
        </w:rPr>
        <w:t>468.38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lang w:val="en-US" w:eastAsia="zh-CN"/>
        </w:rPr>
        <w:t>10</w:t>
      </w:r>
      <w:r>
        <w:rPr>
          <w:rFonts w:ascii="仿宋_GB2312" w:eastAsia="仿宋_GB2312"/>
          <w:color w:val="000000" w:themeColor="text1"/>
          <w:sz w:val="32"/>
          <w:szCs w:val="32"/>
        </w:rPr>
        <w:t>0%，差异主要原因是本单位是2018年新增单位无年初对比预算数据。</w:t>
      </w:r>
      <w:bookmarkEnd w:id="31"/>
      <w:bookmarkStart w:id="32"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hint="eastAsia" w:ascii="仿宋_GB2312" w:eastAsia="仿宋_GB2312"/>
          <w:sz w:val="32"/>
          <w:szCs w:val="32"/>
        </w:rPr>
        <w:t>468.38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lang w:val="en-US" w:eastAsia="zh-CN"/>
        </w:rPr>
        <w:t>10</w:t>
      </w:r>
      <w:r>
        <w:rPr>
          <w:rFonts w:ascii="仿宋_GB2312" w:eastAsia="仿宋_GB2312"/>
          <w:color w:val="000000" w:themeColor="text1"/>
          <w:sz w:val="32"/>
          <w:szCs w:val="32"/>
        </w:rPr>
        <w:t>0%，差异主要原因是本单位是2018年新增单位无年初对比预算数据。</w:t>
      </w:r>
      <w:bookmarkEnd w:id="32"/>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（二）一般公共预算收支决算情况说明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bookmarkStart w:id="33" w:name="OLE_LINK64"/>
      <w:r>
        <w:rPr>
          <w:rFonts w:hint="eastAsia" w:ascii="仿宋_GB2312" w:eastAsia="仿宋_GB2312"/>
          <w:color w:val="000000" w:themeColor="text1"/>
          <w:sz w:val="32"/>
          <w:szCs w:val="32"/>
        </w:rPr>
        <w:t>2018年度</w:t>
      </w:r>
      <w:bookmarkStart w:id="34" w:name="OLE_LINK17"/>
      <w:r>
        <w:rPr>
          <w:rFonts w:hint="eastAsia" w:ascii="仿宋_GB2312" w:eastAsia="仿宋_GB2312"/>
          <w:color w:val="000000" w:themeColor="text1"/>
          <w:sz w:val="32"/>
          <w:szCs w:val="32"/>
        </w:rPr>
        <w:t>一般公共预算财政拨款收入</w:t>
      </w:r>
      <w:bookmarkEnd w:id="34"/>
      <w:r>
        <w:rPr>
          <w:rFonts w:ascii="仿宋_GB2312" w:eastAsia="仿宋_GB2312"/>
          <w:color w:val="000000" w:themeColor="text1"/>
          <w:sz w:val="32"/>
          <w:szCs w:val="32"/>
        </w:rPr>
        <w:t>468.38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rPr>
        <w:t>468.38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ascii="仿宋_GB2312" w:eastAsia="仿宋_GB2312"/>
          <w:color w:val="000000" w:themeColor="text1"/>
          <w:sz w:val="32"/>
          <w:szCs w:val="32"/>
        </w:rPr>
        <w:t>由于本单位是2018年新增单位，因此无上年对比数据。</w:t>
      </w:r>
      <w:bookmarkEnd w:id="33"/>
      <w:bookmarkStart w:id="35" w:name="OLE_LINK18"/>
      <w:bookmarkStart w:id="36"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468.38</w:t>
      </w:r>
      <w:r>
        <w:rPr>
          <w:rFonts w:hint="eastAsia" w:ascii="仿宋_GB2312" w:eastAsia="仿宋_GB2312"/>
          <w:color w:val="000000" w:themeColor="text1"/>
          <w:sz w:val="32"/>
          <w:szCs w:val="32"/>
        </w:rPr>
        <w:t>万元</w:t>
      </w:r>
      <w:bookmarkEnd w:id="35"/>
      <w:r>
        <w:rPr>
          <w:rFonts w:hint="eastAsia" w:ascii="仿宋_GB2312" w:eastAsia="仿宋_GB2312"/>
          <w:color w:val="000000" w:themeColor="text1"/>
          <w:sz w:val="32"/>
          <w:szCs w:val="32"/>
          <w:lang w:val="en-US" w:eastAsia="zh-CN"/>
        </w:rPr>
        <w:t>,上年相比，增加</w:t>
      </w:r>
      <w:r>
        <w:rPr>
          <w:rFonts w:hint="eastAsia" w:ascii="仿宋_GB2312" w:eastAsia="仿宋_GB2312"/>
          <w:sz w:val="32"/>
          <w:szCs w:val="32"/>
        </w:rPr>
        <w:t>468.38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由于本单位是2018年新增单位，因此无上年对比数据。</w:t>
      </w:r>
      <w:bookmarkEnd w:id="36"/>
      <w:r>
        <w:rPr>
          <w:rFonts w:hint="eastAsia" w:ascii="仿宋_GB2312" w:eastAsia="仿宋_GB2312"/>
          <w:color w:val="000000" w:themeColor="text1"/>
          <w:sz w:val="32"/>
          <w:szCs w:val="32"/>
        </w:rPr>
        <w:t>其中：</w:t>
      </w:r>
      <w:bookmarkStart w:id="37" w:name="OLE_LINK19"/>
      <w:r>
        <w:rPr>
          <w:rFonts w:hint="eastAsia" w:ascii="仿宋_GB2312" w:eastAsia="仿宋_GB2312"/>
          <w:color w:val="000000" w:themeColor="text1"/>
          <w:sz w:val="32"/>
          <w:szCs w:val="32"/>
        </w:rPr>
        <w:t>按功能分类科目（按类级科目公开）</w:t>
      </w:r>
      <w:bookmarkEnd w:id="37"/>
      <w:r>
        <w:rPr>
          <w:rFonts w:hint="eastAsia" w:ascii="仿宋_GB2312" w:eastAsia="仿宋_GB2312"/>
          <w:color w:val="000000" w:themeColor="text1"/>
          <w:sz w:val="32"/>
          <w:szCs w:val="32"/>
        </w:rPr>
        <w:t>，</w:t>
      </w:r>
      <w:r>
        <w:rPr>
          <w:rFonts w:hint="eastAsia" w:ascii="仿宋_GB2312" w:eastAsia="仿宋_GB2312"/>
          <w:sz w:val="32"/>
          <w:szCs w:val="32"/>
        </w:rPr>
        <w:t>住房保障支出17.54万元,农林水支出34.94万元,公共安全支出390.87万元,社会保障和就业支出25.03万元。</w:t>
      </w:r>
      <w:bookmarkStart w:id="38" w:name="OLE_LINK20"/>
      <w:bookmarkStart w:id="39" w:name="OLE_LINK21"/>
      <w:r>
        <w:rPr>
          <w:rFonts w:hint="eastAsia" w:ascii="仿宋_GB2312" w:eastAsia="仿宋_GB2312"/>
          <w:color w:val="000000" w:themeColor="text1"/>
          <w:sz w:val="32"/>
          <w:szCs w:val="32"/>
        </w:rPr>
        <w:t>按经济分类科目</w:t>
      </w:r>
      <w:bookmarkEnd w:id="38"/>
      <w:r>
        <w:rPr>
          <w:rFonts w:hint="eastAsia" w:ascii="仿宋_GB2312" w:eastAsia="仿宋_GB2312"/>
          <w:color w:val="000000" w:themeColor="text1"/>
          <w:sz w:val="32"/>
          <w:szCs w:val="32"/>
        </w:rPr>
        <w:t>（按类级科目公开）</w:t>
      </w:r>
      <w:bookmarkEnd w:id="39"/>
      <w:r>
        <w:rPr>
          <w:rFonts w:hint="eastAsia" w:ascii="仿宋_GB2312" w:eastAsia="仿宋_GB2312"/>
          <w:color w:val="000000" w:themeColor="text1"/>
          <w:sz w:val="32"/>
          <w:szCs w:val="32"/>
        </w:rPr>
        <w:t>，</w:t>
      </w:r>
      <w:r>
        <w:rPr>
          <w:rFonts w:hint="eastAsia" w:ascii="仿宋_GB2312" w:eastAsia="仿宋_GB2312"/>
          <w:sz w:val="32"/>
          <w:szCs w:val="32"/>
        </w:rPr>
        <w:t>工资福利支出323.95万元,商品和服务支出79.38万元,对个人和家庭的补助65.05万元。</w:t>
      </w:r>
    </w:p>
    <w:p>
      <w:pPr>
        <w:spacing w:line="540" w:lineRule="exact"/>
        <w:ind w:firstLine="640" w:firstLineChars="200"/>
        <w:rPr>
          <w:rFonts w:ascii="仿宋_GB2312" w:eastAsia="仿宋_GB2312"/>
          <w:color w:val="000000" w:themeColor="text1"/>
          <w:sz w:val="32"/>
          <w:szCs w:val="32"/>
        </w:rPr>
      </w:pPr>
      <w:bookmarkStart w:id="40" w:name="OLE_LINK66"/>
      <w:bookmarkStart w:id="41"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468.38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lang w:val="en-US" w:eastAsia="zh-CN"/>
        </w:rPr>
        <w:t>10</w:t>
      </w:r>
      <w:r>
        <w:rPr>
          <w:rFonts w:ascii="仿宋_GB2312" w:eastAsia="仿宋_GB2312"/>
          <w:color w:val="000000" w:themeColor="text1"/>
          <w:sz w:val="32"/>
          <w:szCs w:val="32"/>
        </w:rPr>
        <w:t>0%，差异主要原因是本单位是2018年新增单位无年初对比预算数据。</w:t>
      </w:r>
      <w:bookmarkEnd w:id="40"/>
      <w:bookmarkEnd w:id="41"/>
      <w:bookmarkStart w:id="42"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468.38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lang w:val="en-US" w:eastAsia="zh-CN"/>
        </w:rPr>
        <w:t>10</w:t>
      </w:r>
      <w:r>
        <w:rPr>
          <w:rFonts w:ascii="仿宋_GB2312" w:eastAsia="仿宋_GB2312"/>
          <w:color w:val="000000" w:themeColor="text1"/>
          <w:sz w:val="32"/>
          <w:szCs w:val="32"/>
        </w:rPr>
        <w:t>0%，差异主要原因是本单位是2018年新增单位无年初对比预算数据。</w:t>
      </w:r>
      <w:bookmarkEnd w:id="4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3" w:name="OLE_LINK69"/>
      <w:r>
        <w:rPr>
          <w:rFonts w:hint="eastAsia" w:ascii="仿宋_GB2312" w:eastAsia="仿宋_GB2312"/>
          <w:color w:val="000000" w:themeColor="text1"/>
          <w:sz w:val="32"/>
          <w:szCs w:val="32"/>
        </w:rPr>
        <w:t>2018年度</w:t>
      </w:r>
      <w:bookmarkStart w:id="44" w:name="OLE_LINK22"/>
      <w:r>
        <w:rPr>
          <w:rFonts w:hint="eastAsia" w:ascii="仿宋_GB2312" w:eastAsia="仿宋_GB2312"/>
          <w:color w:val="000000" w:themeColor="text1"/>
          <w:sz w:val="32"/>
          <w:szCs w:val="32"/>
        </w:rPr>
        <w:t>政府性基金预算财政拨款收入</w:t>
      </w:r>
      <w:bookmarkEnd w:id="44"/>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w:t>
      </w:r>
      <w:r>
        <w:rPr>
          <w:rFonts w:hint="eastAsia" w:ascii="仿宋_GB2312" w:eastAsia="仿宋_GB2312"/>
          <w:sz w:val="32"/>
          <w:szCs w:val="32"/>
        </w:rPr>
        <w:t>由于本单位是2018年新增单位，因此无上年对比数据。</w:t>
      </w:r>
      <w:bookmarkEnd w:id="43"/>
      <w:bookmarkStart w:id="45" w:name="OLE_LINK23"/>
      <w:bookmarkStart w:id="46" w:name="OLE_LINK70"/>
      <w:r>
        <w:rPr>
          <w:rFonts w:hint="eastAsia" w:ascii="仿宋_GB2312" w:eastAsia="仿宋_GB2312"/>
          <w:color w:val="000000" w:themeColor="text1"/>
          <w:sz w:val="32"/>
          <w:szCs w:val="32"/>
        </w:rPr>
        <w:t>政府性基金预算支出</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w:t>
      </w:r>
      <w:r>
        <w:rPr>
          <w:rFonts w:hint="eastAsia" w:ascii="仿宋_GB2312" w:eastAsia="仿宋_GB2312"/>
          <w:sz w:val="32"/>
          <w:szCs w:val="32"/>
        </w:rPr>
        <w:t>由于本单位是2018年新增单位，因此无上年对比数据。</w:t>
      </w:r>
      <w:bookmarkEnd w:id="46"/>
      <w:r>
        <w:rPr>
          <w:rFonts w:hint="eastAsia" w:ascii="仿宋_GB2312" w:eastAsia="仿宋_GB2312"/>
          <w:color w:val="000000" w:themeColor="text1"/>
          <w:sz w:val="32"/>
          <w:szCs w:val="32"/>
        </w:rPr>
        <w:t>其中：</w:t>
      </w:r>
      <w:bookmarkStart w:id="47" w:name="OLE_LINK24"/>
      <w:r>
        <w:rPr>
          <w:rFonts w:hint="eastAsia" w:ascii="仿宋_GB2312" w:eastAsia="仿宋_GB2312"/>
          <w:color w:val="000000" w:themeColor="text1"/>
          <w:sz w:val="32"/>
          <w:szCs w:val="32"/>
        </w:rPr>
        <w:t>按功能分类科目（按类级科目公开）</w:t>
      </w:r>
      <w:bookmarkEnd w:id="47"/>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8" w:name="OLE_LINK71"/>
      <w:bookmarkStart w:id="49"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，预决算差异率0%，差异主要原因是本单位是2018年新增单位因此无年初对比预算数据。</w:t>
      </w:r>
      <w:bookmarkEnd w:id="48"/>
      <w:bookmarkEnd w:id="49"/>
      <w:bookmarkStart w:id="50"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，预决算差异率0%，差异主要原因是本单位是2018年新增单位无年初对比预算数。</w:t>
      </w:r>
      <w:bookmarkEnd w:id="50"/>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color w:val="000000" w:themeColor="text1"/>
          <w:sz w:val="32"/>
          <w:szCs w:val="32"/>
        </w:rPr>
      </w:pPr>
      <w:r>
        <w:rPr>
          <w:rFonts w:hint="eastAsia" w:ascii="仿宋_GB2312" w:eastAsia="仿宋_GB2312"/>
          <w:color w:val="000000" w:themeColor="text1"/>
          <w:sz w:val="32"/>
          <w:szCs w:val="32"/>
        </w:rPr>
        <w:t>年末结转结余0万元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与上年相比</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增加0万元，增长0%。</w:t>
      </w:r>
    </w:p>
    <w:p>
      <w:pPr>
        <w:spacing w:line="540" w:lineRule="exact"/>
        <w:ind w:firstLine="640" w:firstLineChars="200"/>
        <w:rPr>
          <w:rFonts w:hint="eastAsia" w:ascii="仿宋_GB2312" w:eastAsia="仿宋_GB2312"/>
          <w:color w:val="000000" w:themeColor="text1"/>
          <w:sz w:val="32"/>
          <w:szCs w:val="32"/>
        </w:rPr>
      </w:pPr>
      <w:r>
        <w:rPr>
          <w:rFonts w:hint="eastAsia" w:ascii="仿宋_GB2312" w:eastAsia="仿宋_GB2312"/>
          <w:color w:val="000000" w:themeColor="text1"/>
          <w:sz w:val="32"/>
          <w:szCs w:val="32"/>
        </w:rPr>
        <w:t>其中财政拨款结转结余0万元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与上年相比</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sz w:val="32"/>
          <w:szCs w:val="32"/>
        </w:rPr>
      </w:pPr>
      <w:bookmarkStart w:id="51" w:name="OLE_LINK74"/>
      <w:bookmarkStart w:id="52" w:name="OLE_LINK79"/>
      <w:bookmarkStart w:id="53" w:name="OLE_LINK80"/>
      <w:r>
        <w:rPr>
          <w:rFonts w:hint="eastAsia" w:ascii="仿宋_GB2312" w:eastAsia="仿宋_GB2312"/>
          <w:color w:val="000000"/>
          <w:sz w:val="32"/>
          <w:szCs w:val="32"/>
        </w:rPr>
        <w:t>2018年度</w:t>
      </w:r>
      <w:bookmarkStart w:id="54" w:name="OLE_LINK29"/>
      <w:r>
        <w:rPr>
          <w:rFonts w:hint="eastAsia" w:ascii="仿宋_GB2312" w:eastAsia="仿宋_GB2312"/>
          <w:color w:val="000000"/>
          <w:sz w:val="32"/>
          <w:szCs w:val="32"/>
        </w:rPr>
        <w:t>一般公共预算“三公”经费支出决算</w:t>
      </w:r>
      <w:bookmarkEnd w:id="54"/>
      <w:r>
        <w:rPr>
          <w:rFonts w:hint="eastAsia" w:ascii="仿宋_GB2312" w:eastAsia="仿宋_GB2312"/>
          <w:sz w:val="32"/>
          <w:szCs w:val="32"/>
          <w:lang w:val="en-US" w:eastAsia="zh-CN"/>
        </w:rPr>
        <w:t>2</w:t>
      </w:r>
      <w:r>
        <w:rPr>
          <w:rFonts w:hint="eastAsia" w:ascii="仿宋_GB2312" w:eastAsia="仿宋_GB2312"/>
          <w:color w:val="000000"/>
          <w:sz w:val="32"/>
          <w:szCs w:val="32"/>
        </w:rPr>
        <w:t>万元</w:t>
      </w:r>
      <w:r>
        <w:rPr>
          <w:rFonts w:hint="eastAsia" w:ascii="仿宋_GB2312" w:eastAsia="仿宋_GB2312"/>
          <w:sz w:val="32"/>
          <w:szCs w:val="32"/>
        </w:rPr>
        <w:t>，</w:t>
      </w:r>
      <w:r>
        <w:rPr>
          <w:rFonts w:hint="eastAsia" w:ascii="仿宋_GB2312" w:eastAsia="仿宋_GB2312"/>
          <w:sz w:val="32"/>
          <w:szCs w:val="32"/>
          <w:highlight w:val="none"/>
        </w:rPr>
        <w:t>与上年相比</w:t>
      </w:r>
      <w:r>
        <w:rPr>
          <w:rFonts w:hint="eastAsia" w:ascii="仿宋_GB2312" w:eastAsia="仿宋_GB2312"/>
          <w:sz w:val="32"/>
          <w:szCs w:val="32"/>
          <w:highlight w:val="none"/>
          <w:lang w:val="en-US" w:eastAsia="zh-CN"/>
        </w:rPr>
        <w:t>,增加2万元，增长100%，增加</w:t>
      </w:r>
      <w:r>
        <w:rPr>
          <w:rFonts w:hint="eastAsia" w:ascii="仿宋_GB2312" w:eastAsia="仿宋_GB2312"/>
          <w:sz w:val="32"/>
          <w:szCs w:val="32"/>
        </w:rPr>
        <w:t>的主要原因是：由于本单位是2018年新增单位，因此无上年对比数据</w:t>
      </w:r>
      <w:r>
        <w:rPr>
          <w:rFonts w:hint="eastAsia" w:ascii="仿宋_GB2312" w:eastAsia="仿宋_GB2312"/>
          <w:sz w:val="32"/>
          <w:szCs w:val="32"/>
          <w:highlight w:val="none"/>
        </w:rPr>
        <w:t>。</w:t>
      </w:r>
      <w:bookmarkEnd w:id="51"/>
      <w:bookmarkStart w:id="55" w:name="OLE_LINK75"/>
      <w:r>
        <w:rPr>
          <w:rFonts w:hint="eastAsia" w:ascii="仿宋_GB2312" w:eastAsia="仿宋_GB2312"/>
          <w:color w:val="000000"/>
          <w:sz w:val="32"/>
          <w:szCs w:val="32"/>
          <w:highlight w:val="none"/>
        </w:rPr>
        <w:t>其中，</w:t>
      </w:r>
      <w:bookmarkStart w:id="56" w:name="OLE_LINK30"/>
      <w:r>
        <w:rPr>
          <w:rFonts w:hint="eastAsia" w:ascii="仿宋_GB2312" w:eastAsia="仿宋_GB2312"/>
          <w:color w:val="000000"/>
          <w:sz w:val="32"/>
          <w:szCs w:val="32"/>
          <w:highlight w:val="none"/>
        </w:rPr>
        <w:t>因公出国（境）费支出</w:t>
      </w:r>
      <w:bookmarkEnd w:id="56"/>
      <w:r>
        <w:rPr>
          <w:rFonts w:hint="eastAsia" w:ascii="仿宋_GB2312" w:eastAsia="仿宋_GB2312"/>
          <w:sz w:val="32"/>
          <w:szCs w:val="32"/>
          <w:highlight w:val="none"/>
        </w:rPr>
        <w:t>0</w:t>
      </w:r>
      <w:r>
        <w:rPr>
          <w:rFonts w:hint="eastAsia" w:ascii="仿宋_GB2312" w:eastAsia="仿宋_GB2312"/>
          <w:color w:val="000000"/>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bookmarkEnd w:id="55"/>
      <w:bookmarkStart w:id="57" w:name="OLE_LINK31"/>
      <w:bookmarkStart w:id="58" w:name="OLE_LINK76"/>
      <w:r>
        <w:rPr>
          <w:rFonts w:hint="eastAsia" w:ascii="仿宋_GB2312" w:eastAsia="仿宋_GB2312"/>
          <w:sz w:val="32"/>
          <w:szCs w:val="32"/>
          <w:highlight w:val="none"/>
          <w:lang w:eastAsia="zh-CN"/>
        </w:rPr>
        <w:t>；</w:t>
      </w:r>
      <w:r>
        <w:rPr>
          <w:rFonts w:hint="eastAsia" w:ascii="仿宋_GB2312" w:eastAsia="仿宋_GB2312"/>
          <w:color w:val="000000"/>
          <w:sz w:val="32"/>
          <w:szCs w:val="32"/>
          <w:highlight w:val="none"/>
        </w:rPr>
        <w:t>公务用车购置及运行维护费支出</w:t>
      </w:r>
      <w:bookmarkEnd w:id="57"/>
      <w:r>
        <w:rPr>
          <w:rFonts w:hint="eastAsia" w:ascii="仿宋_GB2312" w:eastAsia="仿宋_GB2312"/>
          <w:sz w:val="32"/>
          <w:szCs w:val="32"/>
          <w:highlight w:val="none"/>
          <w:lang w:val="en-US" w:eastAsia="zh-CN"/>
        </w:rPr>
        <w:t>2</w:t>
      </w:r>
      <w:r>
        <w:rPr>
          <w:rFonts w:hint="eastAsia" w:ascii="仿宋_GB2312" w:eastAsia="仿宋_GB2312"/>
          <w:color w:val="000000"/>
          <w:sz w:val="32"/>
          <w:szCs w:val="32"/>
          <w:highlight w:val="none"/>
        </w:rPr>
        <w:t>万元</w:t>
      </w:r>
      <w:r>
        <w:rPr>
          <w:rFonts w:hint="eastAsia" w:ascii="仿宋_GB2312" w:eastAsia="仿宋_GB2312"/>
          <w:color w:val="000000"/>
          <w:sz w:val="32"/>
          <w:szCs w:val="32"/>
        </w:rPr>
        <w:t>，占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增加2万元，增长100%，增加</w:t>
      </w:r>
      <w:r>
        <w:rPr>
          <w:rFonts w:hint="eastAsia" w:ascii="仿宋_GB2312" w:eastAsia="仿宋_GB2312"/>
          <w:sz w:val="32"/>
          <w:szCs w:val="32"/>
        </w:rPr>
        <w:t>的主要原因是：由于本单位是2018年新增单位，因此无上年对比数据；</w:t>
      </w:r>
      <w:bookmarkEnd w:id="58"/>
      <w:bookmarkStart w:id="59" w:name="OLE_LINK32"/>
      <w:bookmarkStart w:id="60" w:name="OLE_LINK77"/>
      <w:bookmarkStart w:id="61" w:name="OLE_LINK78"/>
      <w:r>
        <w:rPr>
          <w:rFonts w:hint="eastAsia" w:ascii="仿宋_GB2312" w:eastAsia="仿宋_GB2312"/>
          <w:color w:val="000000"/>
          <w:sz w:val="32"/>
          <w:szCs w:val="32"/>
        </w:rPr>
        <w:t>公务接待费支出</w:t>
      </w:r>
      <w:bookmarkEnd w:id="59"/>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60"/>
      <w:bookmarkEnd w:id="61"/>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新疆喀什地区塔什库尔干县职业技能教育培训服务管理局</w:t>
      </w:r>
      <w:r>
        <w:rPr>
          <w:rFonts w:hint="eastAsia" w:ascii="仿宋_GB2312" w:eastAsia="仿宋_GB2312"/>
          <w:color w:val="000000" w:themeColor="text1"/>
          <w:sz w:val="32"/>
          <w:szCs w:val="32"/>
        </w:rPr>
        <w:t>单位</w:t>
      </w:r>
      <w:bookmarkStart w:id="62" w:name="OLE_LINK33"/>
      <w:r>
        <w:rPr>
          <w:rFonts w:hint="eastAsia" w:ascii="仿宋_GB2312" w:eastAsia="仿宋_GB2312"/>
          <w:color w:val="000000" w:themeColor="text1"/>
          <w:sz w:val="32"/>
          <w:szCs w:val="32"/>
        </w:rPr>
        <w:t>全年</w:t>
      </w:r>
      <w:bookmarkStart w:id="63" w:name="OLE_LINK34"/>
      <w:bookmarkStart w:id="64" w:name="OLE_LINK35"/>
      <w:bookmarkStart w:id="65" w:name="OLE_LINK36"/>
      <w:r>
        <w:rPr>
          <w:rFonts w:hint="eastAsia" w:ascii="仿宋_GB2312" w:eastAsia="仿宋_GB2312"/>
          <w:color w:val="000000" w:themeColor="text1"/>
          <w:sz w:val="32"/>
          <w:szCs w:val="32"/>
        </w:rPr>
        <w:t>使用一般公共预算财政拨款安排的出国（境）团组</w:t>
      </w:r>
      <w:bookmarkEnd w:id="62"/>
      <w:bookmarkEnd w:id="63"/>
      <w:bookmarkEnd w:id="64"/>
      <w:r>
        <w:rPr>
          <w:rFonts w:hint="eastAsia" w:ascii="仿宋_GB2312" w:eastAsia="仿宋_GB2312"/>
          <w:sz w:val="32"/>
          <w:szCs w:val="32"/>
        </w:rPr>
        <w:t>0</w:t>
      </w:r>
      <w:r>
        <w:rPr>
          <w:rFonts w:hint="eastAsia" w:ascii="仿宋_GB2312" w:eastAsia="仿宋_GB2312"/>
          <w:color w:val="000000" w:themeColor="text1"/>
          <w:sz w:val="32"/>
          <w:szCs w:val="32"/>
        </w:rPr>
        <w:t>个</w:t>
      </w:r>
      <w:bookmarkEnd w:id="65"/>
      <w:r>
        <w:rPr>
          <w:rFonts w:hint="eastAsia" w:ascii="仿宋_GB2312" w:eastAsia="仿宋_GB2312"/>
          <w:color w:val="000000" w:themeColor="text1"/>
          <w:sz w:val="32"/>
          <w:szCs w:val="32"/>
        </w:rPr>
        <w:t>，</w:t>
      </w:r>
      <w:bookmarkStart w:id="66"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6"/>
      <w:r>
        <w:rPr>
          <w:rFonts w:hint="eastAsia" w:ascii="仿宋_GB2312" w:eastAsia="仿宋_GB2312"/>
          <w:color w:val="000000" w:themeColor="text1"/>
          <w:sz w:val="32"/>
          <w:szCs w:val="32"/>
        </w:rPr>
        <w:t>。</w:t>
      </w:r>
      <w:bookmarkStart w:id="67"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因公出国（境）费</w:t>
      </w:r>
      <w:r>
        <w:rPr>
          <w:rFonts w:ascii="仿宋_GB2312" w:eastAsia="仿宋_GB2312"/>
          <w:color w:val="000000" w:themeColor="text1"/>
          <w:sz w:val="32"/>
          <w:szCs w:val="32"/>
        </w:rPr>
        <w:t>支出。</w:t>
      </w:r>
      <w:bookmarkEnd w:id="52"/>
      <w:bookmarkEnd w:id="53"/>
      <w:bookmarkEnd w:id="67"/>
    </w:p>
    <w:p>
      <w:pPr>
        <w:spacing w:line="540" w:lineRule="exact"/>
        <w:ind w:firstLine="640" w:firstLineChars="200"/>
        <w:rPr>
          <w:rFonts w:ascii="仿宋_GB2312" w:eastAsia="仿宋_GB2312"/>
          <w:color w:val="000000" w:themeColor="text1"/>
          <w:sz w:val="32"/>
          <w:szCs w:val="32"/>
        </w:rPr>
      </w:pPr>
      <w:bookmarkStart w:id="68"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w:t>
      </w:r>
      <w:r>
        <w:rPr>
          <w:rFonts w:hint="eastAsia" w:ascii="仿宋_GB2312" w:eastAsia="仿宋_GB2312"/>
          <w:color w:val="000000" w:themeColor="text1"/>
          <w:sz w:val="32"/>
          <w:szCs w:val="32"/>
        </w:rPr>
        <w:t>万元,其中，</w:t>
      </w:r>
      <w:bookmarkStart w:id="69"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9"/>
      <w:r>
        <w:rPr>
          <w:rFonts w:hint="eastAsia" w:ascii="仿宋_GB2312" w:eastAsia="仿宋_GB2312"/>
          <w:color w:val="000000" w:themeColor="text1"/>
          <w:sz w:val="32"/>
          <w:szCs w:val="32"/>
        </w:rPr>
        <w:t>，</w:t>
      </w:r>
      <w:bookmarkStart w:id="70" w:name="OLE_LINK41"/>
      <w:bookmarkStart w:id="71"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2</w:t>
      </w:r>
      <w:r>
        <w:rPr>
          <w:rFonts w:hint="eastAsia" w:ascii="仿宋_GB2312" w:eastAsia="仿宋_GB2312"/>
          <w:color w:val="000000" w:themeColor="text1"/>
          <w:sz w:val="32"/>
          <w:szCs w:val="32"/>
        </w:rPr>
        <w:t>万元</w:t>
      </w:r>
      <w:bookmarkEnd w:id="70"/>
      <w:bookmarkEnd w:id="71"/>
      <w:r>
        <w:rPr>
          <w:rFonts w:hint="eastAsia" w:ascii="仿宋_GB2312" w:eastAsia="仿宋_GB2312"/>
          <w:color w:val="000000" w:themeColor="text1"/>
          <w:sz w:val="32"/>
          <w:szCs w:val="32"/>
        </w:rPr>
        <w:t>。主要用于</w:t>
      </w:r>
      <w:r>
        <w:rPr>
          <w:rFonts w:hint="eastAsia" w:ascii="仿宋_GB2312" w:eastAsia="仿宋_GB2312"/>
          <w:sz w:val="32"/>
          <w:szCs w:val="32"/>
          <w:lang w:eastAsia="zh-CN"/>
        </w:rPr>
        <w:t>公务车辆</w:t>
      </w:r>
      <w:r>
        <w:rPr>
          <w:rFonts w:hint="eastAsia" w:ascii="仿宋_GB2312" w:eastAsia="仿宋_GB2312"/>
          <w:sz w:val="32"/>
          <w:szCs w:val="32"/>
        </w:rPr>
        <w:t>油料</w:t>
      </w:r>
      <w:r>
        <w:rPr>
          <w:rFonts w:hint="eastAsia" w:ascii="仿宋_GB2312" w:eastAsia="仿宋_GB2312"/>
          <w:sz w:val="32"/>
          <w:szCs w:val="32"/>
          <w:lang w:eastAsia="zh-CN"/>
        </w:rPr>
        <w:t>费</w:t>
      </w:r>
      <w:r>
        <w:rPr>
          <w:rFonts w:hint="eastAsia" w:ascii="仿宋_GB2312" w:eastAsia="仿宋_GB2312"/>
          <w:sz w:val="32"/>
          <w:szCs w:val="32"/>
        </w:rPr>
        <w:t>、维护费、过路费</w:t>
      </w:r>
      <w:r>
        <w:rPr>
          <w:rFonts w:hint="eastAsia" w:ascii="仿宋_GB2312" w:eastAsia="仿宋_GB2312"/>
          <w:sz w:val="32"/>
          <w:szCs w:val="32"/>
          <w:lang w:eastAsia="zh-CN"/>
        </w:rPr>
        <w:t>、保险费</w:t>
      </w:r>
      <w:r>
        <w:rPr>
          <w:rFonts w:hint="eastAsia" w:ascii="仿宋_GB2312" w:eastAsia="仿宋_GB2312"/>
          <w:sz w:val="32"/>
          <w:szCs w:val="32"/>
        </w:rPr>
        <w:t>支出</w:t>
      </w:r>
      <w:r>
        <w:rPr>
          <w:rFonts w:hint="eastAsia" w:ascii="仿宋_GB2312" w:eastAsia="仿宋_GB2312"/>
          <w:color w:val="000000" w:themeColor="text1"/>
          <w:sz w:val="32"/>
          <w:szCs w:val="32"/>
        </w:rPr>
        <w:t>等。</w:t>
      </w:r>
      <w:bookmarkStart w:id="72" w:name="OLE_LINK82"/>
      <w:bookmarkEnd w:id="68"/>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2"/>
    </w:p>
    <w:p>
      <w:pPr>
        <w:spacing w:line="540" w:lineRule="exact"/>
        <w:ind w:firstLine="640" w:firstLineChars="200"/>
        <w:rPr>
          <w:rFonts w:ascii="仿宋_GB2312" w:eastAsia="仿宋_GB2312"/>
          <w:color w:val="000000" w:themeColor="text1"/>
          <w:sz w:val="32"/>
          <w:szCs w:val="32"/>
        </w:rPr>
      </w:pPr>
      <w:bookmarkStart w:id="73"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w:t>
      </w:r>
      <w:r>
        <w:rPr>
          <w:rFonts w:hint="eastAsia" w:ascii="仿宋_GB2312" w:eastAsia="仿宋_GB2312"/>
          <w:color w:val="000000" w:themeColor="text1"/>
          <w:sz w:val="32"/>
          <w:szCs w:val="32"/>
        </w:rPr>
        <w:t>公务接待费</w:t>
      </w:r>
      <w:r>
        <w:rPr>
          <w:rFonts w:hint="eastAsia" w:ascii="仿宋_GB2312" w:eastAsia="仿宋_GB2312"/>
          <w:sz w:val="32"/>
          <w:szCs w:val="32"/>
        </w:rPr>
        <w:t>支出</w:t>
      </w:r>
      <w:r>
        <w:rPr>
          <w:rFonts w:hint="eastAsia" w:ascii="仿宋_GB2312" w:eastAsia="仿宋_GB2312"/>
          <w:color w:val="000000" w:themeColor="text1"/>
          <w:sz w:val="32"/>
          <w:szCs w:val="32"/>
        </w:rPr>
        <w:t>等。</w:t>
      </w:r>
      <w:bookmarkEnd w:id="73"/>
      <w:bookmarkStart w:id="74" w:name="OLE_LINK84"/>
      <w:r>
        <w:rPr>
          <w:rFonts w:hint="eastAsia" w:ascii="仿宋_GB2312" w:eastAsia="仿宋_GB2312"/>
          <w:sz w:val="32"/>
          <w:szCs w:val="32"/>
        </w:rPr>
        <w:t>新疆喀什地区塔什库尔干县职业技能教育培训服务管理局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4"/>
    </w:p>
    <w:p>
      <w:pPr>
        <w:spacing w:line="540" w:lineRule="exact"/>
        <w:ind w:firstLine="640" w:firstLineChars="200"/>
        <w:rPr>
          <w:rFonts w:ascii="仿宋_GB2312" w:hAnsi="宋体" w:eastAsia="仿宋_GB2312" w:cs="宋体"/>
          <w:color w:val="000000" w:themeColor="text1"/>
          <w:kern w:val="0"/>
          <w:sz w:val="32"/>
          <w:szCs w:val="32"/>
        </w:rPr>
      </w:pPr>
      <w:bookmarkStart w:id="75"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万元，决算数2万元</w:t>
      </w:r>
      <w:r>
        <w:rPr>
          <w:rFonts w:ascii="仿宋_GB2312" w:eastAsia="仿宋_GB2312"/>
          <w:color w:val="000000" w:themeColor="text1"/>
          <w:sz w:val="32"/>
          <w:szCs w:val="32"/>
        </w:rPr>
        <w:t>，预决算差异率0%，差异主要原因是无变化。</w:t>
      </w:r>
      <w:bookmarkEnd w:id="75"/>
      <w:bookmarkStart w:id="76" w:name="OLE_LINK86"/>
      <w:bookmarkStart w:id="77"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，预决算差异率0%，差异主要原因是本单位是2018年新增单位因此无年初对比预算数据；</w:t>
      </w:r>
      <w:bookmarkEnd w:id="76"/>
      <w:bookmarkEnd w:id="77"/>
      <w:bookmarkStart w:id="78" w:name="OLE_LINK88"/>
      <w:bookmarkStart w:id="79"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，预决算差异率0%，差异主要原因是本单位是2018年新增单位因此无年初对比预算数据；</w:t>
      </w:r>
      <w:bookmarkEnd w:id="78"/>
      <w:bookmarkEnd w:id="79"/>
      <w:bookmarkStart w:id="80"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80"/>
      <w:bookmarkStart w:id="81"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1"/>
      <w:r>
        <w:rPr>
          <w:rFonts w:ascii="仿宋_GB2312" w:eastAsia="仿宋_GB2312"/>
          <w:color w:val="000000" w:themeColor="text1"/>
          <w:sz w:val="32"/>
          <w:szCs w:val="32"/>
        </w:rPr>
        <w:t>本单位是2018年新增单位因此无年初对比预算数据。</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新疆喀什地区塔什库尔干县职业技能教育培训服务管理局日常公用经费79.38万元</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与上年相比，</w:t>
      </w:r>
      <w:r>
        <w:rPr>
          <w:rFonts w:hint="eastAsia" w:ascii="仿宋_GB2312" w:eastAsia="仿宋_GB2312"/>
          <w:color w:val="000000" w:themeColor="text1"/>
          <w:sz w:val="32"/>
          <w:szCs w:val="32"/>
          <w:lang w:eastAsia="zh-CN"/>
        </w:rPr>
        <w:t>增加</w:t>
      </w:r>
      <w:r>
        <w:rPr>
          <w:rFonts w:hint="eastAsia" w:ascii="仿宋_GB2312" w:eastAsia="仿宋_GB2312"/>
          <w:color w:val="000000" w:themeColor="text1"/>
          <w:sz w:val="32"/>
          <w:szCs w:val="32"/>
          <w:lang w:val="en-US" w:eastAsia="zh-CN"/>
        </w:rPr>
        <w:t>79.38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rPr>
        <w:t>的主要原因是：由于本单位是2018年新增单位，因此无上年对比数据。</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2" w:name="OLE_LINK45"/>
      <w:r>
        <w:rPr>
          <w:rFonts w:hint="eastAsia" w:ascii="仿宋_GB2312" w:eastAsia="仿宋_GB2312"/>
          <w:color w:val="000000" w:themeColor="text1"/>
          <w:sz w:val="32"/>
          <w:szCs w:val="32"/>
        </w:rPr>
        <w:t>政府采购支出总额</w:t>
      </w:r>
      <w:bookmarkEnd w:id="82"/>
      <w:r>
        <w:rPr>
          <w:rFonts w:hint="eastAsia" w:ascii="仿宋_GB2312" w:eastAsia="仿宋_GB2312"/>
          <w:sz w:val="32"/>
          <w:szCs w:val="32"/>
        </w:rPr>
        <w:t>48.98</w:t>
      </w:r>
      <w:r>
        <w:rPr>
          <w:rFonts w:hint="eastAsia" w:ascii="仿宋_GB2312" w:eastAsia="仿宋_GB2312"/>
          <w:color w:val="000000" w:themeColor="text1"/>
          <w:sz w:val="32"/>
          <w:szCs w:val="32"/>
        </w:rPr>
        <w:t>万元，其中：</w:t>
      </w:r>
      <w:bookmarkStart w:id="83" w:name="OLE_LINK46"/>
      <w:r>
        <w:rPr>
          <w:rFonts w:hint="eastAsia" w:ascii="仿宋_GB2312" w:eastAsia="仿宋_GB2312"/>
          <w:color w:val="000000" w:themeColor="text1"/>
          <w:sz w:val="32"/>
          <w:szCs w:val="32"/>
        </w:rPr>
        <w:t>政府采购货物支出</w:t>
      </w:r>
      <w:bookmarkEnd w:id="83"/>
      <w:r>
        <w:rPr>
          <w:rFonts w:hint="eastAsia" w:ascii="仿宋_GB2312" w:eastAsia="仿宋_GB2312"/>
          <w:sz w:val="32"/>
          <w:szCs w:val="32"/>
        </w:rPr>
        <w:t>48.98</w:t>
      </w:r>
      <w:r>
        <w:rPr>
          <w:rFonts w:hint="eastAsia" w:ascii="仿宋_GB2312" w:eastAsia="仿宋_GB2312"/>
          <w:color w:val="000000" w:themeColor="text1"/>
          <w:sz w:val="32"/>
          <w:szCs w:val="32"/>
        </w:rPr>
        <w:t>万元、</w:t>
      </w:r>
      <w:bookmarkStart w:id="84" w:name="OLE_LINK47"/>
      <w:r>
        <w:rPr>
          <w:rFonts w:hint="eastAsia" w:ascii="仿宋_GB2312" w:eastAsia="仿宋_GB2312"/>
          <w:color w:val="000000" w:themeColor="text1"/>
          <w:sz w:val="32"/>
          <w:szCs w:val="32"/>
        </w:rPr>
        <w:t>政府采购工程支出</w:t>
      </w:r>
      <w:bookmarkEnd w:id="84"/>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5" w:name="OLE_LINK48"/>
      <w:r>
        <w:rPr>
          <w:rFonts w:hint="eastAsia" w:ascii="仿宋_GB2312" w:eastAsia="仿宋_GB2312"/>
          <w:color w:val="000000" w:themeColor="text1"/>
          <w:sz w:val="32"/>
          <w:szCs w:val="32"/>
        </w:rPr>
        <w:t>政府采购服务支出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6"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6"/>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为切实完成对学员的教育工作，落实思想教育是落实总目标的根本之举。特申请购置食品加工设备及技术培训项目，解决培训基地无培训设备、学员边学习边培训的问题以及学员家里的经济困难问题，该项目启动资金</w:t>
      </w:r>
      <w:r>
        <w:rPr>
          <w:rFonts w:hint="eastAsia" w:ascii="仿宋_GB2312" w:eastAsia="仿宋_GB2312"/>
          <w:sz w:val="32"/>
          <w:szCs w:val="32"/>
          <w:lang w:val="en-US" w:eastAsia="zh-CN"/>
        </w:rPr>
        <w:t>34.94</w:t>
      </w:r>
      <w:r>
        <w:rPr>
          <w:rFonts w:ascii="仿宋_GB2312" w:eastAsia="仿宋_GB2312"/>
          <w:sz w:val="32"/>
          <w:szCs w:val="32"/>
        </w:rPr>
        <w:t>万元用于购置食品加工设备250台套，培训30人次，电路改造。此项资金根据财政统一安排，实施国库集中支付，严格按照财政资金审批制度实施执行，实施该项目每天打馕2000个以及其他食品的制作，可以解决全县大部分馕从喀什、疏附县购买的问题，每个馕按照0.5元的纯利润计算，日均1000元，按照每人一天40元计算，可以解决30人就业，其中6名贫困人员，根据3个月运行情况收效明显。</w:t>
      </w:r>
    </w:p>
    <w:p>
      <w:pPr>
        <w:spacing w:line="540" w:lineRule="exact"/>
        <w:ind w:left="-1" w:right="-1" w:firstLine="646"/>
        <w:jc w:val="left"/>
      </w:pPr>
      <w:r>
        <w:rPr>
          <w:rFonts w:ascii="仿宋_GB2312" w:hAnsi="仿宋_GB2312" w:eastAsia="仿宋_GB2312" w:cs="仿宋_GB2312"/>
          <w:b w:val="0"/>
          <w:color w:val="000000"/>
          <w:sz w:val="32"/>
          <w:u w:val="none"/>
        </w:rPr>
        <w:t>食品加工设备及技术培训项目项目绩效自评综述：根据年初设定的绩效目标，该项目绩效自评得分为86分。项目全年预算数为</w:t>
      </w:r>
      <w:r>
        <w:rPr>
          <w:rFonts w:hint="eastAsia" w:ascii="仿宋_GB2312" w:hAnsi="仿宋_GB2312" w:eastAsia="仿宋_GB2312" w:cs="仿宋_GB2312"/>
          <w:b w:val="0"/>
          <w:color w:val="000000"/>
          <w:sz w:val="32"/>
          <w:u w:val="none"/>
          <w:lang w:val="en-US" w:eastAsia="zh-CN"/>
        </w:rPr>
        <w:t>34.94</w:t>
      </w:r>
      <w:r>
        <w:rPr>
          <w:rFonts w:ascii="仿宋_GB2312" w:hAnsi="仿宋_GB2312" w:eastAsia="仿宋_GB2312" w:cs="仿宋_GB2312"/>
          <w:b w:val="0"/>
          <w:color w:val="000000"/>
          <w:sz w:val="32"/>
          <w:u w:val="none"/>
        </w:rPr>
        <w:t>万元，执行数为</w:t>
      </w:r>
      <w:r>
        <w:rPr>
          <w:rFonts w:hint="eastAsia" w:ascii="仿宋_GB2312" w:hAnsi="仿宋_GB2312" w:eastAsia="仿宋_GB2312" w:cs="仿宋_GB2312"/>
          <w:b w:val="0"/>
          <w:color w:val="000000"/>
          <w:sz w:val="32"/>
          <w:u w:val="none"/>
          <w:lang w:val="en-US" w:eastAsia="zh-CN"/>
        </w:rPr>
        <w:t>34.94</w:t>
      </w:r>
      <w:r>
        <w:rPr>
          <w:rFonts w:ascii="仿宋_GB2312" w:hAnsi="仿宋_GB2312" w:eastAsia="仿宋_GB2312" w:cs="仿宋_GB2312"/>
          <w:b w:val="0"/>
          <w:color w:val="000000"/>
          <w:sz w:val="32"/>
          <w:u w:val="none"/>
        </w:rPr>
        <w:t>万元，完成预算的</w:t>
      </w:r>
      <w:r>
        <w:rPr>
          <w:rFonts w:hint="eastAsia" w:ascii="仿宋_GB2312" w:hAnsi="仿宋_GB2312" w:eastAsia="仿宋_GB2312" w:cs="仿宋_GB2312"/>
          <w:b w:val="0"/>
          <w:color w:val="000000"/>
          <w:sz w:val="32"/>
          <w:u w:val="none"/>
          <w:lang w:val="en-US" w:eastAsia="zh-CN"/>
        </w:rPr>
        <w:t>100</w:t>
      </w:r>
      <w:r>
        <w:rPr>
          <w:rFonts w:ascii="仿宋_GB2312" w:hAnsi="仿宋_GB2312" w:eastAsia="仿宋_GB2312" w:cs="仿宋_GB2312"/>
          <w:b w:val="0"/>
          <w:color w:val="000000"/>
          <w:sz w:val="32"/>
          <w:u w:val="none"/>
        </w:rPr>
        <w:t>%。主要产出和效果：购置食品加工设备250台套，技术培训30人，解决学员就业人数达30人，其中6名贫困人员</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发现的问题及原因：设备食品设备运转时人员拥挤，原因是实训基地面积小</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下一步改进措施：根据该项目的运行收益情况，积极筹措食品加工设备运转资金收入，按照单位实际、项目运转情况合理规划改扩建实训基地</w:t>
      </w:r>
      <w:r>
        <w:rPr>
          <w:rFonts w:hint="eastAsia" w:ascii="仿宋_GB2312" w:hAnsi="仿宋_GB2312" w:eastAsia="仿宋_GB2312" w:cs="仿宋_GB2312"/>
          <w:b w:val="0"/>
          <w:color w:val="000000"/>
          <w:sz w:val="32"/>
          <w:u w:val="none"/>
          <w:lang w:eastAsia="zh-CN"/>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204（类）99（款）01（项）指：其他公共安全支出。213（类）05（款）05（项）指：生产发展。221（类）02（款）01（项）指：住房公积金。208（类）05（款）05（项）指：机关事业单位基本养老保险缴费支出。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p>
      <w:pPr>
        <w:spacing w:line="540" w:lineRule="exact"/>
        <w:rPr>
          <w:rFonts w:ascii="仿宋_GB2312" w:eastAsia="仿宋_GB2312"/>
          <w:sz w:val="32"/>
          <w:szCs w:val="32"/>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C84EEB"/>
    <w:rsid w:val="028847F9"/>
    <w:rsid w:val="03AA79F6"/>
    <w:rsid w:val="03C761B3"/>
    <w:rsid w:val="04741FE5"/>
    <w:rsid w:val="047D21AC"/>
    <w:rsid w:val="04A67D47"/>
    <w:rsid w:val="04DB02C7"/>
    <w:rsid w:val="05AB5422"/>
    <w:rsid w:val="05B1267F"/>
    <w:rsid w:val="06B856EE"/>
    <w:rsid w:val="07CC57E2"/>
    <w:rsid w:val="07EF160B"/>
    <w:rsid w:val="07FE5938"/>
    <w:rsid w:val="084604BC"/>
    <w:rsid w:val="08883825"/>
    <w:rsid w:val="08C2054B"/>
    <w:rsid w:val="093D5744"/>
    <w:rsid w:val="09725983"/>
    <w:rsid w:val="09DE76FA"/>
    <w:rsid w:val="0A0D03D0"/>
    <w:rsid w:val="0A382BB5"/>
    <w:rsid w:val="0AA4543A"/>
    <w:rsid w:val="0BCE659A"/>
    <w:rsid w:val="0BE61132"/>
    <w:rsid w:val="0BE719AB"/>
    <w:rsid w:val="0C9B0DD6"/>
    <w:rsid w:val="0CD11A05"/>
    <w:rsid w:val="0CE4791C"/>
    <w:rsid w:val="0E063C64"/>
    <w:rsid w:val="0F4C7B96"/>
    <w:rsid w:val="0FAB7364"/>
    <w:rsid w:val="0FFB575E"/>
    <w:rsid w:val="10845F1B"/>
    <w:rsid w:val="11463A00"/>
    <w:rsid w:val="11600918"/>
    <w:rsid w:val="11B0398F"/>
    <w:rsid w:val="11C00048"/>
    <w:rsid w:val="13001B90"/>
    <w:rsid w:val="13B960C5"/>
    <w:rsid w:val="14F67D89"/>
    <w:rsid w:val="152777F4"/>
    <w:rsid w:val="152C66A1"/>
    <w:rsid w:val="15C674B6"/>
    <w:rsid w:val="15DB73E8"/>
    <w:rsid w:val="16370B4F"/>
    <w:rsid w:val="16394CB8"/>
    <w:rsid w:val="16927A43"/>
    <w:rsid w:val="177E5399"/>
    <w:rsid w:val="18D54A0D"/>
    <w:rsid w:val="19AE27FA"/>
    <w:rsid w:val="1A4106A0"/>
    <w:rsid w:val="1A4F5437"/>
    <w:rsid w:val="1AB77CD0"/>
    <w:rsid w:val="1C9454AC"/>
    <w:rsid w:val="1CC454C6"/>
    <w:rsid w:val="1D3361FB"/>
    <w:rsid w:val="1D88553D"/>
    <w:rsid w:val="1DC20819"/>
    <w:rsid w:val="1E807156"/>
    <w:rsid w:val="1EA657F6"/>
    <w:rsid w:val="1F097CB6"/>
    <w:rsid w:val="1FA80000"/>
    <w:rsid w:val="206D1D72"/>
    <w:rsid w:val="2166156B"/>
    <w:rsid w:val="21B02D83"/>
    <w:rsid w:val="22152534"/>
    <w:rsid w:val="22A236F5"/>
    <w:rsid w:val="22A70861"/>
    <w:rsid w:val="22E82DFF"/>
    <w:rsid w:val="23995975"/>
    <w:rsid w:val="241E3D05"/>
    <w:rsid w:val="2432220E"/>
    <w:rsid w:val="24692550"/>
    <w:rsid w:val="248303BA"/>
    <w:rsid w:val="24837E47"/>
    <w:rsid w:val="252E01AA"/>
    <w:rsid w:val="25332C9F"/>
    <w:rsid w:val="2680023E"/>
    <w:rsid w:val="29680352"/>
    <w:rsid w:val="298F441B"/>
    <w:rsid w:val="2A020F75"/>
    <w:rsid w:val="2A7F0FEE"/>
    <w:rsid w:val="2B007AEE"/>
    <w:rsid w:val="2BC14C56"/>
    <w:rsid w:val="2C1B026F"/>
    <w:rsid w:val="2C655DA7"/>
    <w:rsid w:val="2C6E352D"/>
    <w:rsid w:val="2CC61F55"/>
    <w:rsid w:val="2EF7452F"/>
    <w:rsid w:val="2F1D13B4"/>
    <w:rsid w:val="2FAA3DA6"/>
    <w:rsid w:val="2FF97485"/>
    <w:rsid w:val="30682E1F"/>
    <w:rsid w:val="30E210D2"/>
    <w:rsid w:val="311371D6"/>
    <w:rsid w:val="31596E89"/>
    <w:rsid w:val="31EB64C9"/>
    <w:rsid w:val="32005FAA"/>
    <w:rsid w:val="3360109B"/>
    <w:rsid w:val="336D0D6F"/>
    <w:rsid w:val="352E4BEC"/>
    <w:rsid w:val="37B84F4C"/>
    <w:rsid w:val="37DD5594"/>
    <w:rsid w:val="38F24FA8"/>
    <w:rsid w:val="392C2838"/>
    <w:rsid w:val="3968700B"/>
    <w:rsid w:val="3A492E15"/>
    <w:rsid w:val="3A98342A"/>
    <w:rsid w:val="3AAE6DD8"/>
    <w:rsid w:val="3AB6780E"/>
    <w:rsid w:val="3AD56D70"/>
    <w:rsid w:val="3B2920C2"/>
    <w:rsid w:val="3BE41ABD"/>
    <w:rsid w:val="3C5421A9"/>
    <w:rsid w:val="3D2A03F2"/>
    <w:rsid w:val="3D347FDC"/>
    <w:rsid w:val="3D8E1044"/>
    <w:rsid w:val="3D903B21"/>
    <w:rsid w:val="3DBB26C4"/>
    <w:rsid w:val="3F440741"/>
    <w:rsid w:val="3F471435"/>
    <w:rsid w:val="3F4D344D"/>
    <w:rsid w:val="3FDF625F"/>
    <w:rsid w:val="41FC306C"/>
    <w:rsid w:val="43322774"/>
    <w:rsid w:val="44BE5554"/>
    <w:rsid w:val="450D41B5"/>
    <w:rsid w:val="451E0908"/>
    <w:rsid w:val="452C2D31"/>
    <w:rsid w:val="45830E16"/>
    <w:rsid w:val="45D26E14"/>
    <w:rsid w:val="466A6911"/>
    <w:rsid w:val="46A541B1"/>
    <w:rsid w:val="48C57772"/>
    <w:rsid w:val="48FC5F61"/>
    <w:rsid w:val="49782886"/>
    <w:rsid w:val="4A6F0D28"/>
    <w:rsid w:val="4A7214C1"/>
    <w:rsid w:val="4A9C71AF"/>
    <w:rsid w:val="4AAF085C"/>
    <w:rsid w:val="4AEB7E60"/>
    <w:rsid w:val="4B4B135B"/>
    <w:rsid w:val="4BC7055F"/>
    <w:rsid w:val="4CFC7DB2"/>
    <w:rsid w:val="4E7C187D"/>
    <w:rsid w:val="508941AD"/>
    <w:rsid w:val="50BB4326"/>
    <w:rsid w:val="50E65530"/>
    <w:rsid w:val="51457139"/>
    <w:rsid w:val="51574DBD"/>
    <w:rsid w:val="516C527C"/>
    <w:rsid w:val="51EC1DA8"/>
    <w:rsid w:val="52FC5524"/>
    <w:rsid w:val="53291FE8"/>
    <w:rsid w:val="532D7A17"/>
    <w:rsid w:val="54AF4562"/>
    <w:rsid w:val="54C9674B"/>
    <w:rsid w:val="551942B8"/>
    <w:rsid w:val="553E6CAC"/>
    <w:rsid w:val="55414937"/>
    <w:rsid w:val="556318EA"/>
    <w:rsid w:val="55A60AA1"/>
    <w:rsid w:val="56451615"/>
    <w:rsid w:val="573141FC"/>
    <w:rsid w:val="57FC5774"/>
    <w:rsid w:val="58EB2944"/>
    <w:rsid w:val="59B332C9"/>
    <w:rsid w:val="59D42108"/>
    <w:rsid w:val="5A44758A"/>
    <w:rsid w:val="5A824FD5"/>
    <w:rsid w:val="5A9C63D3"/>
    <w:rsid w:val="5B475354"/>
    <w:rsid w:val="5BEC4BB3"/>
    <w:rsid w:val="5C070B55"/>
    <w:rsid w:val="5CB96DCE"/>
    <w:rsid w:val="5CD46F30"/>
    <w:rsid w:val="5CE61580"/>
    <w:rsid w:val="5D175666"/>
    <w:rsid w:val="5D556A3C"/>
    <w:rsid w:val="5D7B25C9"/>
    <w:rsid w:val="5ECB44B4"/>
    <w:rsid w:val="5ED85C4B"/>
    <w:rsid w:val="5EE2043C"/>
    <w:rsid w:val="602D2E37"/>
    <w:rsid w:val="61460FBE"/>
    <w:rsid w:val="6176702D"/>
    <w:rsid w:val="61FF7D91"/>
    <w:rsid w:val="626103A6"/>
    <w:rsid w:val="62775810"/>
    <w:rsid w:val="62D83744"/>
    <w:rsid w:val="630F4048"/>
    <w:rsid w:val="63AA02E5"/>
    <w:rsid w:val="63D67D0C"/>
    <w:rsid w:val="64700DE9"/>
    <w:rsid w:val="65C613BD"/>
    <w:rsid w:val="65FD118C"/>
    <w:rsid w:val="666C4B19"/>
    <w:rsid w:val="682C3D89"/>
    <w:rsid w:val="68611305"/>
    <w:rsid w:val="690E26A0"/>
    <w:rsid w:val="694A716C"/>
    <w:rsid w:val="6A162DE0"/>
    <w:rsid w:val="6A331428"/>
    <w:rsid w:val="6A3D1C57"/>
    <w:rsid w:val="6B2E5CB6"/>
    <w:rsid w:val="6B3D4886"/>
    <w:rsid w:val="6C7262C1"/>
    <w:rsid w:val="6D217916"/>
    <w:rsid w:val="6D6F68C8"/>
    <w:rsid w:val="6DF8675E"/>
    <w:rsid w:val="6E432F05"/>
    <w:rsid w:val="6E961BCC"/>
    <w:rsid w:val="6EA80098"/>
    <w:rsid w:val="6F8D70FF"/>
    <w:rsid w:val="6FFE5011"/>
    <w:rsid w:val="7178734D"/>
    <w:rsid w:val="71791096"/>
    <w:rsid w:val="717B0C34"/>
    <w:rsid w:val="71FB78FD"/>
    <w:rsid w:val="7275064A"/>
    <w:rsid w:val="72967F64"/>
    <w:rsid w:val="72A610F0"/>
    <w:rsid w:val="733F750B"/>
    <w:rsid w:val="735702E2"/>
    <w:rsid w:val="73607094"/>
    <w:rsid w:val="765F635A"/>
    <w:rsid w:val="76B73454"/>
    <w:rsid w:val="76D254BD"/>
    <w:rsid w:val="77727ACD"/>
    <w:rsid w:val="77F2690E"/>
    <w:rsid w:val="78071142"/>
    <w:rsid w:val="78DE67BE"/>
    <w:rsid w:val="79296B37"/>
    <w:rsid w:val="7A4C4C40"/>
    <w:rsid w:val="7AA0518E"/>
    <w:rsid w:val="7B041636"/>
    <w:rsid w:val="7B6C4852"/>
    <w:rsid w:val="7C7E36A5"/>
    <w:rsid w:val="7CA46621"/>
    <w:rsid w:val="7CA86749"/>
    <w:rsid w:val="7E19405A"/>
    <w:rsid w:val="7E470837"/>
    <w:rsid w:val="7E4C003B"/>
    <w:rsid w:val="7E7E5162"/>
    <w:rsid w:val="7E9957F8"/>
    <w:rsid w:val="7EC92370"/>
    <w:rsid w:val="7F2238BD"/>
    <w:rsid w:val="7FCD1A3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ScaleCrop>false</ScaleCrop>
  <LinksUpToDate>false</LinksUpToDate>
  <CharactersWithSpaces>7696</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2019-10-24T02:43:41Z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