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2018年度新疆喀什地区塔什库尔干县人民政府办公室部门决算公开说明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lang w:val="en-US" w:eastAsia="zh-CN"/>
        </w:rPr>
        <w:t>塔什库尔干</w:t>
      </w:r>
      <w:r>
        <w:rPr>
          <w:rFonts w:hint="eastAsia" w:ascii="仿宋_GB2312" w:eastAsia="仿宋_GB2312"/>
          <w:sz w:val="32"/>
          <w:szCs w:val="32"/>
        </w:rPr>
        <w:t>县</w:t>
      </w:r>
      <w:r>
        <w:rPr>
          <w:rFonts w:hint="eastAsia" w:ascii="仿宋_GB2312" w:eastAsia="仿宋_GB2312"/>
          <w:sz w:val="32"/>
          <w:szCs w:val="32"/>
          <w:lang w:val="en-US" w:eastAsia="zh-CN"/>
        </w:rPr>
        <w:t>人民</w:t>
      </w:r>
      <w:r>
        <w:rPr>
          <w:rFonts w:hint="eastAsia" w:ascii="仿宋_GB2312" w:eastAsia="仿宋_GB2312"/>
          <w:sz w:val="32"/>
          <w:szCs w:val="32"/>
        </w:rPr>
        <w:t>政府办公室是</w:t>
      </w:r>
      <w:r>
        <w:rPr>
          <w:rFonts w:hint="eastAsia" w:ascii="仿宋_GB2312" w:eastAsia="仿宋_GB2312"/>
          <w:sz w:val="32"/>
          <w:szCs w:val="32"/>
          <w:lang w:val="en-US" w:eastAsia="zh-CN"/>
        </w:rPr>
        <w:t>塔什库尔干</w:t>
      </w:r>
      <w:r>
        <w:rPr>
          <w:rFonts w:hint="eastAsia" w:ascii="仿宋_GB2312" w:eastAsia="仿宋_GB2312"/>
          <w:sz w:val="32"/>
          <w:szCs w:val="32"/>
        </w:rPr>
        <w:t>县人民政府的办事机构，协助政府领导同志处理政府日常工作，根据以上职能调整，在确保完成各项协调任务的基础上，加强审核把关，督查落实和跟踪调研职能，归口管理应急管理办公室，法制办公室，安居办公室，信访局、驻喀办事处。</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新疆喀什地区塔什库尔干县人民政府办公室</w:t>
      </w:r>
      <w:r>
        <w:rPr>
          <w:rFonts w:hint="eastAsia" w:ascii="仿宋_GB2312" w:eastAsia="仿宋_GB2312"/>
          <w:sz w:val="32"/>
          <w:szCs w:val="32"/>
        </w:rPr>
        <w:t>部门决算包括：</w:t>
      </w:r>
      <w:r>
        <w:rPr>
          <w:rFonts w:ascii="仿宋_GB2312" w:eastAsia="仿宋_GB2312"/>
          <w:sz w:val="32"/>
          <w:szCs w:val="32"/>
        </w:rPr>
        <w:t>新疆喀什地区塔什库尔干县人民政府办公室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新疆喀什地区塔什库尔干县人民政府办公室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新疆喀什地区塔什库尔干县人民政府办公室</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hint="eastAsia" w:ascii="仿宋_GB2312" w:hAnsi="Calibri" w:eastAsia="仿宋_GB2312"/>
          <w:color w:val="000000" w:themeColor="text1"/>
          <w:sz w:val="32"/>
          <w:szCs w:val="32"/>
          <w:lang w:val="en-US" w:eastAsia="zh-CN"/>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3,435.61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，与上年相比，减少3,554.85万元，下降50.85%，减少的主要原因是：</w:t>
      </w:r>
      <w:r>
        <w:rPr>
          <w:rFonts w:hint="eastAsia" w:ascii="仿宋_GB2312" w:eastAsia="仿宋_GB2312"/>
          <w:color w:val="000000" w:themeColor="text1"/>
          <w:sz w:val="32"/>
          <w:szCs w:val="32"/>
        </w:rPr>
        <w:t>信访局和办事处2018年开始独立核算，独立申报决算报表，2017年安居富民房和小城镇项目专项资金投资量大，2018年安居富民项目已完成、小城镇项目专项资金减少；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3,435.61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，与上年相比，减少3,554.85万元，下降50.85%，减少的主要原因是：</w:t>
      </w:r>
      <w:r>
        <w:rPr>
          <w:rFonts w:hint="eastAsia" w:ascii="仿宋_GB2312" w:eastAsia="仿宋_GB2312"/>
          <w:color w:val="000000" w:themeColor="text1"/>
          <w:sz w:val="32"/>
          <w:szCs w:val="32"/>
        </w:rPr>
        <w:t>信访局和办事处2018年开始独立核算，独立申报决算报表，2017年安居富民房和小城镇项目专项资金投资量大，2018年安居富民项目已完成、小城镇项目专项资金减少；</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3,435.61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3,435.61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况：本年收入年初预算数965.51万元</w:t>
      </w:r>
      <w:r>
        <w:rPr>
          <w:rFonts w:hint="eastAsia" w:ascii="仿宋_GB2312" w:eastAsia="仿宋_GB2312"/>
          <w:sz w:val="32"/>
          <w:szCs w:val="32"/>
        </w:rPr>
        <w:t>，决算数3,435.61万元</w:t>
      </w:r>
      <w:r>
        <w:rPr>
          <w:rFonts w:ascii="仿宋_GB2312" w:eastAsia="仿宋_GB2312"/>
          <w:sz w:val="32"/>
          <w:szCs w:val="32"/>
        </w:rPr>
        <w:t>，预决算差异率255.83%，差异主要原因是政策性调资增加，2018年艰苦边远地区津贴调标，基本工资调标，高海拔地区工龄工资</w:t>
      </w:r>
      <w:r>
        <w:rPr>
          <w:rFonts w:hint="eastAsia" w:ascii="仿宋_GB2312" w:eastAsia="仿宋_GB2312"/>
          <w:sz w:val="32"/>
          <w:szCs w:val="32"/>
          <w:lang w:val="en-US" w:eastAsia="zh-CN"/>
        </w:rPr>
        <w:t>调资及</w:t>
      </w:r>
      <w:r>
        <w:rPr>
          <w:rFonts w:ascii="仿宋_GB2312" w:eastAsia="仿宋_GB2312"/>
          <w:sz w:val="32"/>
          <w:szCs w:val="32"/>
        </w:rPr>
        <w:t>补发，2018年坡屋顶改造项目和整治环境项目未纳入年初预算导致财政拨款收入较预算数增加。</w:t>
      </w:r>
      <w:bookmarkEnd w:id="15"/>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（三）部门支出总体情况说明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3,435.61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1,009.59</w:t>
      </w:r>
      <w:r>
        <w:rPr>
          <w:rFonts w:hint="eastAsia" w:ascii="仿宋_GB2312" w:eastAsia="仿宋_GB2312"/>
          <w:color w:val="000000" w:themeColor="text1"/>
          <w:sz w:val="32"/>
          <w:szCs w:val="32"/>
        </w:rPr>
        <w:t>万元，占</w:t>
      </w:r>
      <w:r>
        <w:rPr>
          <w:rFonts w:hint="eastAsia" w:ascii="仿宋_GB2312" w:eastAsia="仿宋_GB2312"/>
          <w:sz w:val="32"/>
          <w:szCs w:val="32"/>
        </w:rPr>
        <w:t>29.39%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2,426.03</w:t>
      </w:r>
      <w:r>
        <w:rPr>
          <w:rFonts w:hint="eastAsia" w:ascii="仿宋_GB2312" w:eastAsia="仿宋_GB2312"/>
          <w:color w:val="000000" w:themeColor="text1"/>
          <w:sz w:val="32"/>
          <w:szCs w:val="32"/>
        </w:rPr>
        <w:t>万元，占</w:t>
      </w:r>
      <w:r>
        <w:rPr>
          <w:rFonts w:hint="eastAsia" w:ascii="仿宋_GB2312" w:eastAsia="仿宋_GB2312"/>
          <w:sz w:val="32"/>
          <w:szCs w:val="32"/>
        </w:rPr>
        <w:t>70.61%</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与年初预算数相比情况：本年支出年初预算数965.51万元，</w:t>
      </w:r>
      <w:r>
        <w:rPr>
          <w:rFonts w:hint="eastAsia" w:ascii="仿宋_GB2312" w:eastAsia="仿宋_GB2312"/>
          <w:sz w:val="32"/>
          <w:szCs w:val="32"/>
        </w:rPr>
        <w:t>决算数3,435.61万元</w:t>
      </w:r>
      <w:r>
        <w:rPr>
          <w:rFonts w:ascii="仿宋_GB2312" w:eastAsia="仿宋_GB2312"/>
          <w:sz w:val="32"/>
          <w:szCs w:val="32"/>
        </w:rPr>
        <w:t>，预决算差异率255.83%，差异主要原因是</w:t>
      </w:r>
      <w:bookmarkEnd w:id="22"/>
      <w:r>
        <w:rPr>
          <w:rFonts w:ascii="仿宋_GB2312" w:eastAsia="仿宋_GB2312"/>
          <w:sz w:val="32"/>
          <w:szCs w:val="32"/>
        </w:rPr>
        <w:t>政策性调资增加，2018年艰苦边远地区津贴调标，基本工资调标，高海拔地区工龄工资</w:t>
      </w:r>
      <w:r>
        <w:rPr>
          <w:rFonts w:hint="eastAsia" w:ascii="仿宋_GB2312" w:eastAsia="仿宋_GB2312"/>
          <w:sz w:val="32"/>
          <w:szCs w:val="32"/>
          <w:lang w:val="en-US" w:eastAsia="zh-CN"/>
        </w:rPr>
        <w:t>调资及</w:t>
      </w:r>
      <w:r>
        <w:rPr>
          <w:rFonts w:ascii="仿宋_GB2312" w:eastAsia="仿宋_GB2312"/>
          <w:sz w:val="32"/>
          <w:szCs w:val="32"/>
        </w:rPr>
        <w:t>补发，2018年坡屋顶改造项目和整治环境项目未纳入年初预算导致财政拨款收入较预算数增加。</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二、部门财政拨款收支情况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3,435.61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3,554.85万元，下降50.85%，减少的主要原因是：信访局和办事处2018年开始独立核算，独立申报决算报表，2017年安居富民房和小城镇项目专项资金投资量大，2018年安居富民项目已完成、小城镇项目专项资金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3,435.61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，与上年相比，减少3,554.85万元，下降50.85%，减少的主要原因是：</w:t>
      </w:r>
      <w:r>
        <w:rPr>
          <w:rFonts w:ascii="仿宋_GB2312" w:eastAsia="仿宋_GB2312"/>
          <w:sz w:val="32"/>
          <w:szCs w:val="32"/>
        </w:rPr>
        <w:t>信访局和办事处2018年开始独立核算，独立申报决算报表，2017年安居富民房和小城镇项目专项资金投资量大，2018年安居富民项目已完成、小城镇项目专项资金减少。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1,009.59</w:t>
      </w:r>
      <w:r>
        <w:rPr>
          <w:rFonts w:hint="eastAsia" w:ascii="仿宋_GB2312" w:eastAsia="仿宋_GB2312"/>
          <w:color w:val="000000" w:themeColor="text1"/>
          <w:sz w:val="32"/>
          <w:szCs w:val="32"/>
        </w:rPr>
        <w:t>万元，项目支出</w:t>
      </w:r>
      <w:r>
        <w:rPr>
          <w:rFonts w:hint="eastAsia" w:ascii="仿宋_GB2312" w:eastAsia="仿宋_GB2312"/>
          <w:sz w:val="32"/>
          <w:szCs w:val="32"/>
        </w:rPr>
        <w:t>2,426.03</w:t>
      </w:r>
      <w:r>
        <w:rPr>
          <w:rFonts w:hint="eastAsia" w:ascii="仿宋_GB2312" w:eastAsia="仿宋_GB2312"/>
          <w:color w:val="000000" w:themeColor="text1"/>
          <w:sz w:val="32"/>
          <w:szCs w:val="32"/>
        </w:rPr>
        <w:t>万元。</w:t>
      </w:r>
      <w:bookmarkEnd w:id="29"/>
      <w:bookmarkStart w:id="31" w:name="OLE_LINK16"/>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965.51</w:t>
      </w:r>
      <w:r>
        <w:rPr>
          <w:rFonts w:hint="eastAsia" w:ascii="仿宋_GB2312" w:eastAsia="仿宋_GB2312"/>
          <w:color w:val="000000" w:themeColor="text1"/>
          <w:sz w:val="32"/>
          <w:szCs w:val="32"/>
        </w:rPr>
        <w:t>万元，决算数</w:t>
      </w:r>
      <w:r>
        <w:rPr>
          <w:rFonts w:hint="eastAsia" w:ascii="仿宋_GB2312" w:eastAsia="仿宋_GB2312"/>
          <w:sz w:val="32"/>
          <w:szCs w:val="32"/>
        </w:rPr>
        <w:t>3,435.61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，预决算差异率255.83%，差异主要原因是</w:t>
      </w:r>
      <w:r>
        <w:rPr>
          <w:rFonts w:ascii="仿宋_GB2312" w:eastAsia="仿宋_GB2312"/>
          <w:sz w:val="32"/>
          <w:szCs w:val="32"/>
        </w:rPr>
        <w:t>政策性调资增加，2018年艰苦边远地区津贴调标，基本工资调标，高海拔地区工龄工资</w:t>
      </w:r>
      <w:r>
        <w:rPr>
          <w:rFonts w:hint="eastAsia" w:ascii="仿宋_GB2312" w:eastAsia="仿宋_GB2312"/>
          <w:sz w:val="32"/>
          <w:szCs w:val="32"/>
          <w:lang w:val="en-US" w:eastAsia="zh-CN"/>
        </w:rPr>
        <w:t>调资及</w:t>
      </w:r>
      <w:r>
        <w:rPr>
          <w:rFonts w:ascii="仿宋_GB2312" w:eastAsia="仿宋_GB2312"/>
          <w:sz w:val="32"/>
          <w:szCs w:val="32"/>
        </w:rPr>
        <w:t>补发，2018年坡屋顶改造项目和整治环境项目未纳入年初预算导致财政拨款收入较预算数增加</w:t>
      </w:r>
      <w:r>
        <w:rPr>
          <w:rFonts w:ascii="仿宋_GB2312" w:eastAsia="仿宋_GB2312"/>
          <w:color w:val="000000" w:themeColor="text1"/>
          <w:sz w:val="32"/>
          <w:szCs w:val="32"/>
        </w:rPr>
        <w:t>。</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965.51</w:t>
      </w:r>
      <w:r>
        <w:rPr>
          <w:rFonts w:hint="eastAsia" w:ascii="仿宋_GB2312" w:eastAsia="仿宋_GB2312"/>
          <w:color w:val="000000" w:themeColor="text1"/>
          <w:sz w:val="32"/>
          <w:szCs w:val="32"/>
        </w:rPr>
        <w:t>万元，决算数</w:t>
      </w:r>
      <w:r>
        <w:rPr>
          <w:rFonts w:hint="eastAsia" w:ascii="仿宋_GB2312" w:eastAsia="仿宋_GB2312"/>
          <w:sz w:val="32"/>
          <w:szCs w:val="32"/>
        </w:rPr>
        <w:t>3,435.61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，预决算差异率255.83%，差异主要原因是</w:t>
      </w:r>
      <w:bookmarkEnd w:id="33"/>
      <w:r>
        <w:rPr>
          <w:rFonts w:ascii="仿宋_GB2312" w:eastAsia="仿宋_GB2312"/>
          <w:sz w:val="32"/>
          <w:szCs w:val="32"/>
        </w:rPr>
        <w:t>政策性调资增加，2018年艰苦边远地区津贴调标，基本工资调标，高海拔地区工龄工资</w:t>
      </w:r>
      <w:r>
        <w:rPr>
          <w:rFonts w:hint="eastAsia" w:ascii="仿宋_GB2312" w:eastAsia="仿宋_GB2312"/>
          <w:sz w:val="32"/>
          <w:szCs w:val="32"/>
          <w:lang w:val="en-US" w:eastAsia="zh-CN"/>
        </w:rPr>
        <w:t>调资及</w:t>
      </w:r>
      <w:r>
        <w:rPr>
          <w:rFonts w:ascii="仿宋_GB2312" w:eastAsia="仿宋_GB2312"/>
          <w:sz w:val="32"/>
          <w:szCs w:val="32"/>
        </w:rPr>
        <w:t>补发，2018年坡屋顶改造项目和整治环境项目未纳入年初预算导致财政拨款收入较预算数增加。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3,435.61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3,554.85万元，下降50.85%，减少的主要原因是：信访局和办事处2018年开始独立核算，独立申报决算报表，2017年安居富民房和小城镇项目建设资金投资量大，2018年安居富民项目和小城镇项目专项资金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3,435.61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3,554.85万元，下降50.85%，减少的主要原因是：信访局和办事处2018年开始独立核算，独立申报决算报表，2017年安居富民房和小城镇项目建设资金投资量大，2018年安居富民项目和小城镇项目专项资金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国土海洋气象等支出20万元,住房保障支出1,764.32万元,一般公共服务支出922.53万元,城乡社区支出112万元,农林水支出565.08万元,社会保障和就业支出51.68万元。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工资福利支出587.18万元,商品和服务支出236.13万元,对个人和家庭的补助206.28万元,资本性支出（基本建设）2,406.03万元。</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965.51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3,435.61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，预决算差异率255.83%，差异主要原因是</w:t>
      </w:r>
      <w:bookmarkEnd w:id="41"/>
      <w:bookmarkEnd w:id="42"/>
      <w:bookmarkStart w:id="43" w:name="OLE_LINK68"/>
      <w:r>
        <w:rPr>
          <w:rFonts w:ascii="仿宋_GB2312" w:eastAsia="仿宋_GB2312"/>
          <w:sz w:val="32"/>
          <w:szCs w:val="32"/>
        </w:rPr>
        <w:t>政策性调资增加，2018年艰苦边远地区津贴调标，基本工资调标，高海拔地区工龄工资</w:t>
      </w:r>
      <w:r>
        <w:rPr>
          <w:rFonts w:hint="eastAsia" w:ascii="仿宋_GB2312" w:eastAsia="仿宋_GB2312"/>
          <w:sz w:val="32"/>
          <w:szCs w:val="32"/>
          <w:lang w:val="en-US" w:eastAsia="zh-CN"/>
        </w:rPr>
        <w:t>调资及</w:t>
      </w:r>
      <w:r>
        <w:rPr>
          <w:rFonts w:ascii="仿宋_GB2312" w:eastAsia="仿宋_GB2312"/>
          <w:sz w:val="32"/>
          <w:szCs w:val="32"/>
        </w:rPr>
        <w:t>补发，2018年坡屋顶改造项目和整治环境项目未纳入年初预算导致财政拨款收入较预算数增加。</w:t>
      </w:r>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965.51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3,435.61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，预决算差异率255.83%，差异主要原因是</w:t>
      </w:r>
      <w:bookmarkEnd w:id="43"/>
      <w:r>
        <w:rPr>
          <w:rFonts w:ascii="仿宋_GB2312" w:eastAsia="仿宋_GB2312"/>
          <w:sz w:val="32"/>
          <w:szCs w:val="32"/>
        </w:rPr>
        <w:t>政策性调资增加，2018年艰苦边远地区津贴调标，基本工资调标，高海拔地区工龄工资</w:t>
      </w:r>
      <w:r>
        <w:rPr>
          <w:rFonts w:hint="eastAsia" w:ascii="仿宋_GB2312" w:eastAsia="仿宋_GB2312"/>
          <w:sz w:val="32"/>
          <w:szCs w:val="32"/>
          <w:lang w:val="en-US" w:eastAsia="zh-CN"/>
        </w:rPr>
        <w:t>调资及</w:t>
      </w:r>
      <w:r>
        <w:rPr>
          <w:rFonts w:ascii="仿宋_GB2312" w:eastAsia="仿宋_GB2312"/>
          <w:sz w:val="32"/>
          <w:szCs w:val="32"/>
        </w:rPr>
        <w:t>补发，2018年坡屋顶改造项目和整治环境项目未纳入年初预算导致财政拨款收入较预算数增加。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sz w:val="32"/>
          <w:szCs w:val="32"/>
        </w:rPr>
        <w:t>52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，与上年相比，增加3.9万元，增长8.11%，增加的主要原因是：领导下乡督促检查工作频繁，又因车辆使用年限较长导致公务用车维护维修费大幅增加。</w:t>
      </w:r>
      <w:bookmarkEnd w:id="52"/>
      <w:bookmarkStart w:id="54" w:name="OLE_LINK75"/>
      <w:r>
        <w:rPr>
          <w:rFonts w:hint="eastAsia" w:ascii="仿宋_GB2312" w:eastAsia="仿宋_GB2312"/>
          <w:color w:val="000000" w:themeColor="text1"/>
          <w:sz w:val="32"/>
          <w:szCs w:val="32"/>
        </w:rPr>
        <w:t>其中，</w:t>
      </w:r>
      <w:bookmarkStart w:id="55" w:name="OLE_LINK30"/>
      <w:r>
        <w:rPr>
          <w:rFonts w:hint="eastAsia" w:ascii="仿宋_GB2312" w:eastAsia="仿宋_GB2312"/>
          <w:color w:val="000000" w:themeColor="text1"/>
          <w:sz w:val="32"/>
          <w:szCs w:val="32"/>
        </w:rPr>
        <w:t>因公出国（境）费支出</w:t>
      </w:r>
      <w:bookmarkEnd w:id="55"/>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bookmarkEnd w:id="54"/>
      <w:bookmarkStart w:id="56" w:name="OLE_LINK31"/>
      <w:bookmarkStart w:id="57" w:name="OLE_LINK76"/>
      <w:r>
        <w:rPr>
          <w:rFonts w:hint="eastAsia" w:ascii="仿宋_GB2312" w:eastAsia="仿宋_GB2312"/>
          <w:color w:val="000000" w:themeColor="text1"/>
          <w:sz w:val="32"/>
          <w:szCs w:val="32"/>
        </w:rPr>
        <w:t>公务用车购置及运行维护费支出</w:t>
      </w:r>
      <w:bookmarkEnd w:id="56"/>
      <w:r>
        <w:rPr>
          <w:rFonts w:hint="eastAsia" w:ascii="仿宋_GB2312" w:eastAsia="仿宋_GB2312"/>
          <w:sz w:val="32"/>
          <w:szCs w:val="32"/>
        </w:rPr>
        <w:t>52</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100%，与上年相比，增加13.7万元，增长35.77%，增加的主要原因是：领导下乡督促检查工作频繁，又因车辆使用年限较长导致公务用车维护维修费大幅增加；</w:t>
      </w:r>
      <w:bookmarkEnd w:id="57"/>
      <w:bookmarkStart w:id="58" w:name="OLE_LINK32"/>
      <w:bookmarkStart w:id="59" w:name="OLE_LINK77"/>
      <w:bookmarkStart w:id="60" w:name="OLE_LINK78"/>
      <w:r>
        <w:rPr>
          <w:rFonts w:hint="eastAsia" w:ascii="仿宋_GB2312" w:eastAsia="仿宋_GB2312"/>
          <w:color w:val="000000" w:themeColor="text1"/>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0%，与上年相比，减少9.8万元，下降100%，减少的主要原因是：本年无公务接待费支出。</w:t>
      </w:r>
      <w:bookmarkEnd w:id="59"/>
      <w:bookmarkEnd w:id="60"/>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1" w:name="OLE_LINK80"/>
      <w:bookmarkStart w:id="62"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新疆喀什地区塔什库尔干县人民政府办公室</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4"/>
      <w:bookmarkStart w:id="65" w:name="OLE_LINK35"/>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本年无因公出国（境）费支出。</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52</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1"/>
      <w:bookmarkStart w:id="72"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52</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车辆维修费、燃油费、车辆保险费支出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8</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本年无公务接待费支出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新疆喀什地区塔什库尔干县人民政府办公室</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52</w:t>
      </w:r>
      <w:r>
        <w:rPr>
          <w:rFonts w:hint="eastAsia" w:ascii="仿宋_GB2312" w:eastAsia="仿宋_GB2312"/>
          <w:color w:val="000000" w:themeColor="text1"/>
          <w:sz w:val="32"/>
          <w:szCs w:val="32"/>
        </w:rPr>
        <w:t>万元，决算数52万元</w:t>
      </w:r>
      <w:r>
        <w:rPr>
          <w:rFonts w:ascii="仿宋_GB2312" w:eastAsia="仿宋_GB2312"/>
          <w:color w:val="000000" w:themeColor="text1"/>
          <w:sz w:val="32"/>
          <w:szCs w:val="32"/>
        </w:rPr>
        <w:t>，预决算差异率0%，差异主要原因是无差异。</w:t>
      </w:r>
      <w:bookmarkEnd w:id="76"/>
      <w:bookmarkStart w:id="77" w:name="OLE_LINK87"/>
      <w:bookmarkStart w:id="7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52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人民政府办公室机关运行经费支出216.13万元，与上年相比，减少101.38万元，下降31.93%，减少的主要原因是：信访局和办事处2018年开始独立核算，独立申报决算报表办公费，水电费等各类经费支出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1,217.99</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1,189.11</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28.88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8</w:t>
      </w:r>
      <w:r>
        <w:rPr>
          <w:rFonts w:hint="eastAsia" w:ascii="仿宋_GB2312" w:eastAsia="仿宋_GB2312"/>
          <w:color w:val="000000" w:themeColor="text1"/>
          <w:sz w:val="32"/>
          <w:szCs w:val="32"/>
        </w:rPr>
        <w:t>辆，价值</w:t>
      </w:r>
      <w:r>
        <w:rPr>
          <w:rFonts w:hint="eastAsia" w:ascii="仿宋_GB2312" w:eastAsia="仿宋_GB2312"/>
          <w:sz w:val="32"/>
          <w:szCs w:val="32"/>
        </w:rPr>
        <w:t>271.47</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8</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val="en-US" w:eastAsia="zh-CN"/>
        </w:rPr>
        <w:t>1、丰田汉兰达越野车新Q-GX369一辆，主要用于单位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，用于下基层检查工作使用，</w:t>
      </w:r>
      <w:r>
        <w:rPr>
          <w:rFonts w:hint="eastAsia" w:ascii="仿宋_GB2312" w:eastAsia="仿宋_GB2312"/>
          <w:color w:val="000000" w:themeColor="text1"/>
          <w:sz w:val="32"/>
          <w:szCs w:val="32"/>
          <w:lang w:val="en-US" w:eastAsia="zh-CN"/>
        </w:rPr>
        <w:t>2、猎豹牌越野车新Q-cc777一辆，主要用于单位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，用于下基层检查工作使用，</w:t>
      </w:r>
      <w:r>
        <w:rPr>
          <w:rFonts w:hint="eastAsia" w:ascii="仿宋_GB2312" w:eastAsia="仿宋_GB2312"/>
          <w:color w:val="000000" w:themeColor="text1"/>
          <w:sz w:val="32"/>
          <w:szCs w:val="32"/>
          <w:lang w:val="en-US" w:eastAsia="zh-CN"/>
        </w:rPr>
        <w:t>3、普拉多丰田牌越野车新Q-00045一辆，主要用于单位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，用于下基层检查工作使用，</w:t>
      </w:r>
      <w:r>
        <w:rPr>
          <w:rFonts w:hint="eastAsia" w:ascii="仿宋_GB2312" w:eastAsia="仿宋_GB2312"/>
          <w:color w:val="000000" w:themeColor="text1"/>
          <w:sz w:val="32"/>
          <w:szCs w:val="32"/>
          <w:lang w:val="en-US" w:eastAsia="zh-CN"/>
        </w:rPr>
        <w:t>4、三菱牌越野车新Q98989、新Q16320两辆，主要用于单位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，用于下基层检查工作使用，</w:t>
      </w:r>
      <w:r>
        <w:rPr>
          <w:rFonts w:hint="eastAsia" w:ascii="仿宋_GB2312" w:eastAsia="仿宋_GB2312"/>
          <w:color w:val="000000" w:themeColor="text1"/>
          <w:sz w:val="32"/>
          <w:szCs w:val="32"/>
          <w:lang w:val="en-US" w:eastAsia="zh-CN"/>
        </w:rPr>
        <w:t>5、猎豹牌越野车新Q-49550、新Q51197两辆，主要用于单位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，用于下基层检查工作使用，</w:t>
      </w:r>
      <w:r>
        <w:rPr>
          <w:rFonts w:hint="eastAsia" w:ascii="仿宋_GB2312" w:eastAsia="仿宋_GB2312"/>
          <w:color w:val="000000" w:themeColor="text1"/>
          <w:sz w:val="32"/>
          <w:szCs w:val="32"/>
          <w:lang w:val="en-US" w:eastAsia="zh-CN"/>
        </w:rPr>
        <w:t>6、北京现代越野车新Q90786一辆，主要用于单位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，用于下基层检查工作使用</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部门决算包含抗震办数据，2018年度本部门实行绩效管理的项目5个，涉及预算2426.03万元，项目支出决算2426.03万元。1、安居富民房项目1860.45万元。2、安居富民暖心工程项目162万元。3、大同乡环境整治项目24.9</w:t>
      </w:r>
      <w:r>
        <w:rPr>
          <w:rFonts w:hint="eastAsia" w:ascii="仿宋_GB2312" w:eastAsia="仿宋_GB2312"/>
          <w:sz w:val="32"/>
          <w:szCs w:val="32"/>
          <w:lang w:val="en-US" w:eastAsia="zh-CN"/>
        </w:rPr>
        <w:t>3</w:t>
      </w:r>
      <w:r>
        <w:rPr>
          <w:rFonts w:ascii="仿宋_GB2312" w:eastAsia="仿宋_GB2312"/>
          <w:sz w:val="32"/>
          <w:szCs w:val="32"/>
        </w:rPr>
        <w:t>万元。4、2018年坡屋顶改造项目358.65万元。5、气象服务体系和监测运行维护补助资金20万元。</w:t>
      </w:r>
      <w:r>
        <w:rPr>
          <w:rFonts w:hint="eastAsia" w:ascii="仿宋_GB2312" w:eastAsia="仿宋_GB2312"/>
          <w:sz w:val="32"/>
          <w:szCs w:val="32"/>
          <w:lang w:val="en-US" w:eastAsia="zh-CN"/>
        </w:rPr>
        <w:t>本单位在</w:t>
      </w:r>
      <w:r>
        <w:rPr>
          <w:rFonts w:ascii="仿宋_GB2312" w:eastAsia="仿宋_GB2312"/>
          <w:sz w:val="32"/>
          <w:szCs w:val="32"/>
        </w:rPr>
        <w:t>2018年严格执行绩效工作制度，建立绩效管理领导小组，对项目严格要求。</w:t>
      </w:r>
    </w:p>
    <w:p>
      <w:pPr>
        <w:spacing w:line="540" w:lineRule="exact"/>
        <w:ind w:left="-1" w:right="-1" w:firstLine="646"/>
        <w:jc w:val="left"/>
        <w:rPr>
          <w:rFonts w:ascii="仿宋_GB2312" w:hAnsi="仿宋_GB2312" w:eastAsia="仿宋_GB2312" w:cs="仿宋_GB2312"/>
          <w:b w:val="0"/>
          <w:color w:val="auto"/>
          <w:sz w:val="32"/>
          <w:u w:val="none"/>
        </w:rPr>
      </w:pPr>
      <w:r>
        <w:rPr>
          <w:rFonts w:hint="eastAsia" w:ascii="仿宋_GB2312" w:hAnsi="仿宋_GB2312" w:eastAsia="仿宋_GB2312" w:cs="仿宋_GB2312"/>
          <w:b w:val="0"/>
          <w:color w:val="auto"/>
          <w:sz w:val="32"/>
          <w:u w:val="none"/>
          <w:lang w:val="en-US" w:eastAsia="zh-CN"/>
        </w:rPr>
        <w:t>1</w:t>
      </w:r>
      <w:r>
        <w:rPr>
          <w:rFonts w:ascii="仿宋_GB2312" w:hAnsi="仿宋_GB2312" w:eastAsia="仿宋_GB2312" w:cs="仿宋_GB2312"/>
          <w:b w:val="0"/>
          <w:color w:val="auto"/>
          <w:sz w:val="32"/>
          <w:u w:val="none"/>
        </w:rPr>
        <w:t>、安居富民房项目绩效自评综述：根据年初设定的绩效目标，该项目绩效自评得分为95分。项目全年预算数为1,860.45万元，执行数为1,860.45万元，完成预算的100%。主要产出和效果：该项目建成后，使各乡镇455户群众受益，可改善农村人居环境，改善贫困户生产生活条件。发现的问题及原因：无。下一步改进措施：无。</w:t>
      </w:r>
    </w:p>
    <w:p>
      <w:pPr>
        <w:spacing w:line="540" w:lineRule="exact"/>
        <w:ind w:left="-1" w:right="-1" w:firstLine="646"/>
        <w:jc w:val="left"/>
      </w:pPr>
      <w:r>
        <w:rPr>
          <w:rFonts w:hint="eastAsia" w:ascii="仿宋_GB2312" w:hAnsi="仿宋_GB2312" w:eastAsia="仿宋_GB2312" w:cs="仿宋_GB2312"/>
          <w:b w:val="0"/>
          <w:color w:val="auto"/>
          <w:sz w:val="32"/>
          <w:u w:val="none"/>
          <w:lang w:val="en-US" w:eastAsia="zh-CN"/>
        </w:rPr>
        <w:t>2</w:t>
      </w:r>
      <w:r>
        <w:rPr>
          <w:rFonts w:ascii="仿宋_GB2312" w:hAnsi="仿宋_GB2312" w:eastAsia="仿宋_GB2312" w:cs="仿宋_GB2312"/>
          <w:b w:val="0"/>
          <w:color w:val="auto"/>
          <w:sz w:val="32"/>
          <w:u w:val="none"/>
        </w:rPr>
        <w:t>、安居富民暖心工程项目绩效自评综述：根据年初设定的绩效目标，该项目绩效自评得分为90分。项目全年预算数为162万元，执行数为162万元，完成预算的100%。主要产出和效果：对已建集中连片“两居房”进行供排水建设，其中：科克亚尔乡科克亚尔村10户、塔合曼乡萨热拉村36户，使科克亚尔乡科克亚尔村、塔合曼乡萨热拉村46户农牧民受益，工程的实施使受益群众的饮水安全得到保障，大大改善群众的生活条件和健康状况，促进社会和谐发展。发现的问题及原因：无。下一步改进措施：无。</w:t>
      </w:r>
    </w:p>
    <w:p>
      <w:pPr>
        <w:spacing w:line="540" w:lineRule="exact"/>
        <w:ind w:left="-1" w:right="-1" w:firstLine="646"/>
        <w:jc w:val="left"/>
        <w:rPr>
          <w:rFonts w:ascii="仿宋_GB2312" w:hAnsi="仿宋_GB2312" w:eastAsia="仿宋_GB2312" w:cs="仿宋_GB2312"/>
          <w:b w:val="0"/>
          <w:color w:val="auto"/>
          <w:sz w:val="32"/>
          <w:u w:val="none"/>
        </w:rPr>
      </w:pPr>
      <w:r>
        <w:rPr>
          <w:rFonts w:hint="eastAsia" w:ascii="仿宋_GB2312" w:hAnsi="仿宋_GB2312" w:eastAsia="仿宋_GB2312" w:cs="仿宋_GB2312"/>
          <w:b w:val="0"/>
          <w:color w:val="auto"/>
          <w:sz w:val="32"/>
          <w:u w:val="none"/>
          <w:lang w:val="en-US" w:eastAsia="zh-CN"/>
        </w:rPr>
        <w:t>3</w:t>
      </w:r>
      <w:r>
        <w:rPr>
          <w:rFonts w:ascii="仿宋_GB2312" w:hAnsi="仿宋_GB2312" w:eastAsia="仿宋_GB2312" w:cs="仿宋_GB2312"/>
          <w:b w:val="0"/>
          <w:color w:val="auto"/>
          <w:sz w:val="32"/>
          <w:u w:val="none"/>
        </w:rPr>
        <w:t>、</w:t>
      </w:r>
      <w:r>
        <w:rPr>
          <w:rFonts w:hint="eastAsia" w:ascii="仿宋_GB2312" w:hAnsi="仿宋_GB2312" w:eastAsia="仿宋_GB2312" w:cs="仿宋_GB2312"/>
          <w:b w:val="0"/>
          <w:color w:val="auto"/>
          <w:sz w:val="32"/>
          <w:u w:val="none"/>
          <w:lang w:val="zh-TW" w:eastAsia="zh-TW"/>
        </w:rPr>
        <w:t>大同乡环境整治项目</w:t>
      </w:r>
      <w:r>
        <w:rPr>
          <w:rFonts w:ascii="仿宋_GB2312" w:hAnsi="仿宋_GB2312" w:eastAsia="仿宋_GB2312" w:cs="仿宋_GB2312"/>
          <w:b w:val="0"/>
          <w:color w:val="auto"/>
          <w:sz w:val="32"/>
          <w:u w:val="none"/>
        </w:rPr>
        <w:t>绩效自评综述：根据年初设定的绩效目标，该项目绩效自评得分为9</w:t>
      </w:r>
      <w:r>
        <w:rPr>
          <w:rFonts w:hint="eastAsia" w:ascii="仿宋_GB2312" w:hAnsi="仿宋_GB2312" w:eastAsia="仿宋_GB2312" w:cs="仿宋_GB2312"/>
          <w:b w:val="0"/>
          <w:color w:val="auto"/>
          <w:sz w:val="32"/>
          <w:u w:val="none"/>
          <w:lang w:val="en-US" w:eastAsia="zh-CN"/>
        </w:rPr>
        <w:t>5</w:t>
      </w:r>
      <w:r>
        <w:rPr>
          <w:rFonts w:ascii="仿宋_GB2312" w:hAnsi="仿宋_GB2312" w:eastAsia="仿宋_GB2312" w:cs="仿宋_GB2312"/>
          <w:b w:val="0"/>
          <w:color w:val="auto"/>
          <w:sz w:val="32"/>
          <w:u w:val="none"/>
        </w:rPr>
        <w:t>分。项目全年预算数为</w:t>
      </w:r>
      <w:r>
        <w:rPr>
          <w:rFonts w:hint="eastAsia" w:ascii="仿宋_GB2312" w:hAnsi="仿宋_GB2312" w:eastAsia="仿宋_GB2312" w:cs="仿宋_GB2312"/>
          <w:b w:val="0"/>
          <w:color w:val="auto"/>
          <w:sz w:val="32"/>
          <w:u w:val="none"/>
          <w:lang w:val="en-US" w:eastAsia="zh-CN"/>
        </w:rPr>
        <w:t>24.93</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lang w:val="en-US" w:eastAsia="zh-CN"/>
        </w:rPr>
        <w:t>24.93</w:t>
      </w:r>
      <w:r>
        <w:rPr>
          <w:rFonts w:ascii="仿宋_GB2312" w:hAnsi="仿宋_GB2312" w:eastAsia="仿宋_GB2312" w:cs="仿宋_GB2312"/>
          <w:b w:val="0"/>
          <w:color w:val="auto"/>
          <w:sz w:val="32"/>
          <w:u w:val="none"/>
        </w:rPr>
        <w:t>万元，完成预算的100%。主要产出和效果：</w:t>
      </w:r>
      <w:r>
        <w:rPr>
          <w:rFonts w:hint="eastAsia" w:ascii="仿宋_GB2312" w:hAnsi="仿宋_GB2312" w:eastAsia="仿宋_GB2312" w:cs="仿宋_GB2312"/>
          <w:b w:val="0"/>
          <w:color w:val="auto"/>
          <w:sz w:val="32"/>
          <w:u w:val="none"/>
        </w:rPr>
        <w:t>为大同乡阿克托尕栏杆村易地搬迁安置点亮化工程，主要购买路灯41盏，每盏0.61万元，受益贫困户41户。</w:t>
      </w:r>
      <w:r>
        <w:rPr>
          <w:rFonts w:ascii="仿宋_GB2312" w:hAnsi="仿宋_GB2312" w:eastAsia="仿宋_GB2312" w:cs="仿宋_GB2312"/>
          <w:b w:val="0"/>
          <w:color w:val="auto"/>
          <w:sz w:val="32"/>
          <w:u w:val="none"/>
        </w:rPr>
        <w:t>发现的问题及原因：无。下一步改进措施：</w:t>
      </w:r>
      <w:r>
        <w:rPr>
          <w:rFonts w:hint="eastAsia" w:ascii="仿宋_GB2312" w:hAnsi="仿宋_GB2312" w:eastAsia="仿宋_GB2312" w:cs="仿宋_GB2312"/>
          <w:b w:val="0"/>
          <w:color w:val="auto"/>
          <w:sz w:val="32"/>
          <w:u w:val="none"/>
          <w:lang w:val="en-US" w:eastAsia="zh-CN"/>
        </w:rPr>
        <w:t>无</w:t>
      </w:r>
      <w:r>
        <w:rPr>
          <w:rFonts w:hint="eastAsia" w:ascii="仿宋_GB2312" w:hAnsi="仿宋_GB2312" w:eastAsia="仿宋_GB2312" w:cs="仿宋_GB2312"/>
          <w:b w:val="0"/>
          <w:color w:val="auto"/>
          <w:sz w:val="32"/>
          <w:u w:val="none"/>
        </w:rPr>
        <w:t>。</w:t>
      </w:r>
      <w:bookmarkStart w:id="88" w:name="_GoBack"/>
      <w:bookmarkEnd w:id="88"/>
    </w:p>
    <w:p>
      <w:pPr>
        <w:spacing w:line="540" w:lineRule="exact"/>
        <w:ind w:left="-1" w:right="-1" w:firstLine="646"/>
        <w:jc w:val="left"/>
        <w:rPr>
          <w:rFonts w:ascii="仿宋_GB2312" w:hAnsi="仿宋_GB2312" w:eastAsia="仿宋_GB2312" w:cs="仿宋_GB2312"/>
          <w:b w:val="0"/>
          <w:color w:val="auto"/>
          <w:sz w:val="32"/>
          <w:u w:val="none"/>
        </w:rPr>
      </w:pPr>
      <w:r>
        <w:rPr>
          <w:rFonts w:ascii="仿宋_GB2312" w:hAnsi="仿宋_GB2312" w:eastAsia="仿宋_GB2312" w:cs="仿宋_GB2312"/>
          <w:b w:val="0"/>
          <w:color w:val="auto"/>
          <w:sz w:val="32"/>
          <w:u w:val="none"/>
        </w:rPr>
        <w:t>4、安居富民项目绩效自评综述：根据年初设定的绩效目标，该项目绩效自评得分为90分。项目全年预算数为358.65万元，执行数为358.65万元，完成预算的100%。主要产出和效果：2018年完成150户贫困户危房坡屋顶改造任务，其中：达布达尔乡50户、班迪尔乡50户、塔干乡50户，项目已完成。住房安全得到基本保障，改善了农村居民的居住条件，进一步提升了农牧民的获得感和幸福指数。发现的问题及原因：无。下一步改进措施：无。</w:t>
      </w:r>
    </w:p>
    <w:p>
      <w:pPr>
        <w:spacing w:line="540" w:lineRule="exact"/>
        <w:ind w:left="-1" w:right="-1" w:firstLine="646"/>
        <w:jc w:val="left"/>
      </w:pPr>
      <w:r>
        <w:rPr>
          <w:rFonts w:hint="eastAsia" w:ascii="仿宋_GB2312" w:hAnsi="仿宋_GB2312" w:eastAsia="仿宋_GB2312" w:cs="仿宋_GB2312"/>
          <w:b w:val="0"/>
          <w:color w:val="auto"/>
          <w:sz w:val="32"/>
          <w:u w:val="none"/>
          <w:lang w:val="en-US" w:eastAsia="zh-CN"/>
        </w:rPr>
        <w:t>5</w:t>
      </w:r>
      <w:r>
        <w:rPr>
          <w:rFonts w:ascii="仿宋_GB2312" w:hAnsi="仿宋_GB2312" w:eastAsia="仿宋_GB2312" w:cs="仿宋_GB2312"/>
          <w:b w:val="0"/>
          <w:color w:val="auto"/>
          <w:sz w:val="32"/>
          <w:u w:val="none"/>
        </w:rPr>
        <w:t>、2018年气象服务体系和监测点运行维护补助资金项目绩效自评综述：根据年初设定的绩效目标，该项目绩效自评得分为95分。项目全年预算数为20万元，执行数为20万元，完成预算的100%。主要产出和效果：完成网络通讯、气象信息站维护维修，气象信息制度牌制作，农业灾害灾情查看；各乡镇农村气象灾害防御通讯工作已完成。发现的问题及原因：无。下一步改进措施：无。</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212（类）99（款）99（项）指：其他城乡社区支出。213（类）05（款）99（项）指：其他扶贫支出。213（类）05（款）05（项）指：生产发展。221（类）01（款）05（项）指：农村危房改造。221（类）02（款）01（项）指：住房公积金。201（类）03（款）08（项）指：信访事务。213（类）05（款）04（项）指：农村基础设施建设。220（类）05（款）09（项）指：气象服务。201（类）03（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57853"/>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3F70C3"/>
    <w:rsid w:val="02451063"/>
    <w:rsid w:val="028847F9"/>
    <w:rsid w:val="02B9394A"/>
    <w:rsid w:val="03285E91"/>
    <w:rsid w:val="03AA79F6"/>
    <w:rsid w:val="04741FE5"/>
    <w:rsid w:val="04DB02C7"/>
    <w:rsid w:val="05636919"/>
    <w:rsid w:val="06B856EE"/>
    <w:rsid w:val="06D913E9"/>
    <w:rsid w:val="07FE5938"/>
    <w:rsid w:val="0834047E"/>
    <w:rsid w:val="083423C2"/>
    <w:rsid w:val="084604BC"/>
    <w:rsid w:val="08883825"/>
    <w:rsid w:val="08A613B4"/>
    <w:rsid w:val="090374E4"/>
    <w:rsid w:val="09725983"/>
    <w:rsid w:val="0A382BB5"/>
    <w:rsid w:val="0A726DA3"/>
    <w:rsid w:val="0AA4543A"/>
    <w:rsid w:val="0BE61132"/>
    <w:rsid w:val="0C783416"/>
    <w:rsid w:val="0C9B0DD6"/>
    <w:rsid w:val="0CE4791C"/>
    <w:rsid w:val="0D082B10"/>
    <w:rsid w:val="0D623B3C"/>
    <w:rsid w:val="0E063C64"/>
    <w:rsid w:val="0F4C7B96"/>
    <w:rsid w:val="0FFB575E"/>
    <w:rsid w:val="10845F1B"/>
    <w:rsid w:val="11463A00"/>
    <w:rsid w:val="115F06F9"/>
    <w:rsid w:val="11600918"/>
    <w:rsid w:val="11A618FF"/>
    <w:rsid w:val="11B0398F"/>
    <w:rsid w:val="138A01A3"/>
    <w:rsid w:val="13B960C5"/>
    <w:rsid w:val="152777F4"/>
    <w:rsid w:val="15C674B6"/>
    <w:rsid w:val="16F3236F"/>
    <w:rsid w:val="17F96DEC"/>
    <w:rsid w:val="186E1B20"/>
    <w:rsid w:val="18D54A0D"/>
    <w:rsid w:val="1A4106A0"/>
    <w:rsid w:val="1A4F5437"/>
    <w:rsid w:val="1AB77CD0"/>
    <w:rsid w:val="1B8D7E5D"/>
    <w:rsid w:val="1C4B642A"/>
    <w:rsid w:val="1CC82B05"/>
    <w:rsid w:val="1E807156"/>
    <w:rsid w:val="1EA657F6"/>
    <w:rsid w:val="1F097CB6"/>
    <w:rsid w:val="20285838"/>
    <w:rsid w:val="2166156B"/>
    <w:rsid w:val="2188654E"/>
    <w:rsid w:val="21B02D83"/>
    <w:rsid w:val="22A236F5"/>
    <w:rsid w:val="23995975"/>
    <w:rsid w:val="2432220E"/>
    <w:rsid w:val="248303BA"/>
    <w:rsid w:val="24837E47"/>
    <w:rsid w:val="252E01AA"/>
    <w:rsid w:val="2680023E"/>
    <w:rsid w:val="26C861CA"/>
    <w:rsid w:val="273748AD"/>
    <w:rsid w:val="28E9092D"/>
    <w:rsid w:val="29680352"/>
    <w:rsid w:val="29C87595"/>
    <w:rsid w:val="2A020F75"/>
    <w:rsid w:val="2B007AEE"/>
    <w:rsid w:val="2BC14C56"/>
    <w:rsid w:val="2C1B026F"/>
    <w:rsid w:val="2CC61F55"/>
    <w:rsid w:val="2E9C2692"/>
    <w:rsid w:val="2EF7452F"/>
    <w:rsid w:val="2F1D13B4"/>
    <w:rsid w:val="2FAA3DA6"/>
    <w:rsid w:val="30682E1F"/>
    <w:rsid w:val="30E210D2"/>
    <w:rsid w:val="311371D6"/>
    <w:rsid w:val="31EB64C9"/>
    <w:rsid w:val="336D0D6F"/>
    <w:rsid w:val="352E4BEC"/>
    <w:rsid w:val="3652609A"/>
    <w:rsid w:val="37CB5B25"/>
    <w:rsid w:val="37DD5594"/>
    <w:rsid w:val="37FC4521"/>
    <w:rsid w:val="38E0574F"/>
    <w:rsid w:val="38F24FA8"/>
    <w:rsid w:val="3A0D10F9"/>
    <w:rsid w:val="3A98342A"/>
    <w:rsid w:val="3AB6780E"/>
    <w:rsid w:val="3AD56D70"/>
    <w:rsid w:val="3B2920C2"/>
    <w:rsid w:val="3B3C5F6A"/>
    <w:rsid w:val="3B886F43"/>
    <w:rsid w:val="3BE41ABD"/>
    <w:rsid w:val="3C5421A9"/>
    <w:rsid w:val="3D903B21"/>
    <w:rsid w:val="3ECD7DDA"/>
    <w:rsid w:val="3F440741"/>
    <w:rsid w:val="3FC32FC4"/>
    <w:rsid w:val="41FC306C"/>
    <w:rsid w:val="44B92E3F"/>
    <w:rsid w:val="44BE5554"/>
    <w:rsid w:val="451E0908"/>
    <w:rsid w:val="452C2D31"/>
    <w:rsid w:val="45D26E14"/>
    <w:rsid w:val="46A541B1"/>
    <w:rsid w:val="48C57772"/>
    <w:rsid w:val="49782886"/>
    <w:rsid w:val="4A6F0D28"/>
    <w:rsid w:val="4AAF085C"/>
    <w:rsid w:val="4AEB7E60"/>
    <w:rsid w:val="4B4B135B"/>
    <w:rsid w:val="4BC7055F"/>
    <w:rsid w:val="4BD0417C"/>
    <w:rsid w:val="4C446636"/>
    <w:rsid w:val="4CFC7DB2"/>
    <w:rsid w:val="4E7C187D"/>
    <w:rsid w:val="501B398A"/>
    <w:rsid w:val="508941AD"/>
    <w:rsid w:val="50E65530"/>
    <w:rsid w:val="51457139"/>
    <w:rsid w:val="51574DBD"/>
    <w:rsid w:val="51EC1DA8"/>
    <w:rsid w:val="52FC5524"/>
    <w:rsid w:val="532D7A17"/>
    <w:rsid w:val="54760B21"/>
    <w:rsid w:val="54AF4562"/>
    <w:rsid w:val="54C9674B"/>
    <w:rsid w:val="556318EA"/>
    <w:rsid w:val="55A60AA1"/>
    <w:rsid w:val="56451615"/>
    <w:rsid w:val="57FC5774"/>
    <w:rsid w:val="59B332C9"/>
    <w:rsid w:val="5A44758A"/>
    <w:rsid w:val="5AFE3698"/>
    <w:rsid w:val="5BEC4BB3"/>
    <w:rsid w:val="5C070B55"/>
    <w:rsid w:val="5CB96DCE"/>
    <w:rsid w:val="5CE61580"/>
    <w:rsid w:val="5D175666"/>
    <w:rsid w:val="5D556A3C"/>
    <w:rsid w:val="5D7B25C9"/>
    <w:rsid w:val="5ECB44B4"/>
    <w:rsid w:val="5EE2043C"/>
    <w:rsid w:val="602D2E37"/>
    <w:rsid w:val="607A45A5"/>
    <w:rsid w:val="60FB05F8"/>
    <w:rsid w:val="61460FBE"/>
    <w:rsid w:val="61600081"/>
    <w:rsid w:val="62775810"/>
    <w:rsid w:val="62D83744"/>
    <w:rsid w:val="630F4048"/>
    <w:rsid w:val="63AA02E5"/>
    <w:rsid w:val="64700DE9"/>
    <w:rsid w:val="648450D7"/>
    <w:rsid w:val="64B84890"/>
    <w:rsid w:val="65C613BD"/>
    <w:rsid w:val="65FD118C"/>
    <w:rsid w:val="682C3D89"/>
    <w:rsid w:val="68611305"/>
    <w:rsid w:val="698972F1"/>
    <w:rsid w:val="6A162DE0"/>
    <w:rsid w:val="6A331428"/>
    <w:rsid w:val="6A6B6A98"/>
    <w:rsid w:val="6AC91957"/>
    <w:rsid w:val="6B2E5CB6"/>
    <w:rsid w:val="6B3D4886"/>
    <w:rsid w:val="6BD8612F"/>
    <w:rsid w:val="6DF8675E"/>
    <w:rsid w:val="6EA80098"/>
    <w:rsid w:val="6F8D70FF"/>
    <w:rsid w:val="6FFE5011"/>
    <w:rsid w:val="708E2D0B"/>
    <w:rsid w:val="70B305F7"/>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BEB55DE"/>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3</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2020-04-05T03:53:08Z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