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b w:val="0"/>
          <w:bCs w:val="0"/>
          <w:sz w:val="44"/>
          <w:szCs w:val="44"/>
        </w:rPr>
      </w:pPr>
    </w:p>
    <w:p>
      <w:pPr>
        <w:spacing w:line="540" w:lineRule="exact"/>
        <w:jc w:val="center"/>
        <w:rPr>
          <w:rFonts w:ascii="方正小标宋_GBK" w:hAnsi="宋体" w:eastAsia="方正小标宋_GBK"/>
          <w:b w:val="0"/>
          <w:bCs w:val="0"/>
          <w:sz w:val="44"/>
          <w:szCs w:val="44"/>
        </w:rPr>
      </w:pPr>
      <w:r>
        <w:rPr>
          <w:rFonts w:hint="eastAsia" w:ascii="方正小标宋_GBK" w:hAnsi="宋体" w:eastAsia="方正小标宋_GBK"/>
          <w:b w:val="0"/>
          <w:bCs w:val="0"/>
          <w:sz w:val="44"/>
          <w:szCs w:val="44"/>
        </w:rPr>
        <w:t>2018年度新疆喀什地区塔什库尔干县机构编制委员会办公室部门决算公开说明</w:t>
      </w:r>
    </w:p>
    <w:p>
      <w:pPr>
        <w:spacing w:line="540" w:lineRule="exact"/>
        <w:rPr>
          <w:rFonts w:ascii="仿宋_GB2312" w:hAnsi="宋体" w:eastAsia="仿宋_GB2312"/>
          <w:b w:val="0"/>
          <w:bCs w:val="0"/>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1、研究拟定本县行政管理体制与机构改革的总体方案；审核县委、政府各工作部门机构改革及“三定方案”；协调各乡（镇）行政管理体制和机构编制管理工作。</w:t>
      </w:r>
      <w:r>
        <w:rPr>
          <w:rFonts w:hint="eastAsia" w:ascii="仿宋_GB2312" w:eastAsia="仿宋_GB2312"/>
          <w:sz w:val="32"/>
          <w:szCs w:val="32"/>
        </w:rPr>
        <w:br w:type="textWrapping"/>
      </w:r>
      <w:r>
        <w:rPr>
          <w:rFonts w:hint="eastAsia" w:ascii="仿宋_GB2312" w:eastAsia="仿宋_GB2312"/>
          <w:sz w:val="32"/>
          <w:szCs w:val="32"/>
        </w:rPr>
        <w:t>2、管理县委、政府各工作部门的职能配置和调整工作；协调县委各工作部门之间及政府各工作部门之间的职责分工。</w:t>
      </w:r>
      <w:r>
        <w:rPr>
          <w:rFonts w:hint="eastAsia" w:ascii="仿宋_GB2312" w:eastAsia="仿宋_GB2312"/>
          <w:sz w:val="32"/>
          <w:szCs w:val="32"/>
        </w:rPr>
        <w:br w:type="textWrapping"/>
      </w:r>
      <w:r>
        <w:rPr>
          <w:rFonts w:hint="eastAsia" w:ascii="仿宋_GB2312" w:eastAsia="仿宋_GB2312"/>
          <w:sz w:val="32"/>
          <w:szCs w:val="32"/>
        </w:rPr>
        <w:t>3、审核县委、政府各工作部门的内设机构、人员编制和领导职数；审核各乡镇机关的机构设置和人员编制数。</w:t>
      </w:r>
      <w:r>
        <w:rPr>
          <w:rFonts w:hint="eastAsia" w:ascii="仿宋_GB2312" w:eastAsia="仿宋_GB2312"/>
          <w:sz w:val="32"/>
          <w:szCs w:val="32"/>
        </w:rPr>
        <w:br w:type="textWrapping"/>
      </w:r>
      <w:r>
        <w:rPr>
          <w:rFonts w:hint="eastAsia" w:ascii="仿宋_GB2312" w:eastAsia="仿宋_GB2312"/>
          <w:sz w:val="32"/>
          <w:szCs w:val="32"/>
        </w:rPr>
        <w:t>4、审核县人大常委会、县政协委员会、县人民法院、县人民检察院和人民团体机关的机构设置、人员编制和领导职数总额。</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新疆喀什地区塔什库尔干县机构编制委员会办公室</w:t>
      </w:r>
      <w:r>
        <w:rPr>
          <w:rFonts w:hint="eastAsia" w:ascii="仿宋_GB2312" w:eastAsia="仿宋_GB2312"/>
          <w:sz w:val="32"/>
          <w:szCs w:val="32"/>
        </w:rPr>
        <w:t>部门决算包括：</w:t>
      </w:r>
      <w:r>
        <w:rPr>
          <w:rFonts w:ascii="仿宋_GB2312" w:eastAsia="仿宋_GB2312"/>
          <w:sz w:val="32"/>
          <w:szCs w:val="32"/>
        </w:rPr>
        <w:t>新疆喀什地区塔什库尔干县机构编制委员会办公室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新疆喀什地区塔什库尔干县机构编制委员会办公室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新疆喀什地区塔什库尔干县机构编制委员会办公室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42.81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，与上年相比，增加6.26万元，增长17.13%，增加的主要原因是：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工龄工资调增及补发导致决算数较上年数增加；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42.81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，与上年相比，增加6.26万元，增长17.13%，增加的主要原因是：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工龄工资调增及补发导致决算数较上年数增加；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本年与上年均无结余资金</w:t>
      </w:r>
      <w:r>
        <w:rPr>
          <w:rFonts w:ascii="仿宋_GB2312" w:eastAsia="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42.81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42.81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况：本年收入年初预算数40.21万元</w:t>
      </w:r>
      <w:r>
        <w:rPr>
          <w:rFonts w:hint="eastAsia" w:ascii="仿宋_GB2312" w:eastAsia="仿宋_GB2312"/>
          <w:sz w:val="32"/>
          <w:szCs w:val="32"/>
        </w:rPr>
        <w:t>，决算数42.81万元</w:t>
      </w:r>
      <w:r>
        <w:rPr>
          <w:rFonts w:ascii="仿宋_GB2312" w:eastAsia="仿宋_GB2312"/>
          <w:sz w:val="32"/>
          <w:szCs w:val="32"/>
        </w:rPr>
        <w:t>，预决算差异率6.47%，差异主要原因是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工龄工资调增及补发导</w:t>
      </w:r>
      <w:r>
        <w:rPr>
          <w:rFonts w:ascii="仿宋_GB2312" w:eastAsia="仿宋_GB2312"/>
          <w:sz w:val="32"/>
          <w:szCs w:val="32"/>
        </w:rPr>
        <w:t>导致决算数较预算数增加。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42.81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42.81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与年初预算数相比情况：本年支出年初预算数40.21万元，</w:t>
      </w:r>
      <w:r>
        <w:rPr>
          <w:rFonts w:hint="eastAsia" w:ascii="仿宋_GB2312" w:eastAsia="仿宋_GB2312"/>
          <w:sz w:val="32"/>
          <w:szCs w:val="32"/>
        </w:rPr>
        <w:t>决算数42.81万元</w:t>
      </w:r>
      <w:r>
        <w:rPr>
          <w:rFonts w:ascii="仿宋_GB2312" w:eastAsia="仿宋_GB2312"/>
          <w:sz w:val="32"/>
          <w:szCs w:val="32"/>
        </w:rPr>
        <w:t>，预决算差异率6.47%，差异主要原因是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w:t>
      </w:r>
      <w:r>
        <w:rPr>
          <w:rFonts w:ascii="仿宋_GB2312" w:eastAsia="仿宋_GB2312"/>
          <w:sz w:val="32"/>
          <w:szCs w:val="32"/>
        </w:rPr>
        <w:t>导致决算数较预算数增加。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42.81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，与上年相比，增加6.26万元，增长17.13%，增加的主要原因是：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工龄工资调增及补发导致决算数较上年数增加</w:t>
      </w:r>
      <w:r>
        <w:rPr>
          <w:rFonts w:hint="eastAsia" w:ascii="仿宋_GB2312" w:eastAsia="仿宋_GB2312"/>
          <w:sz w:val="32"/>
          <w:szCs w:val="32"/>
        </w:rPr>
        <w:t>。</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42.81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，与上年相比，增加6.26万元，增长17.13%，增加的主要原因是：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工龄工资调增及补发导致决算数较上年数增加</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42.81</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40.21</w:t>
      </w:r>
      <w:r>
        <w:rPr>
          <w:rFonts w:hint="eastAsia" w:ascii="仿宋_GB2312" w:eastAsia="仿宋_GB2312"/>
          <w:color w:val="000000" w:themeColor="text1"/>
          <w:sz w:val="32"/>
          <w:szCs w:val="32"/>
        </w:rPr>
        <w:t>万元，决算数</w:t>
      </w:r>
      <w:r>
        <w:rPr>
          <w:rFonts w:hint="eastAsia" w:ascii="仿宋_GB2312" w:eastAsia="仿宋_GB2312"/>
          <w:sz w:val="32"/>
          <w:szCs w:val="32"/>
        </w:rPr>
        <w:t>42.81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，预决算差异率6.47%，差异主要原因是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w:t>
      </w:r>
      <w:r>
        <w:rPr>
          <w:rFonts w:ascii="仿宋_GB2312" w:eastAsia="仿宋_GB2312"/>
          <w:color w:val="000000" w:themeColor="text1"/>
          <w:sz w:val="32"/>
          <w:szCs w:val="32"/>
        </w:rPr>
        <w:t>导致决算数较预算数增加。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40.21</w:t>
      </w:r>
      <w:r>
        <w:rPr>
          <w:rFonts w:hint="eastAsia" w:ascii="仿宋_GB2312" w:eastAsia="仿宋_GB2312"/>
          <w:color w:val="000000" w:themeColor="text1"/>
          <w:sz w:val="32"/>
          <w:szCs w:val="32"/>
        </w:rPr>
        <w:t>万元，决算数</w:t>
      </w:r>
      <w:r>
        <w:rPr>
          <w:rFonts w:hint="eastAsia" w:ascii="仿宋_GB2312" w:eastAsia="仿宋_GB2312"/>
          <w:sz w:val="32"/>
          <w:szCs w:val="32"/>
        </w:rPr>
        <w:t>42.81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，预决算差异率6.47%，差异主要原因是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w:t>
      </w:r>
      <w:r>
        <w:rPr>
          <w:rFonts w:ascii="仿宋_GB2312" w:eastAsia="仿宋_GB2312"/>
          <w:color w:val="000000" w:themeColor="text1"/>
          <w:sz w:val="32"/>
          <w:szCs w:val="32"/>
        </w:rPr>
        <w:t>导致决算数较预算数增加。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42.81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，与上年相比，增加6.26万元，增长17.13%，增加的主要原因是：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工龄工资调增及补发导致决算数较上年数增加</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42.81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，与上年相比，增加6.26万元，增长17.13%，增加的主要原因是：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工龄工资调增及补发导致决算数较上年数增加</w:t>
      </w:r>
      <w:r>
        <w:rPr>
          <w:rFonts w:hint="eastAsia" w:ascii="仿宋_GB2312" w:eastAsia="仿宋_GB2312"/>
          <w:sz w:val="32"/>
          <w:szCs w:val="32"/>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住房保障支出2.54万元,一般公共服务支出36.53万元,社会保障和就业支出3.74万元。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工资福利支出39.44万元,商品和服务支出2.16万元,对个人和家庭的补助1.21万元。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40.21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，预决算差异率6.47%，差异主要原因是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w:t>
      </w:r>
      <w:r>
        <w:rPr>
          <w:rFonts w:ascii="仿宋_GB2312" w:eastAsia="仿宋_GB2312"/>
          <w:color w:val="000000" w:themeColor="text1"/>
          <w:sz w:val="32"/>
          <w:szCs w:val="32"/>
        </w:rPr>
        <w:t>导致决算数较预算数增加。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40.21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，预决算差异率6.47%，差异主要原因是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工龄工资调增及补发</w:t>
      </w:r>
      <w:r>
        <w:rPr>
          <w:rFonts w:ascii="仿宋_GB2312" w:eastAsia="仿宋_GB2312"/>
          <w:color w:val="000000" w:themeColor="text1"/>
          <w:sz w:val="32"/>
          <w:szCs w:val="32"/>
        </w:rPr>
        <w:t>致决算数较预算数增加。</w:t>
      </w:r>
      <w:bookmarkEnd w:id="43"/>
      <w:bookmarkStart w:id="88" w:name="_GoBack"/>
      <w:bookmarkEnd w:id="8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，预决算差异率0%，差异主要原因是本单位2018年无政府性基金收入。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，预决算差异率0%，差异主要原因是本单位2018年无政府性基金支出。</w:t>
      </w:r>
      <w:bookmarkEnd w:id="51"/>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1.8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，与上年相比，减少0.2万元，下降10%，减少的主要原因是：厉行勤俭节约，保持良好的工作作风，减少公务用车运行维护费支出。</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highlight w:val="none"/>
          <w:lang w:val="en-US" w:eastAsia="zh-CN"/>
        </w:rPr>
        <w:t>0万元，</w:t>
      </w:r>
      <w:r>
        <w:rPr>
          <w:rFonts w:hint="eastAsia" w:ascii="仿宋_GB2312" w:eastAsia="仿宋_GB2312"/>
          <w:sz w:val="32"/>
          <w:szCs w:val="32"/>
        </w:rPr>
        <w:t>下降</w:t>
      </w:r>
      <w:r>
        <w:rPr>
          <w:rFonts w:hint="eastAsia" w:ascii="仿宋_GB2312" w:eastAsia="仿宋_GB2312"/>
          <w:sz w:val="32"/>
          <w:szCs w:val="32"/>
          <w:highlight w:val="none"/>
          <w:lang w:val="en-US" w:eastAsia="zh-CN"/>
        </w:rPr>
        <w:t>0%，</w:t>
      </w:r>
      <w:r>
        <w:rPr>
          <w:rFonts w:hint="eastAsia" w:ascii="仿宋_GB2312" w:eastAsia="仿宋_GB2312"/>
          <w:sz w:val="32"/>
          <w:szCs w:val="32"/>
        </w:rPr>
        <w:t>减少的主要原因是：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1.8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100%，与上年相比，减少0.2万元，下降10%，减少的主要原因是：厉行勤俭节约，保持良好的工作作风，减少公务用车运行维护费支出；</w:t>
      </w:r>
      <w:bookmarkEnd w:id="57"/>
      <w:bookmarkStart w:id="58" w:name="OLE_LINK32"/>
      <w:bookmarkStart w:id="59" w:name="OLE_LINK78"/>
      <w:bookmarkStart w:id="60" w:name="OLE_LINK77"/>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highlight w:val="none"/>
          <w:lang w:val="en-US" w:eastAsia="zh-CN"/>
        </w:rPr>
        <w:t>0万元，</w:t>
      </w:r>
      <w:r>
        <w:rPr>
          <w:rFonts w:hint="eastAsia" w:ascii="仿宋_GB2312" w:eastAsia="仿宋_GB2312"/>
          <w:sz w:val="32"/>
          <w:szCs w:val="32"/>
        </w:rPr>
        <w:t>下降</w:t>
      </w:r>
      <w:r>
        <w:rPr>
          <w:rFonts w:hint="eastAsia" w:ascii="仿宋_GB2312" w:eastAsia="仿宋_GB2312"/>
          <w:sz w:val="32"/>
          <w:szCs w:val="32"/>
          <w:highlight w:val="none"/>
          <w:lang w:val="en-US" w:eastAsia="zh-CN"/>
        </w:rPr>
        <w:t>0%，</w:t>
      </w:r>
      <w:r>
        <w:rPr>
          <w:rFonts w:hint="eastAsia" w:ascii="仿宋_GB2312" w:eastAsia="仿宋_GB2312"/>
          <w:sz w:val="32"/>
          <w:szCs w:val="32"/>
        </w:rPr>
        <w:t>减少的主要原因是：本单位无公务接待费支出。</w:t>
      </w:r>
      <w:bookmarkEnd w:id="59"/>
      <w:bookmarkEnd w:id="60"/>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80"/>
      <w:bookmarkStart w:id="62"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新疆喀什地区塔什库尔干县机构编制委员会办公室</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本单位无因公出国境支出。</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1.8</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一般公务用车运行维护</w:t>
      </w:r>
      <w:r>
        <w:rPr>
          <w:rFonts w:hint="eastAsia" w:ascii="仿宋_GB2312" w:eastAsia="仿宋_GB2312"/>
          <w:sz w:val="32"/>
          <w:szCs w:val="32"/>
          <w:lang w:eastAsia="zh-CN"/>
        </w:rPr>
        <w:t>费</w:t>
      </w:r>
      <w:r>
        <w:rPr>
          <w:rFonts w:hint="eastAsia" w:ascii="仿宋_GB2312" w:eastAsia="仿宋_GB2312"/>
          <w:sz w:val="32"/>
          <w:szCs w:val="32"/>
        </w:rPr>
        <w:t>、</w:t>
      </w:r>
      <w:r>
        <w:rPr>
          <w:rFonts w:hint="eastAsia" w:ascii="仿宋_GB2312" w:eastAsia="仿宋_GB2312"/>
          <w:sz w:val="32"/>
          <w:szCs w:val="32"/>
          <w:lang w:eastAsia="zh-CN"/>
        </w:rPr>
        <w:t>油料费、</w:t>
      </w:r>
      <w:r>
        <w:rPr>
          <w:rFonts w:hint="eastAsia" w:ascii="仿宋_GB2312" w:eastAsia="仿宋_GB2312"/>
          <w:sz w:val="32"/>
          <w:szCs w:val="32"/>
        </w:rPr>
        <w:t>车辆保险</w:t>
      </w:r>
      <w:r>
        <w:rPr>
          <w:rFonts w:hint="eastAsia" w:ascii="仿宋_GB2312" w:eastAsia="仿宋_GB2312"/>
          <w:sz w:val="32"/>
          <w:szCs w:val="32"/>
          <w:lang w:eastAsia="zh-CN"/>
        </w:rPr>
        <w:t>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新疆喀什地区塔什库尔干县机构编制委员会办公室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万元，决算数1.8万元</w:t>
      </w:r>
      <w:r>
        <w:rPr>
          <w:rFonts w:ascii="仿宋_GB2312" w:eastAsia="仿宋_GB2312"/>
          <w:color w:val="000000" w:themeColor="text1"/>
          <w:sz w:val="32"/>
          <w:szCs w:val="32"/>
        </w:rPr>
        <w:t>，预决算差异率-10%，差异主要原因是厉行勤俭节约，保持良好的工作作风，减少公务用车运行维护费的支出。</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，预决算差异率-10%，差异主要原因是厉行勤俭节约，保持良好的工作作风，减少公务用车运行维护费的支出；</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机构编制委员会办公室机关运行经费支出2.16万元，与上年相比，减少1.84万元，下降46%，减少的主要原因是：厉行勤俭节约，保持良好的工作作风，减少办公经费、一般公务用车维护费的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帕萨特轿车一辆主要用于单位日常</w:t>
      </w:r>
      <w:r>
        <w:rPr>
          <w:rFonts w:ascii="仿宋_GB2312" w:eastAsia="仿宋_GB2312"/>
          <w:color w:val="000000" w:themeColor="text1"/>
          <w:sz w:val="32"/>
          <w:szCs w:val="32"/>
        </w:rPr>
        <w:t>公务</w:t>
      </w:r>
      <w:r>
        <w:rPr>
          <w:rFonts w:hint="eastAsia" w:ascii="仿宋_GB2312" w:eastAsia="仿宋_GB2312"/>
          <w:color w:val="000000" w:themeColor="text1"/>
          <w:sz w:val="32"/>
          <w:szCs w:val="32"/>
          <w:lang w:eastAsia="zh-CN"/>
        </w:rPr>
        <w:t>外出使用</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年度，本部门单位实行绩效管理的项目0个，涉及预算0万元，项目支出决算0万元。年末本部门单位民生项目和重点支出项目的绩效评价开展情况及结果：无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221（类）02（款）01（项）指：住房公积金。201（类）10（款）01（项）指：行政运行。208（类）05（款）05（项）指：机关事业单位基本养老保险缴费支出。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85E53"/>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4F80"/>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9B27F0"/>
    <w:rsid w:val="03AA79F6"/>
    <w:rsid w:val="04741FE5"/>
    <w:rsid w:val="04C93FB0"/>
    <w:rsid w:val="04DB02C7"/>
    <w:rsid w:val="06B856EE"/>
    <w:rsid w:val="07FE5938"/>
    <w:rsid w:val="084604BC"/>
    <w:rsid w:val="08883825"/>
    <w:rsid w:val="09725983"/>
    <w:rsid w:val="0A382BB5"/>
    <w:rsid w:val="0AA4543A"/>
    <w:rsid w:val="0BE12EE6"/>
    <w:rsid w:val="0BE61132"/>
    <w:rsid w:val="0C6709A8"/>
    <w:rsid w:val="0C9B0DD6"/>
    <w:rsid w:val="0CE4791C"/>
    <w:rsid w:val="0D755DF0"/>
    <w:rsid w:val="0E063C64"/>
    <w:rsid w:val="0F157000"/>
    <w:rsid w:val="0F465B25"/>
    <w:rsid w:val="0F4C7B96"/>
    <w:rsid w:val="0FFB575E"/>
    <w:rsid w:val="10845F1B"/>
    <w:rsid w:val="11463A00"/>
    <w:rsid w:val="11600918"/>
    <w:rsid w:val="11B0398F"/>
    <w:rsid w:val="12200A13"/>
    <w:rsid w:val="13B960C5"/>
    <w:rsid w:val="152777F4"/>
    <w:rsid w:val="155768D3"/>
    <w:rsid w:val="15C674B6"/>
    <w:rsid w:val="166F6739"/>
    <w:rsid w:val="16E6343B"/>
    <w:rsid w:val="18A84AC5"/>
    <w:rsid w:val="18D54A0D"/>
    <w:rsid w:val="1A4106A0"/>
    <w:rsid w:val="1A4344F9"/>
    <w:rsid w:val="1A4F5437"/>
    <w:rsid w:val="1AB77CD0"/>
    <w:rsid w:val="1C3D1593"/>
    <w:rsid w:val="1E1D2D55"/>
    <w:rsid w:val="1E807156"/>
    <w:rsid w:val="1EA657F6"/>
    <w:rsid w:val="1F097CB6"/>
    <w:rsid w:val="2166156B"/>
    <w:rsid w:val="21B02D83"/>
    <w:rsid w:val="22A236F5"/>
    <w:rsid w:val="23995975"/>
    <w:rsid w:val="2432220E"/>
    <w:rsid w:val="248303BA"/>
    <w:rsid w:val="24837E47"/>
    <w:rsid w:val="252E01AA"/>
    <w:rsid w:val="25967C4B"/>
    <w:rsid w:val="2680023E"/>
    <w:rsid w:val="29680352"/>
    <w:rsid w:val="2986584D"/>
    <w:rsid w:val="2A020F75"/>
    <w:rsid w:val="2A29316E"/>
    <w:rsid w:val="2A993EC0"/>
    <w:rsid w:val="2AA1029D"/>
    <w:rsid w:val="2B007AEE"/>
    <w:rsid w:val="2BC14C56"/>
    <w:rsid w:val="2C1B026F"/>
    <w:rsid w:val="2C222B1F"/>
    <w:rsid w:val="2CC61F55"/>
    <w:rsid w:val="2EF7452F"/>
    <w:rsid w:val="2F1D13B4"/>
    <w:rsid w:val="2FAA3DA6"/>
    <w:rsid w:val="30682E1F"/>
    <w:rsid w:val="30E210D2"/>
    <w:rsid w:val="311371D6"/>
    <w:rsid w:val="31EB64C9"/>
    <w:rsid w:val="32D152B8"/>
    <w:rsid w:val="336D0D6F"/>
    <w:rsid w:val="33FF0132"/>
    <w:rsid w:val="352E4BEC"/>
    <w:rsid w:val="356323E0"/>
    <w:rsid w:val="36902225"/>
    <w:rsid w:val="37DD5594"/>
    <w:rsid w:val="38F24FA8"/>
    <w:rsid w:val="3A901A12"/>
    <w:rsid w:val="3A98342A"/>
    <w:rsid w:val="3AB6780E"/>
    <w:rsid w:val="3AD56D70"/>
    <w:rsid w:val="3AFD4E73"/>
    <w:rsid w:val="3B2920C2"/>
    <w:rsid w:val="3BE41ABD"/>
    <w:rsid w:val="3BFA5D47"/>
    <w:rsid w:val="3C5421A9"/>
    <w:rsid w:val="3CA418F0"/>
    <w:rsid w:val="3D903B21"/>
    <w:rsid w:val="3F440741"/>
    <w:rsid w:val="41FC306C"/>
    <w:rsid w:val="43B01C57"/>
    <w:rsid w:val="4401235F"/>
    <w:rsid w:val="44BE5554"/>
    <w:rsid w:val="451E0908"/>
    <w:rsid w:val="452C2D31"/>
    <w:rsid w:val="45B44F13"/>
    <w:rsid w:val="45D26E14"/>
    <w:rsid w:val="46A541B1"/>
    <w:rsid w:val="48C57772"/>
    <w:rsid w:val="49782886"/>
    <w:rsid w:val="4A6F0D28"/>
    <w:rsid w:val="4AAF085C"/>
    <w:rsid w:val="4AEB7E60"/>
    <w:rsid w:val="4B4B135B"/>
    <w:rsid w:val="4BC7055F"/>
    <w:rsid w:val="4BEC5BD7"/>
    <w:rsid w:val="4CBB0D49"/>
    <w:rsid w:val="4CFC7DB2"/>
    <w:rsid w:val="4E7C187D"/>
    <w:rsid w:val="4F4A7521"/>
    <w:rsid w:val="508941AD"/>
    <w:rsid w:val="50E65530"/>
    <w:rsid w:val="51457139"/>
    <w:rsid w:val="51574DBD"/>
    <w:rsid w:val="51EC1DA8"/>
    <w:rsid w:val="52FC5524"/>
    <w:rsid w:val="532D7A17"/>
    <w:rsid w:val="53B73E71"/>
    <w:rsid w:val="54AF4562"/>
    <w:rsid w:val="54C9674B"/>
    <w:rsid w:val="556318EA"/>
    <w:rsid w:val="55A60AA1"/>
    <w:rsid w:val="55C01289"/>
    <w:rsid w:val="56451615"/>
    <w:rsid w:val="5790506B"/>
    <w:rsid w:val="57C17011"/>
    <w:rsid w:val="57FC5774"/>
    <w:rsid w:val="59B332C9"/>
    <w:rsid w:val="5A44758A"/>
    <w:rsid w:val="5A574EE6"/>
    <w:rsid w:val="5A656776"/>
    <w:rsid w:val="5B5E1E29"/>
    <w:rsid w:val="5BA60BBA"/>
    <w:rsid w:val="5BEC4BB3"/>
    <w:rsid w:val="5C070B55"/>
    <w:rsid w:val="5CB96DCE"/>
    <w:rsid w:val="5CE61580"/>
    <w:rsid w:val="5D175666"/>
    <w:rsid w:val="5D556A3C"/>
    <w:rsid w:val="5D652419"/>
    <w:rsid w:val="5D7B25C9"/>
    <w:rsid w:val="5ECB44B4"/>
    <w:rsid w:val="5EE2043C"/>
    <w:rsid w:val="5F8A2ED3"/>
    <w:rsid w:val="602D2E37"/>
    <w:rsid w:val="61460FBE"/>
    <w:rsid w:val="62775810"/>
    <w:rsid w:val="62D83744"/>
    <w:rsid w:val="630F4048"/>
    <w:rsid w:val="63AA02E5"/>
    <w:rsid w:val="64700DE9"/>
    <w:rsid w:val="650D2376"/>
    <w:rsid w:val="65C613BD"/>
    <w:rsid w:val="65FD118C"/>
    <w:rsid w:val="682C3D89"/>
    <w:rsid w:val="68611305"/>
    <w:rsid w:val="6A162DE0"/>
    <w:rsid w:val="6A331428"/>
    <w:rsid w:val="6B2E5CB6"/>
    <w:rsid w:val="6B3D4886"/>
    <w:rsid w:val="6DF8675E"/>
    <w:rsid w:val="6EA80098"/>
    <w:rsid w:val="6F572A41"/>
    <w:rsid w:val="6F8D70FF"/>
    <w:rsid w:val="6FFE5011"/>
    <w:rsid w:val="70506357"/>
    <w:rsid w:val="7178734D"/>
    <w:rsid w:val="71791096"/>
    <w:rsid w:val="717B0C34"/>
    <w:rsid w:val="71FB78FD"/>
    <w:rsid w:val="7275064A"/>
    <w:rsid w:val="733F750B"/>
    <w:rsid w:val="735702E2"/>
    <w:rsid w:val="74701A1D"/>
    <w:rsid w:val="763A4BA0"/>
    <w:rsid w:val="765F635A"/>
    <w:rsid w:val="76B73454"/>
    <w:rsid w:val="76D254BD"/>
    <w:rsid w:val="77727ACD"/>
    <w:rsid w:val="78071142"/>
    <w:rsid w:val="79296B37"/>
    <w:rsid w:val="7A0C4D70"/>
    <w:rsid w:val="7A4C4C40"/>
    <w:rsid w:val="7AA0518E"/>
    <w:rsid w:val="7B041636"/>
    <w:rsid w:val="7CA86749"/>
    <w:rsid w:val="7E9D1C3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2020-04-05T04:19:41Z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