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2018年度新疆喀什地区塔什库尔干县信访局部门决算公开说明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根据中国共产党新疆喀什地区委员会办公室《关于印发〈塔什库尔干塔吉克自治县人民政府机构改革方案〉的通知》（喀塔办法）</w:t>
      </w:r>
      <w:r>
        <w:rPr>
          <w:rFonts w:hint="eastAsia" w:ascii="仿宋_GB2312" w:eastAsia="仿宋_GB2312"/>
          <w:sz w:val="32"/>
          <w:szCs w:val="32"/>
          <w:lang w:val="en-US" w:eastAsia="zh-CN"/>
        </w:rPr>
        <w:t>[2011</w:t>
      </w:r>
      <w:bookmarkStart w:id="77" w:name="_GoBack"/>
      <w:bookmarkEnd w:id="77"/>
      <w:r>
        <w:rPr>
          <w:rFonts w:hint="eastAsia" w:ascii="仿宋_GB2312" w:eastAsia="仿宋_GB2312"/>
          <w:sz w:val="32"/>
          <w:szCs w:val="32"/>
          <w:lang w:val="en-US" w:eastAsia="zh-CN"/>
        </w:rPr>
        <w:t>]</w:t>
      </w:r>
      <w:r>
        <w:rPr>
          <w:rFonts w:hint="eastAsia" w:ascii="仿宋_GB2312" w:eastAsia="仿宋_GB2312"/>
          <w:sz w:val="32"/>
          <w:szCs w:val="32"/>
        </w:rPr>
        <w:t>60号）文件精神，成立塔什库尔干塔吉克自治县信访局（以下简称信访局），由县人民政府办公室管理，两块牌子，一套人马。县信访局是县委和县人民政府负责信访工作的办事机构。</w:t>
      </w:r>
      <w:r>
        <w:rPr>
          <w:rFonts w:hint="eastAsia" w:ascii="仿宋_GB2312" w:eastAsia="仿宋_GB2312"/>
          <w:sz w:val="32"/>
          <w:szCs w:val="32"/>
        </w:rPr>
        <w:br w:type="textWrapping"/>
      </w:r>
      <w:r>
        <w:rPr>
          <w:rFonts w:hint="eastAsia" w:ascii="仿宋_GB2312" w:eastAsia="仿宋_GB2312"/>
          <w:sz w:val="32"/>
          <w:szCs w:val="32"/>
        </w:rPr>
        <w:t>1、贯彻落实党中央，国务院和自治区党委、人民政府及上级主管部门关于新时期、现阶段信访工作方针、政策和法规的宣传和贯彻落实《信访条例》；指导全县的信访工作。</w:t>
      </w:r>
      <w:r>
        <w:rPr>
          <w:rFonts w:hint="eastAsia" w:ascii="仿宋_GB2312" w:eastAsia="仿宋_GB2312"/>
          <w:sz w:val="32"/>
          <w:szCs w:val="32"/>
        </w:rPr>
        <w:br w:type="textWrapping"/>
      </w:r>
      <w:r>
        <w:rPr>
          <w:rFonts w:hint="eastAsia" w:ascii="仿宋_GB2312" w:eastAsia="仿宋_GB2312"/>
          <w:sz w:val="32"/>
          <w:szCs w:val="32"/>
        </w:rPr>
        <w:t>2、受理群众来信来访，为来信来访群众提供有关法律，法规和政策咨询服务；及时向县委和县人民政府领导报告来信来访中提出的重要建议，反应重大情况。</w:t>
      </w:r>
      <w:r>
        <w:rPr>
          <w:rFonts w:hint="eastAsia" w:ascii="仿宋_GB2312" w:eastAsia="仿宋_GB2312"/>
          <w:sz w:val="32"/>
          <w:szCs w:val="32"/>
        </w:rPr>
        <w:br w:type="textWrapping"/>
      </w:r>
      <w:r>
        <w:rPr>
          <w:rFonts w:hint="eastAsia" w:ascii="仿宋_GB2312" w:eastAsia="仿宋_GB2312"/>
          <w:sz w:val="32"/>
          <w:szCs w:val="32"/>
        </w:rPr>
        <w:t>3、开展调查研究，征集群众建议，办理县委、政府领导和上级机关交办的群众来信来访事项。</w:t>
      </w:r>
      <w:r>
        <w:rPr>
          <w:rFonts w:hint="eastAsia" w:ascii="仿宋_GB2312" w:eastAsia="仿宋_GB2312"/>
          <w:sz w:val="32"/>
          <w:szCs w:val="32"/>
        </w:rPr>
        <w:br w:type="textWrapping"/>
      </w:r>
      <w:r>
        <w:rPr>
          <w:rFonts w:hint="eastAsia" w:ascii="仿宋_GB2312" w:eastAsia="仿宋_GB2312"/>
          <w:sz w:val="32"/>
          <w:szCs w:val="32"/>
        </w:rPr>
        <w:t>4、做好领导接待群众来访的事前准备和事后交办、催办等落实工作。</w:t>
      </w:r>
      <w:r>
        <w:rPr>
          <w:rFonts w:hint="eastAsia" w:ascii="仿宋_GB2312" w:eastAsia="仿宋_GB2312"/>
          <w:sz w:val="32"/>
          <w:szCs w:val="32"/>
        </w:rPr>
        <w:br w:type="textWrapping"/>
      </w:r>
      <w:r>
        <w:rPr>
          <w:rFonts w:hint="eastAsia" w:ascii="仿宋_GB2312" w:eastAsia="仿宋_GB2312"/>
          <w:sz w:val="32"/>
          <w:szCs w:val="32"/>
        </w:rPr>
        <w:t>5、向有关单位交办信访事项，督促检查重要信访事项的处理和落实。组织和协调有关部门联合办案，会同处理“信访问题。</w:t>
      </w:r>
      <w:r>
        <w:rPr>
          <w:rFonts w:hint="eastAsia" w:ascii="仿宋_GB2312" w:eastAsia="仿宋_GB2312"/>
          <w:sz w:val="32"/>
          <w:szCs w:val="32"/>
        </w:rPr>
        <w:br w:type="textWrapping"/>
      </w:r>
      <w:r>
        <w:rPr>
          <w:rFonts w:hint="eastAsia" w:ascii="仿宋_GB2312" w:eastAsia="仿宋_GB2312"/>
          <w:sz w:val="32"/>
          <w:szCs w:val="32"/>
        </w:rPr>
        <w:t>6、承担县信访领导小组办公室的日常工作，协调处理跨部门的重要信访、群众集体上访和突发上访事件，检查、协调指导全县党、政、军各部门的信访工作和各乡镇党委、政府及县直机关部门的信访工作。</w:t>
      </w:r>
      <w:r>
        <w:rPr>
          <w:rFonts w:hint="eastAsia" w:ascii="仿宋_GB2312" w:eastAsia="仿宋_GB2312"/>
          <w:sz w:val="32"/>
          <w:szCs w:val="32"/>
        </w:rPr>
        <w:br w:type="textWrapping"/>
      </w:r>
      <w:r>
        <w:rPr>
          <w:rFonts w:hint="eastAsia" w:ascii="仿宋_GB2312" w:eastAsia="仿宋_GB2312"/>
          <w:sz w:val="32"/>
          <w:szCs w:val="32"/>
        </w:rPr>
        <w:t>7、定期综合分析信访形势，对信访问题及时汇总，调查研究，向县委、政府部门提供各种来信来访信息，并提出向有关部门解决信访问题的建议和意见。</w:t>
      </w:r>
      <w:r>
        <w:rPr>
          <w:rFonts w:hint="eastAsia" w:ascii="仿宋_GB2312" w:eastAsia="仿宋_GB2312"/>
          <w:sz w:val="32"/>
          <w:szCs w:val="32"/>
        </w:rPr>
        <w:br w:type="textWrapping"/>
      </w:r>
      <w:r>
        <w:rPr>
          <w:rFonts w:hint="eastAsia" w:ascii="仿宋_GB2312" w:eastAsia="仿宋_GB2312"/>
          <w:sz w:val="32"/>
          <w:szCs w:val="32"/>
        </w:rPr>
        <w:t>8、负责全县信访工作的业务指导，组织召开信访工作的有关会议，并督促贯彻落实。</w:t>
      </w:r>
      <w:r>
        <w:rPr>
          <w:rFonts w:hint="eastAsia" w:ascii="仿宋_GB2312" w:eastAsia="仿宋_GB2312"/>
          <w:sz w:val="32"/>
          <w:szCs w:val="32"/>
        </w:rPr>
        <w:br w:type="textWrapping"/>
      </w:r>
      <w:r>
        <w:rPr>
          <w:rFonts w:hint="eastAsia" w:ascii="仿宋_GB2312" w:eastAsia="仿宋_GB2312"/>
          <w:sz w:val="32"/>
          <w:szCs w:val="32"/>
        </w:rPr>
        <w:t>9、完成县委、政府领导交办的其它信访事项。</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新疆喀什地区塔什库尔干县信访局</w:t>
      </w:r>
      <w:r>
        <w:rPr>
          <w:rFonts w:hint="eastAsia" w:ascii="仿宋_GB2312" w:eastAsia="仿宋_GB2312"/>
          <w:sz w:val="32"/>
          <w:szCs w:val="32"/>
        </w:rPr>
        <w:t>部门决算包括：</w:t>
      </w:r>
      <w:r>
        <w:rPr>
          <w:rFonts w:ascii="仿宋_GB2312" w:eastAsia="仿宋_GB2312"/>
          <w:sz w:val="32"/>
          <w:szCs w:val="32"/>
        </w:rPr>
        <w:t>新疆喀什地区塔什库尔干县信访局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新疆喀什地区塔什库尔干县信访局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新疆喀什地区塔什库尔干县信访局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55.86</w:t>
      </w:r>
      <w:r>
        <w:rPr>
          <w:rFonts w:hint="eastAsia" w:ascii="仿宋_GB2312" w:eastAsia="仿宋_GB2312"/>
          <w:color w:val="000000" w:themeColor="text1"/>
          <w:sz w:val="32"/>
          <w:szCs w:val="32"/>
        </w:rPr>
        <w:t>万元</w:t>
      </w:r>
      <w:bookmarkEnd w:id="4"/>
      <w:bookmarkEnd w:id="5"/>
      <w:r>
        <w:rPr>
          <w:rFonts w:hint="eastAsia" w:ascii="仿宋_GB2312" w:eastAsia="仿宋_GB2312"/>
          <w:color w:val="000000" w:themeColor="text1"/>
          <w:sz w:val="32"/>
          <w:szCs w:val="32"/>
          <w:lang w:eastAsia="zh-CN"/>
        </w:rPr>
        <w:t>，</w:t>
      </w:r>
      <w:bookmarkEnd w:id="6"/>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55.86</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hint="eastAsia" w:ascii="仿宋_GB2312" w:eastAsia="仿宋_GB2312"/>
          <w:color w:val="000000" w:themeColor="text1"/>
          <w:sz w:val="32"/>
          <w:szCs w:val="32"/>
        </w:rPr>
        <w:t>因此无上年对比数据；</w:t>
      </w:r>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lang w:val="en-US" w:eastAsia="zh-CN"/>
        </w:rPr>
        <w:t>55.86</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55.86</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hint="eastAsia" w:ascii="仿宋_GB2312" w:eastAsia="仿宋_GB2312"/>
          <w:color w:val="000000" w:themeColor="text1"/>
          <w:sz w:val="32"/>
          <w:szCs w:val="32"/>
        </w:rPr>
        <w:t>因此无上年对比数据</w:t>
      </w:r>
      <w:r>
        <w:rPr>
          <w:rFonts w:hint="eastAsia" w:ascii="仿宋_GB2312" w:eastAsia="仿宋_GB2312"/>
          <w:color w:val="000000" w:themeColor="text1"/>
          <w:sz w:val="32"/>
          <w:szCs w:val="32"/>
          <w:lang w:eastAsia="zh-CN"/>
        </w:rPr>
        <w:t>；</w:t>
      </w:r>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主要原因是：由于本单位是2018年新增单位，</w:t>
      </w:r>
      <w:r>
        <w:rPr>
          <w:rFonts w:hint="eastAsia" w:ascii="仿宋_GB2312" w:eastAsia="仿宋_GB2312"/>
          <w:color w:val="000000" w:themeColor="text1"/>
          <w:sz w:val="32"/>
          <w:szCs w:val="32"/>
        </w:rPr>
        <w:t>因此无上年对比数据</w:t>
      </w:r>
      <w:bookmarkEnd w:id="7"/>
      <w:r>
        <w:rPr>
          <w:rFonts w:hint="eastAsia" w:ascii="仿宋_GB2312" w:eastAsia="仿宋_GB2312"/>
          <w:color w:val="000000" w:themeColor="text1"/>
          <w:sz w:val="32"/>
          <w:szCs w:val="32"/>
          <w:lang w:eastAsia="zh-CN"/>
        </w:rPr>
        <w:t>。</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55.86</w:t>
      </w:r>
      <w:r>
        <w:rPr>
          <w:rFonts w:hint="eastAsia" w:ascii="仿宋_GB2312" w:eastAsia="仿宋_GB2312"/>
          <w:color w:val="000000" w:themeColor="text1"/>
          <w:sz w:val="32"/>
          <w:szCs w:val="32"/>
        </w:rPr>
        <w:t>万元，其中：</w:t>
      </w:r>
      <w:bookmarkStart w:id="8" w:name="OLE_LINK1"/>
      <w:r>
        <w:rPr>
          <w:rFonts w:hint="eastAsia" w:ascii="仿宋_GB2312" w:eastAsia="仿宋_GB2312"/>
          <w:color w:val="000000" w:themeColor="text1"/>
          <w:sz w:val="32"/>
          <w:szCs w:val="32"/>
        </w:rPr>
        <w:t>财政拨款收入</w:t>
      </w:r>
      <w:bookmarkEnd w:id="8"/>
      <w:r>
        <w:rPr>
          <w:rFonts w:hint="eastAsia" w:ascii="仿宋_GB2312" w:eastAsia="仿宋_GB2312"/>
          <w:sz w:val="32"/>
          <w:szCs w:val="32"/>
        </w:rPr>
        <w:t>55.86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9" w:name="OLE_LINK2"/>
      <w:r>
        <w:rPr>
          <w:rFonts w:hint="eastAsia" w:ascii="仿宋_GB2312" w:eastAsia="仿宋_GB2312"/>
          <w:color w:val="000000" w:themeColor="text1"/>
          <w:sz w:val="32"/>
          <w:szCs w:val="32"/>
        </w:rPr>
        <w:t>上级补助收入</w:t>
      </w:r>
      <w:bookmarkEnd w:id="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0" w:name="OLE_LINK3"/>
      <w:r>
        <w:rPr>
          <w:rFonts w:hint="eastAsia" w:ascii="仿宋_GB2312" w:eastAsia="仿宋_GB2312"/>
          <w:color w:val="000000" w:themeColor="text1"/>
          <w:sz w:val="32"/>
          <w:szCs w:val="32"/>
        </w:rPr>
        <w:t>事业收入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4"/>
      <w:r>
        <w:rPr>
          <w:rFonts w:hint="eastAsia" w:ascii="仿宋_GB2312" w:eastAsia="仿宋_GB2312"/>
          <w:color w:val="000000" w:themeColor="text1"/>
          <w:sz w:val="32"/>
          <w:szCs w:val="32"/>
        </w:rPr>
        <w:t>经营收入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5"/>
      <w:r>
        <w:rPr>
          <w:rFonts w:hint="eastAsia" w:ascii="仿宋_GB2312" w:eastAsia="仿宋_GB2312"/>
          <w:color w:val="000000" w:themeColor="text1"/>
          <w:sz w:val="32"/>
          <w:szCs w:val="32"/>
        </w:rPr>
        <w:t>附属单位缴款</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6"/>
      <w:r>
        <w:rPr>
          <w:rFonts w:hint="eastAsia" w:ascii="仿宋_GB2312" w:eastAsia="仿宋_GB2312"/>
          <w:color w:val="000000" w:themeColor="text1"/>
          <w:sz w:val="32"/>
          <w:szCs w:val="32"/>
        </w:rPr>
        <w:t>其他收入</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4"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况：本年收入年初预算数54.71万元</w:t>
      </w:r>
      <w:r>
        <w:rPr>
          <w:rFonts w:hint="eastAsia" w:ascii="仿宋_GB2312" w:eastAsia="仿宋_GB2312"/>
          <w:sz w:val="32"/>
          <w:szCs w:val="32"/>
        </w:rPr>
        <w:t>，决算数55.86万元</w:t>
      </w:r>
      <w:r>
        <w:rPr>
          <w:rFonts w:ascii="仿宋_GB2312" w:eastAsia="仿宋_GB2312"/>
          <w:sz w:val="32"/>
          <w:szCs w:val="32"/>
        </w:rPr>
        <w:t>，预决算差异率2.1%，差异主要原因是政策性调资增加，其中：2018年艰苦边远地区津贴调标，基本工资调标，高海拔地区工龄工资调标及补发导致本年决算数较预算数增加。</w:t>
      </w:r>
      <w:bookmarkEnd w:id="1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5" w:name="OLE_LINK7"/>
      <w:r>
        <w:rPr>
          <w:rFonts w:hint="eastAsia" w:ascii="仿宋_GB2312" w:eastAsia="仿宋_GB2312"/>
          <w:color w:val="000000" w:themeColor="text1"/>
          <w:sz w:val="32"/>
          <w:szCs w:val="32"/>
        </w:rPr>
        <w:t>本年支出合计</w:t>
      </w:r>
      <w:bookmarkEnd w:id="15"/>
      <w:r>
        <w:rPr>
          <w:rFonts w:hint="eastAsia" w:ascii="仿宋_GB2312" w:eastAsia="仿宋_GB2312"/>
          <w:sz w:val="32"/>
          <w:szCs w:val="32"/>
        </w:rPr>
        <w:t>55.86</w:t>
      </w:r>
      <w:r>
        <w:rPr>
          <w:rFonts w:hint="eastAsia" w:ascii="仿宋_GB2312" w:eastAsia="仿宋_GB2312"/>
          <w:color w:val="000000" w:themeColor="text1"/>
          <w:sz w:val="32"/>
          <w:szCs w:val="32"/>
        </w:rPr>
        <w:t>万元，其中：</w:t>
      </w:r>
      <w:bookmarkStart w:id="16" w:name="OLE_LINK8"/>
      <w:r>
        <w:rPr>
          <w:rFonts w:hint="eastAsia" w:ascii="仿宋_GB2312" w:eastAsia="仿宋_GB2312"/>
          <w:color w:val="000000" w:themeColor="text1"/>
          <w:sz w:val="32"/>
          <w:szCs w:val="32"/>
        </w:rPr>
        <w:t>基本支出</w:t>
      </w:r>
      <w:bookmarkEnd w:id="16"/>
      <w:r>
        <w:rPr>
          <w:rFonts w:hint="eastAsia" w:ascii="仿宋_GB2312" w:eastAsia="仿宋_GB2312"/>
          <w:sz w:val="32"/>
          <w:szCs w:val="32"/>
        </w:rPr>
        <w:t>55.86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7" w:name="OLE_LINK9"/>
      <w:r>
        <w:rPr>
          <w:rFonts w:hint="eastAsia" w:ascii="仿宋_GB2312" w:eastAsia="仿宋_GB2312"/>
          <w:color w:val="000000" w:themeColor="text1"/>
          <w:sz w:val="32"/>
          <w:szCs w:val="32"/>
        </w:rPr>
        <w:t>项目支出</w:t>
      </w:r>
      <w:bookmarkEnd w:id="17"/>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8" w:name="OLE_LINK10"/>
      <w:r>
        <w:rPr>
          <w:rFonts w:hint="eastAsia" w:ascii="仿宋_GB2312" w:eastAsia="仿宋_GB2312"/>
          <w:color w:val="000000" w:themeColor="text1"/>
          <w:sz w:val="32"/>
          <w:szCs w:val="32"/>
        </w:rPr>
        <w:t>上缴上级支出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1"/>
      <w:r>
        <w:rPr>
          <w:rFonts w:hint="eastAsia" w:ascii="仿宋_GB2312" w:eastAsia="仿宋_GB2312"/>
          <w:color w:val="000000" w:themeColor="text1"/>
          <w:spacing w:val="-6"/>
          <w:sz w:val="32"/>
          <w:szCs w:val="32"/>
        </w:rPr>
        <w:t>经营支出</w:t>
      </w:r>
      <w:bookmarkEnd w:id="19"/>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0" w:name="OLE_LINK12"/>
      <w:r>
        <w:rPr>
          <w:rFonts w:hint="eastAsia" w:ascii="仿宋_GB2312" w:eastAsia="仿宋_GB2312"/>
          <w:color w:val="000000" w:themeColor="text1"/>
          <w:spacing w:val="-6"/>
          <w:sz w:val="32"/>
          <w:szCs w:val="32"/>
        </w:rPr>
        <w:t>对附属单位补助支出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1" w:name="OLE_LINK56"/>
      <w:r>
        <w:rPr>
          <w:rFonts w:hint="eastAsia" w:ascii="仿宋_GB2312" w:eastAsia="仿宋_GB2312"/>
          <w:color w:val="000000" w:themeColor="text1"/>
          <w:sz w:val="32"/>
          <w:szCs w:val="32"/>
        </w:rPr>
        <w:t>与年初预算数相比情况：本年支出年初预算数54.71万元，</w:t>
      </w:r>
      <w:r>
        <w:rPr>
          <w:rFonts w:hint="eastAsia" w:ascii="仿宋_GB2312" w:eastAsia="仿宋_GB2312"/>
          <w:sz w:val="32"/>
          <w:szCs w:val="32"/>
        </w:rPr>
        <w:t>决算数55.86万元</w:t>
      </w:r>
      <w:r>
        <w:rPr>
          <w:rFonts w:ascii="仿宋_GB2312" w:eastAsia="仿宋_GB2312"/>
          <w:sz w:val="32"/>
          <w:szCs w:val="32"/>
        </w:rPr>
        <w:t>，预决算差异率2.1%，差异主要原因是政策性调资增加，其中：2018年艰苦边远地区津贴调标，基本工资调标，高海拔地区工龄工资调标及补发导致本年决算数较预算数增加。</w:t>
      </w:r>
    </w:p>
    <w:bookmarkEnd w:id="21"/>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2" w:name="OLE_LINK58"/>
      <w:bookmarkStart w:id="23" w:name="OLE_LINK57"/>
      <w:r>
        <w:rPr>
          <w:rFonts w:hint="eastAsia" w:ascii="仿宋_GB2312" w:eastAsia="仿宋_GB2312"/>
          <w:color w:val="000000" w:themeColor="text1"/>
          <w:sz w:val="32"/>
          <w:szCs w:val="32"/>
        </w:rPr>
        <w:t>2018年度</w:t>
      </w:r>
      <w:bookmarkStart w:id="24" w:name="OLE_LINK13"/>
      <w:r>
        <w:rPr>
          <w:rFonts w:hint="eastAsia" w:ascii="仿宋_GB2312" w:eastAsia="仿宋_GB2312"/>
          <w:color w:val="000000" w:themeColor="text1"/>
          <w:sz w:val="32"/>
          <w:szCs w:val="32"/>
        </w:rPr>
        <w:t>财政拨款收入</w:t>
      </w:r>
      <w:bookmarkEnd w:id="24"/>
      <w:r>
        <w:rPr>
          <w:rFonts w:hint="eastAsia" w:ascii="仿宋_GB2312" w:eastAsia="仿宋_GB2312"/>
          <w:sz w:val="32"/>
          <w:szCs w:val="32"/>
        </w:rPr>
        <w:t>55.86</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bookmarkEnd w:id="22"/>
      <w:bookmarkEnd w:id="23"/>
      <w:bookmarkStart w:id="25" w:name="OLE_LINK62"/>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55.86</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hint="eastAsia" w:ascii="仿宋_GB2312" w:eastAsia="仿宋_GB2312"/>
          <w:color w:val="000000" w:themeColor="text1"/>
          <w:sz w:val="32"/>
          <w:szCs w:val="32"/>
        </w:rPr>
        <w:t>因此无上年对比数据</w:t>
      </w:r>
      <w:r>
        <w:rPr>
          <w:rFonts w:hint="eastAsia" w:ascii="仿宋_GB2312" w:eastAsia="仿宋_GB2312"/>
          <w:color w:val="000000" w:themeColor="text1"/>
          <w:sz w:val="32"/>
          <w:szCs w:val="32"/>
          <w:lang w:eastAsia="zh-CN"/>
        </w:rPr>
        <w:t>。</w:t>
      </w:r>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lang w:val="en-US" w:eastAsia="zh-CN"/>
        </w:rPr>
        <w:t>55.86</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55.86</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hint="eastAsia" w:ascii="仿宋_GB2312" w:eastAsia="仿宋_GB2312"/>
          <w:sz w:val="32"/>
          <w:szCs w:val="32"/>
        </w:rPr>
        <w:t>由于本单位是2018年新增单位，</w:t>
      </w:r>
      <w:r>
        <w:rPr>
          <w:rFonts w:ascii="仿宋_GB2312" w:eastAsia="仿宋_GB2312"/>
          <w:sz w:val="32"/>
          <w:szCs w:val="32"/>
        </w:rPr>
        <w:t>因此无上年对比数据。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lang w:val="en-US" w:eastAsia="zh-CN"/>
        </w:rPr>
        <w:t>55.86</w:t>
      </w:r>
      <w:r>
        <w:rPr>
          <w:rFonts w:hint="eastAsia" w:ascii="仿宋_GB2312" w:eastAsia="仿宋_GB2312"/>
          <w:color w:val="000000" w:themeColor="text1"/>
          <w:sz w:val="32"/>
          <w:szCs w:val="32"/>
        </w:rPr>
        <w:t>万元，项目支出</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w:t>
      </w:r>
      <w:r>
        <w:rPr>
          <w:rFonts w:hint="eastAsia" w:ascii="仿宋_GB2312" w:eastAsia="仿宋_GB2312"/>
          <w:sz w:val="32"/>
          <w:szCs w:val="32"/>
        </w:rPr>
        <w:t>由于本单位是2018年新增单位，因此无上年对比数据。</w:t>
      </w:r>
      <w:bookmarkEnd w:id="29"/>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54.71</w:t>
      </w:r>
      <w:r>
        <w:rPr>
          <w:rFonts w:hint="eastAsia" w:ascii="仿宋_GB2312" w:eastAsia="仿宋_GB2312"/>
          <w:color w:val="000000" w:themeColor="text1"/>
          <w:sz w:val="32"/>
          <w:szCs w:val="32"/>
        </w:rPr>
        <w:t>万元，决算数</w:t>
      </w:r>
      <w:r>
        <w:rPr>
          <w:rFonts w:hint="eastAsia" w:ascii="仿宋_GB2312" w:eastAsia="仿宋_GB2312"/>
          <w:sz w:val="32"/>
          <w:szCs w:val="32"/>
        </w:rPr>
        <w:t>55.86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，预决算差异率2.1%，差异主要原因是政策性调资增加，其中：2018年艰苦边远地区津贴调标，基本工资调标，高海拔地区工龄工资调标及补发导致本年决算数较预算数增加。</w:t>
      </w:r>
      <w:bookmarkEnd w:id="25"/>
      <w:bookmarkStart w:id="32"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54.71</w:t>
      </w:r>
      <w:r>
        <w:rPr>
          <w:rFonts w:hint="eastAsia" w:ascii="仿宋_GB2312" w:eastAsia="仿宋_GB2312"/>
          <w:color w:val="000000" w:themeColor="text1"/>
          <w:sz w:val="32"/>
          <w:szCs w:val="32"/>
        </w:rPr>
        <w:t>万元，决算数</w:t>
      </w:r>
      <w:r>
        <w:rPr>
          <w:rFonts w:hint="eastAsia" w:ascii="仿宋_GB2312" w:eastAsia="仿宋_GB2312"/>
          <w:sz w:val="32"/>
          <w:szCs w:val="32"/>
        </w:rPr>
        <w:t>55.86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，预决算差异率2.1%，差异主要原因是政策性调资增加，其中：2018年艰苦边远地区津贴调标，基本工资调标，高海拔地区工龄工资调标及补发导致本年决算数较预算数增加。</w:t>
      </w:r>
      <w:bookmarkEnd w:id="3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3" w:name="OLE_LINK64"/>
      <w:r>
        <w:rPr>
          <w:rFonts w:hint="eastAsia" w:ascii="仿宋_GB2312" w:eastAsia="仿宋_GB2312"/>
          <w:color w:val="000000" w:themeColor="text1"/>
          <w:sz w:val="32"/>
          <w:szCs w:val="32"/>
        </w:rPr>
        <w:t>2018年度</w:t>
      </w:r>
      <w:bookmarkStart w:id="34" w:name="OLE_LINK17"/>
      <w:r>
        <w:rPr>
          <w:rFonts w:hint="eastAsia" w:ascii="仿宋_GB2312" w:eastAsia="仿宋_GB2312"/>
          <w:color w:val="000000" w:themeColor="text1"/>
          <w:sz w:val="32"/>
          <w:szCs w:val="32"/>
        </w:rPr>
        <w:t>一般公共预算财政拨款收入</w:t>
      </w:r>
      <w:bookmarkEnd w:id="34"/>
      <w:r>
        <w:rPr>
          <w:rFonts w:ascii="仿宋_GB2312" w:eastAsia="仿宋_GB2312"/>
          <w:color w:val="000000" w:themeColor="text1"/>
          <w:sz w:val="32"/>
          <w:szCs w:val="32"/>
        </w:rPr>
        <w:t>55.86</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与上年相比，增加</w:t>
      </w:r>
      <w:r>
        <w:rPr>
          <w:rFonts w:hint="eastAsia" w:ascii="仿宋_GB2312" w:eastAsia="仿宋_GB2312"/>
          <w:sz w:val="32"/>
          <w:szCs w:val="32"/>
          <w:lang w:val="en-US" w:eastAsia="zh-CN"/>
        </w:rPr>
        <w:t>55.86</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ascii="仿宋_GB2312" w:eastAsia="仿宋_GB2312"/>
          <w:color w:val="000000" w:themeColor="text1"/>
          <w:sz w:val="32"/>
          <w:szCs w:val="32"/>
        </w:rPr>
        <w:t>由于本单位是2018年新增单位，因此无上年对比数据。</w:t>
      </w:r>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lang w:val="en-US" w:eastAsia="zh-CN"/>
        </w:rPr>
        <w:t>55.86</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,上年相比，增加5</w:t>
      </w:r>
      <w:r>
        <w:rPr>
          <w:rFonts w:hint="eastAsia" w:ascii="仿宋_GB2312" w:eastAsia="仿宋_GB2312"/>
          <w:sz w:val="32"/>
          <w:szCs w:val="32"/>
          <w:lang w:val="en-US" w:eastAsia="zh-CN"/>
        </w:rPr>
        <w:t>5.86</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100%，增加的主要原因是：</w:t>
      </w:r>
      <w:r>
        <w:rPr>
          <w:rFonts w:ascii="仿宋_GB2312" w:eastAsia="仿宋_GB2312"/>
          <w:color w:val="000000" w:themeColor="text1"/>
          <w:sz w:val="32"/>
          <w:szCs w:val="32"/>
        </w:rPr>
        <w:t>由于本单位是2018年新增单位，无上年数据对比</w:t>
      </w:r>
      <w:bookmarkEnd w:id="33"/>
      <w:bookmarkStart w:id="35" w:name="OLE_LINK65"/>
      <w:r>
        <w:rPr>
          <w:rFonts w:hint="eastAsia" w:ascii="仿宋_GB2312" w:eastAsia="仿宋_GB2312"/>
          <w:sz w:val="32"/>
          <w:szCs w:val="32"/>
        </w:rPr>
        <w:t>。</w:t>
      </w:r>
      <w:bookmarkEnd w:id="35"/>
      <w:r>
        <w:rPr>
          <w:rFonts w:hint="eastAsia" w:ascii="仿宋_GB2312" w:eastAsia="仿宋_GB2312"/>
          <w:color w:val="000000" w:themeColor="text1"/>
          <w:sz w:val="32"/>
          <w:szCs w:val="32"/>
        </w:rPr>
        <w:t>其中：</w:t>
      </w:r>
      <w:bookmarkStart w:id="36" w:name="OLE_LINK19"/>
      <w:r>
        <w:rPr>
          <w:rFonts w:hint="eastAsia" w:ascii="仿宋_GB2312" w:eastAsia="仿宋_GB2312"/>
          <w:color w:val="000000" w:themeColor="text1"/>
          <w:sz w:val="32"/>
          <w:szCs w:val="32"/>
        </w:rPr>
        <w:t>按功能分类科目（按类级科目公开）</w:t>
      </w:r>
      <w:bookmarkEnd w:id="36"/>
      <w:r>
        <w:rPr>
          <w:rFonts w:hint="eastAsia" w:ascii="仿宋_GB2312" w:eastAsia="仿宋_GB2312"/>
          <w:color w:val="000000" w:themeColor="text1"/>
          <w:sz w:val="32"/>
          <w:szCs w:val="32"/>
        </w:rPr>
        <w:t>，</w:t>
      </w:r>
      <w:r>
        <w:rPr>
          <w:rFonts w:hint="eastAsia" w:ascii="仿宋_GB2312" w:eastAsia="仿宋_GB2312"/>
          <w:sz w:val="32"/>
          <w:szCs w:val="32"/>
        </w:rPr>
        <w:t>住房保障支出3.78万元,一般公共服务支出46.59万元,社会保障和就业支出5.49万元。</w:t>
      </w:r>
      <w:bookmarkStart w:id="37" w:name="OLE_LINK20"/>
      <w:bookmarkStart w:id="38" w:name="OLE_LINK21"/>
      <w:r>
        <w:rPr>
          <w:rFonts w:hint="eastAsia" w:ascii="仿宋_GB2312" w:eastAsia="仿宋_GB2312"/>
          <w:color w:val="000000" w:themeColor="text1"/>
          <w:sz w:val="32"/>
          <w:szCs w:val="32"/>
        </w:rPr>
        <w:t>按经济分类科目</w:t>
      </w:r>
      <w:bookmarkEnd w:id="37"/>
      <w:r>
        <w:rPr>
          <w:rFonts w:hint="eastAsia" w:ascii="仿宋_GB2312" w:eastAsia="仿宋_GB2312"/>
          <w:color w:val="000000" w:themeColor="text1"/>
          <w:sz w:val="32"/>
          <w:szCs w:val="32"/>
        </w:rPr>
        <w:t>（按类级科目公开）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工资福利支出54.36万元,商品和服务支出1.5万元。</w:t>
      </w:r>
    </w:p>
    <w:p>
      <w:pPr>
        <w:spacing w:line="540" w:lineRule="exact"/>
        <w:ind w:firstLine="640" w:firstLineChars="200"/>
        <w:rPr>
          <w:rFonts w:ascii="仿宋_GB2312" w:eastAsia="仿宋_GB2312"/>
          <w:color w:val="000000" w:themeColor="text1"/>
          <w:sz w:val="32"/>
          <w:szCs w:val="32"/>
        </w:rPr>
      </w:pPr>
      <w:bookmarkStart w:id="39" w:name="OLE_LINK67"/>
      <w:bookmarkStart w:id="40"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54.71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55.86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，预决算差异率2.1%，差异主要原因是政策性调资增加，其中：2018年艰苦边远地区津贴调标，基本工资调标，高海拔地区工龄工资调标及补发导致本年决算数较预算数增加。</w:t>
      </w:r>
      <w:bookmarkEnd w:id="39"/>
      <w:bookmarkEnd w:id="40"/>
      <w:bookmarkStart w:id="41"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54.71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55.86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，预决算差异率2.1%，差异主要原因是政策性调资增加，其中：2018年艰苦边远地区津贴调标，基本工资调标，高海拔地区工龄工资调标及补发导致本年决算数较预算数增加。</w:t>
      </w:r>
      <w:bookmarkEnd w:id="4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2" w:name="OLE_LINK69"/>
      <w:r>
        <w:rPr>
          <w:rFonts w:hint="eastAsia" w:ascii="仿宋_GB2312" w:eastAsia="仿宋_GB2312"/>
          <w:color w:val="000000" w:themeColor="text1"/>
          <w:sz w:val="32"/>
          <w:szCs w:val="32"/>
        </w:rPr>
        <w:t>2018年度</w:t>
      </w:r>
      <w:bookmarkStart w:id="43" w:name="OLE_LINK22"/>
      <w:r>
        <w:rPr>
          <w:rFonts w:hint="eastAsia" w:ascii="仿宋_GB2312" w:eastAsia="仿宋_GB2312"/>
          <w:color w:val="000000" w:themeColor="text1"/>
          <w:sz w:val="32"/>
          <w:szCs w:val="32"/>
        </w:rPr>
        <w:t>政府性基金预算财政拨款收入</w:t>
      </w:r>
      <w:bookmarkEnd w:id="4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sz w:val="32"/>
          <w:szCs w:val="32"/>
        </w:rPr>
        <w:t>由于本单位是2018年新增单位，无上年数据对比。</w:t>
      </w:r>
      <w:bookmarkEnd w:id="42"/>
      <w:bookmarkStart w:id="44" w:name="OLE_LINK23"/>
      <w:bookmarkStart w:id="45" w:name="OLE_LINK70"/>
      <w:r>
        <w:rPr>
          <w:rFonts w:hint="eastAsia" w:ascii="仿宋_GB2312" w:eastAsia="仿宋_GB2312"/>
          <w:color w:val="000000" w:themeColor="text1"/>
          <w:sz w:val="32"/>
          <w:szCs w:val="32"/>
        </w:rPr>
        <w:t>政府性基金预算支出</w:t>
      </w:r>
      <w:bookmarkEnd w:id="44"/>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sz w:val="32"/>
          <w:szCs w:val="32"/>
        </w:rPr>
        <w:t>由于本单位是2018年新增单位，无上年数据对比。</w:t>
      </w:r>
      <w:bookmarkEnd w:id="45"/>
      <w:r>
        <w:rPr>
          <w:rFonts w:hint="eastAsia" w:ascii="仿宋_GB2312" w:eastAsia="仿宋_GB2312"/>
          <w:color w:val="000000" w:themeColor="text1"/>
          <w:sz w:val="32"/>
          <w:szCs w:val="32"/>
        </w:rPr>
        <w:t>其中：</w:t>
      </w:r>
      <w:bookmarkStart w:id="46" w:name="OLE_LINK24"/>
      <w:r>
        <w:rPr>
          <w:rFonts w:hint="eastAsia" w:ascii="仿宋_GB2312" w:eastAsia="仿宋_GB2312"/>
          <w:color w:val="000000" w:themeColor="text1"/>
          <w:sz w:val="32"/>
          <w:szCs w:val="32"/>
        </w:rPr>
        <w:t>按功能分类科目（按类级科目公开）</w:t>
      </w:r>
      <w:bookmarkEnd w:id="46"/>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7" w:name="OLE_LINK71"/>
      <w:bookmarkStart w:id="48"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7"/>
      <w:bookmarkEnd w:id="48"/>
      <w:bookmarkStart w:id="49"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sz w:val="32"/>
          <w:szCs w:val="32"/>
        </w:rPr>
      </w:pPr>
      <w:bookmarkStart w:id="50" w:name="OLE_LINK79"/>
      <w:bookmarkStart w:id="51" w:name="OLE_LINK80"/>
      <w:r>
        <w:rPr>
          <w:rFonts w:hint="eastAsia" w:ascii="仿宋_GB2312" w:eastAsia="仿宋_GB2312"/>
          <w:color w:val="000000"/>
          <w:sz w:val="32"/>
          <w:szCs w:val="32"/>
        </w:rPr>
        <w:t>2018年度一般公共预算“三公”经费支出决算</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本单位无</w:t>
      </w:r>
      <w:r>
        <w:rPr>
          <w:rFonts w:hint="eastAsia" w:ascii="仿宋_GB2312" w:eastAsia="仿宋_GB2312"/>
          <w:color w:val="000000"/>
          <w:sz w:val="32"/>
          <w:szCs w:val="32"/>
        </w:rPr>
        <w:t>“三公”经费支出</w:t>
      </w:r>
      <w:r>
        <w:rPr>
          <w:rFonts w:hint="eastAsia" w:ascii="仿宋_GB2312" w:eastAsia="仿宋_GB2312"/>
          <w:sz w:val="32"/>
          <w:szCs w:val="32"/>
        </w:rPr>
        <w:t>。</w:t>
      </w:r>
      <w:r>
        <w:rPr>
          <w:rFonts w:hint="eastAsia" w:ascii="仿宋_GB2312" w:eastAsia="仿宋_GB2312"/>
          <w:color w:val="000000"/>
          <w:sz w:val="32"/>
          <w:szCs w:val="32"/>
        </w:rPr>
        <w:t>其中，因公出国（境）费支出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r>
        <w:rPr>
          <w:rFonts w:hint="eastAsia" w:ascii="仿宋_GB2312" w:eastAsia="仿宋_GB2312"/>
          <w:color w:val="000000"/>
          <w:sz w:val="32"/>
          <w:szCs w:val="32"/>
        </w:rPr>
        <w:t>公务用车购置及运行维护费支出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的主要原因是：本单位无公务用车购置及维护</w:t>
      </w:r>
      <w:r>
        <w:rPr>
          <w:rFonts w:hint="eastAsia" w:ascii="仿宋_GB2312" w:eastAsia="仿宋_GB2312"/>
          <w:color w:val="000000"/>
          <w:sz w:val="32"/>
          <w:szCs w:val="32"/>
        </w:rPr>
        <w:t>费</w:t>
      </w:r>
      <w:r>
        <w:rPr>
          <w:rFonts w:hint="eastAsia" w:ascii="仿宋_GB2312" w:eastAsia="仿宋_GB2312"/>
          <w:sz w:val="32"/>
          <w:szCs w:val="32"/>
        </w:rPr>
        <w:t>支出；</w:t>
      </w:r>
      <w:r>
        <w:rPr>
          <w:rFonts w:hint="eastAsia" w:ascii="仿宋_GB2312" w:eastAsia="仿宋_GB2312"/>
          <w:color w:val="000000"/>
          <w:sz w:val="32"/>
          <w:szCs w:val="32"/>
        </w:rPr>
        <w:t>公务接待费支出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新疆喀什地区塔什库尔干县信访局</w:t>
      </w:r>
      <w:r>
        <w:rPr>
          <w:rFonts w:hint="eastAsia" w:ascii="仿宋_GB2312" w:eastAsia="仿宋_GB2312"/>
          <w:color w:val="000000" w:themeColor="text1"/>
          <w:sz w:val="32"/>
          <w:szCs w:val="32"/>
        </w:rPr>
        <w:t>单位</w:t>
      </w:r>
      <w:bookmarkStart w:id="52" w:name="OLE_LINK33"/>
      <w:r>
        <w:rPr>
          <w:rFonts w:hint="eastAsia" w:ascii="仿宋_GB2312" w:eastAsia="仿宋_GB2312"/>
          <w:color w:val="000000" w:themeColor="text1"/>
          <w:sz w:val="32"/>
          <w:szCs w:val="32"/>
        </w:rPr>
        <w:t>全年</w:t>
      </w:r>
      <w:bookmarkStart w:id="53" w:name="OLE_LINK35"/>
      <w:bookmarkStart w:id="54" w:name="OLE_LINK34"/>
      <w:bookmarkStart w:id="55" w:name="OLE_LINK36"/>
      <w:r>
        <w:rPr>
          <w:rFonts w:hint="eastAsia" w:ascii="仿宋_GB2312" w:eastAsia="仿宋_GB2312"/>
          <w:color w:val="000000" w:themeColor="text1"/>
          <w:sz w:val="32"/>
          <w:szCs w:val="32"/>
        </w:rPr>
        <w:t>使用一般公共预算财政拨款安排的出国（境）团组</w:t>
      </w:r>
      <w:bookmarkEnd w:id="52"/>
      <w:bookmarkEnd w:id="53"/>
      <w:bookmarkEnd w:id="54"/>
      <w:r>
        <w:rPr>
          <w:rFonts w:hint="eastAsia" w:ascii="仿宋_GB2312" w:eastAsia="仿宋_GB2312"/>
          <w:sz w:val="32"/>
          <w:szCs w:val="32"/>
        </w:rPr>
        <w:t>0</w:t>
      </w:r>
      <w:r>
        <w:rPr>
          <w:rFonts w:hint="eastAsia" w:ascii="仿宋_GB2312" w:eastAsia="仿宋_GB2312"/>
          <w:color w:val="000000" w:themeColor="text1"/>
          <w:sz w:val="32"/>
          <w:szCs w:val="32"/>
        </w:rPr>
        <w:t>个</w:t>
      </w:r>
      <w:bookmarkEnd w:id="55"/>
      <w:r>
        <w:rPr>
          <w:rFonts w:hint="eastAsia" w:ascii="仿宋_GB2312" w:eastAsia="仿宋_GB2312"/>
          <w:color w:val="000000" w:themeColor="text1"/>
          <w:sz w:val="32"/>
          <w:szCs w:val="32"/>
        </w:rPr>
        <w:t>，</w:t>
      </w:r>
      <w:bookmarkStart w:id="56"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56"/>
      <w:r>
        <w:rPr>
          <w:rFonts w:hint="eastAsia" w:ascii="仿宋_GB2312" w:eastAsia="仿宋_GB2312"/>
          <w:color w:val="000000" w:themeColor="text1"/>
          <w:sz w:val="32"/>
          <w:szCs w:val="32"/>
        </w:rPr>
        <w:t>。</w:t>
      </w:r>
      <w:bookmarkStart w:id="57"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本年无因公出国（境）费支出。</w:t>
      </w:r>
      <w:bookmarkEnd w:id="50"/>
      <w:bookmarkEnd w:id="51"/>
      <w:bookmarkEnd w:id="57"/>
    </w:p>
    <w:p>
      <w:pPr>
        <w:spacing w:line="540" w:lineRule="exact"/>
        <w:ind w:firstLine="640" w:firstLineChars="200"/>
        <w:rPr>
          <w:rFonts w:ascii="仿宋_GB2312" w:eastAsia="仿宋_GB2312"/>
          <w:color w:val="000000" w:themeColor="text1"/>
          <w:sz w:val="32"/>
          <w:szCs w:val="32"/>
        </w:rPr>
      </w:pPr>
      <w:bookmarkStart w:id="58"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59"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59"/>
      <w:r>
        <w:rPr>
          <w:rFonts w:hint="eastAsia" w:ascii="仿宋_GB2312" w:eastAsia="仿宋_GB2312"/>
          <w:color w:val="000000" w:themeColor="text1"/>
          <w:sz w:val="32"/>
          <w:szCs w:val="32"/>
        </w:rPr>
        <w:t>，</w:t>
      </w:r>
      <w:bookmarkStart w:id="60" w:name="OLE_LINK41"/>
      <w:bookmarkStart w:id="61"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0"/>
      <w:bookmarkEnd w:id="61"/>
      <w:r>
        <w:rPr>
          <w:rFonts w:hint="eastAsia" w:ascii="仿宋_GB2312" w:eastAsia="仿宋_GB2312"/>
          <w:color w:val="000000" w:themeColor="text1"/>
          <w:sz w:val="32"/>
          <w:szCs w:val="32"/>
        </w:rPr>
        <w:t>。主要用于</w:t>
      </w:r>
      <w:r>
        <w:rPr>
          <w:rFonts w:hint="eastAsia" w:ascii="仿宋_GB2312" w:eastAsia="仿宋_GB2312"/>
          <w:sz w:val="32"/>
          <w:szCs w:val="32"/>
        </w:rPr>
        <w:t>本年无公务用车购置及运行维护费支出</w:t>
      </w:r>
      <w:r>
        <w:rPr>
          <w:rFonts w:hint="eastAsia" w:ascii="仿宋_GB2312" w:eastAsia="仿宋_GB2312"/>
          <w:color w:val="000000" w:themeColor="text1"/>
          <w:sz w:val="32"/>
          <w:szCs w:val="32"/>
        </w:rPr>
        <w:t>等。</w:t>
      </w:r>
      <w:bookmarkEnd w:id="58"/>
      <w:bookmarkStart w:id="62"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62"/>
    </w:p>
    <w:p>
      <w:pPr>
        <w:spacing w:line="540" w:lineRule="exact"/>
        <w:ind w:firstLine="640" w:firstLineChars="200"/>
        <w:rPr>
          <w:rFonts w:ascii="仿宋_GB2312" w:eastAsia="仿宋_GB2312"/>
          <w:color w:val="000000" w:themeColor="text1"/>
          <w:sz w:val="32"/>
          <w:szCs w:val="32"/>
        </w:rPr>
      </w:pPr>
      <w:bookmarkStart w:id="63"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本年无公务接待费支出</w:t>
      </w:r>
      <w:r>
        <w:rPr>
          <w:rFonts w:hint="eastAsia" w:ascii="仿宋_GB2312" w:eastAsia="仿宋_GB2312"/>
          <w:color w:val="000000" w:themeColor="text1"/>
          <w:sz w:val="32"/>
          <w:szCs w:val="32"/>
        </w:rPr>
        <w:t>等。</w:t>
      </w:r>
      <w:bookmarkEnd w:id="63"/>
      <w:bookmarkStart w:id="64" w:name="OLE_LINK84"/>
      <w:r>
        <w:rPr>
          <w:rFonts w:hint="eastAsia" w:ascii="仿宋_GB2312" w:eastAsia="仿宋_GB2312"/>
          <w:sz w:val="32"/>
          <w:szCs w:val="32"/>
        </w:rPr>
        <w:t>新疆喀什地区塔什库尔干县信访局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4"/>
    </w:p>
    <w:p>
      <w:pPr>
        <w:spacing w:line="540" w:lineRule="exact"/>
        <w:ind w:firstLine="640" w:firstLineChars="200"/>
        <w:rPr>
          <w:rFonts w:ascii="仿宋_GB2312" w:hAnsi="宋体" w:eastAsia="仿宋_GB2312" w:cs="宋体"/>
          <w:color w:val="000000" w:themeColor="text1"/>
          <w:kern w:val="0"/>
          <w:sz w:val="32"/>
          <w:szCs w:val="32"/>
        </w:rPr>
      </w:pPr>
      <w:bookmarkStart w:id="65"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5"/>
      <w:bookmarkStart w:id="66" w:name="OLE_LINK86"/>
      <w:bookmarkStart w:id="67"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6"/>
      <w:bookmarkEnd w:id="67"/>
      <w:bookmarkStart w:id="68" w:name="OLE_LINK88"/>
      <w:bookmarkStart w:id="69"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68"/>
      <w:bookmarkEnd w:id="69"/>
      <w:bookmarkStart w:id="70"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0"/>
      <w:bookmarkStart w:id="71"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1"/>
      <w:r>
        <w:rPr>
          <w:rFonts w:ascii="仿宋_GB2312" w:eastAsia="仿宋_GB2312"/>
          <w:color w:val="000000" w:themeColor="text1"/>
          <w:sz w:val="32"/>
          <w:szCs w:val="32"/>
        </w:rPr>
        <w:t>无</w:t>
      </w:r>
      <w:r>
        <w:rPr>
          <w:rFonts w:hint="eastAsia" w:ascii="仿宋_GB2312" w:eastAsia="仿宋_GB2312"/>
          <w:color w:val="000000" w:themeColor="text1"/>
          <w:sz w:val="32"/>
          <w:szCs w:val="32"/>
          <w:lang w:eastAsia="zh-CN"/>
        </w:rPr>
        <w:t>差异</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2018年度新疆喀什地区塔什库尔干县信访局机关运行经费支出1.5万元</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与上年相比，</w:t>
      </w:r>
      <w:r>
        <w:rPr>
          <w:rFonts w:hint="eastAsia" w:ascii="仿宋_GB2312" w:eastAsia="仿宋_GB2312"/>
          <w:color w:val="000000" w:themeColor="text1"/>
          <w:sz w:val="32"/>
          <w:szCs w:val="32"/>
          <w:lang w:eastAsia="zh-CN"/>
        </w:rPr>
        <w:t>增加</w:t>
      </w:r>
      <w:r>
        <w:rPr>
          <w:rFonts w:hint="eastAsia" w:ascii="仿宋_GB2312" w:eastAsia="仿宋_GB2312"/>
          <w:color w:val="000000" w:themeColor="text1"/>
          <w:sz w:val="32"/>
          <w:szCs w:val="32"/>
          <w:lang w:val="en-US" w:eastAsia="zh-CN"/>
        </w:rPr>
        <w:t>1.5</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增长</w:t>
      </w:r>
      <w:r>
        <w:rPr>
          <w:rFonts w:hint="eastAsia" w:ascii="仿宋_GB2312" w:eastAsia="仿宋_GB2312"/>
          <w:color w:val="000000" w:themeColor="text1"/>
          <w:sz w:val="32"/>
          <w:szCs w:val="32"/>
          <w:lang w:val="en-US" w:eastAsia="zh-CN"/>
        </w:rPr>
        <w:t>100</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eastAsia="zh-CN"/>
        </w:rPr>
        <w:t>增加</w:t>
      </w:r>
      <w:r>
        <w:rPr>
          <w:rFonts w:hint="eastAsia" w:ascii="仿宋_GB2312" w:eastAsia="仿宋_GB2312"/>
          <w:color w:val="000000" w:themeColor="text1"/>
          <w:sz w:val="32"/>
          <w:szCs w:val="32"/>
        </w:rPr>
        <w:t>的主要原因是：由于本单位是2018年新增单位，因此无上年对比数据。</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2" w:name="OLE_LINK45"/>
      <w:r>
        <w:rPr>
          <w:rFonts w:hint="eastAsia" w:ascii="仿宋_GB2312" w:eastAsia="仿宋_GB2312"/>
          <w:color w:val="000000" w:themeColor="text1"/>
          <w:sz w:val="32"/>
          <w:szCs w:val="32"/>
        </w:rPr>
        <w:t>政府采购支出总额</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3" w:name="OLE_LINK46"/>
      <w:r>
        <w:rPr>
          <w:rFonts w:hint="eastAsia" w:ascii="仿宋_GB2312" w:eastAsia="仿宋_GB2312"/>
          <w:color w:val="000000" w:themeColor="text1"/>
          <w:sz w:val="32"/>
          <w:szCs w:val="32"/>
        </w:rPr>
        <w:t>政府采购货物支出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4" w:name="OLE_LINK47"/>
      <w:r>
        <w:rPr>
          <w:rFonts w:hint="eastAsia" w:ascii="仿宋_GB2312" w:eastAsia="仿宋_GB2312"/>
          <w:color w:val="000000" w:themeColor="text1"/>
          <w:sz w:val="32"/>
          <w:szCs w:val="32"/>
        </w:rPr>
        <w:t>政府采购工程支出</w:t>
      </w:r>
      <w:bookmarkEnd w:id="74"/>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5" w:name="OLE_LINK48"/>
      <w:r>
        <w:rPr>
          <w:rFonts w:hint="eastAsia" w:ascii="仿宋_GB2312" w:eastAsia="仿宋_GB2312"/>
          <w:color w:val="000000" w:themeColor="text1"/>
          <w:sz w:val="32"/>
          <w:szCs w:val="32"/>
        </w:rPr>
        <w:t>政府采购服务支出</w:t>
      </w:r>
      <w:bookmarkEnd w:id="75"/>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6"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6"/>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2018年度，本部门单位预算绩效自评情况：</w:t>
      </w:r>
      <w:r>
        <w:rPr>
          <w:rFonts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w:t>
      </w:r>
      <w:r>
        <w:rPr>
          <w:rFonts w:ascii="仿宋_GB2312" w:eastAsia="仿宋_GB2312"/>
          <w:color w:val="000000" w:themeColor="text1"/>
          <w:sz w:val="32"/>
          <w:szCs w:val="32"/>
        </w:rPr>
        <w:t>0</w:t>
      </w:r>
      <w:r>
        <w:rPr>
          <w:rFonts w:hint="eastAsia" w:ascii="仿宋_GB2312" w:eastAsia="仿宋_GB2312"/>
          <w:color w:val="000000" w:themeColor="text1"/>
          <w:sz w:val="32"/>
          <w:szCs w:val="32"/>
        </w:rPr>
        <w:t>个，涉及预算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万元，项目支出决算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221（类）02（款）01（项）指：住房公积金。201（类）03（款）08（项）指：信访事务。208（类）05（款）05（项）指：机关事业单位基本养老保险缴费支出。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50C5C"/>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2B2167A"/>
    <w:rsid w:val="02CC665E"/>
    <w:rsid w:val="03AA79F6"/>
    <w:rsid w:val="03E672C8"/>
    <w:rsid w:val="04741FE5"/>
    <w:rsid w:val="04DB02C7"/>
    <w:rsid w:val="0570458F"/>
    <w:rsid w:val="06B856EE"/>
    <w:rsid w:val="07387363"/>
    <w:rsid w:val="078754D7"/>
    <w:rsid w:val="07E74BC9"/>
    <w:rsid w:val="07FE5938"/>
    <w:rsid w:val="084604BC"/>
    <w:rsid w:val="08883825"/>
    <w:rsid w:val="09725983"/>
    <w:rsid w:val="0A382BB5"/>
    <w:rsid w:val="0AA4543A"/>
    <w:rsid w:val="0B0A212F"/>
    <w:rsid w:val="0BE61132"/>
    <w:rsid w:val="0C9B0DD6"/>
    <w:rsid w:val="0CE4791C"/>
    <w:rsid w:val="0E063C64"/>
    <w:rsid w:val="0F4C7B96"/>
    <w:rsid w:val="0FFB575E"/>
    <w:rsid w:val="10845F1B"/>
    <w:rsid w:val="11463A00"/>
    <w:rsid w:val="11600918"/>
    <w:rsid w:val="11B0398F"/>
    <w:rsid w:val="13B960C5"/>
    <w:rsid w:val="152777F4"/>
    <w:rsid w:val="15C674B6"/>
    <w:rsid w:val="173B6189"/>
    <w:rsid w:val="17731505"/>
    <w:rsid w:val="18356AFE"/>
    <w:rsid w:val="18D54A0D"/>
    <w:rsid w:val="18E45A94"/>
    <w:rsid w:val="1A4106A0"/>
    <w:rsid w:val="1A4F5437"/>
    <w:rsid w:val="1AB77CD0"/>
    <w:rsid w:val="1E435049"/>
    <w:rsid w:val="1E807156"/>
    <w:rsid w:val="1EA657F6"/>
    <w:rsid w:val="1F097CB6"/>
    <w:rsid w:val="2166156B"/>
    <w:rsid w:val="21B02D83"/>
    <w:rsid w:val="21F8558A"/>
    <w:rsid w:val="22A236F5"/>
    <w:rsid w:val="232A1C40"/>
    <w:rsid w:val="23995975"/>
    <w:rsid w:val="23AB2152"/>
    <w:rsid w:val="2432220E"/>
    <w:rsid w:val="248303BA"/>
    <w:rsid w:val="24837E47"/>
    <w:rsid w:val="252E01AA"/>
    <w:rsid w:val="2680023E"/>
    <w:rsid w:val="29680352"/>
    <w:rsid w:val="2A020F75"/>
    <w:rsid w:val="2A49311F"/>
    <w:rsid w:val="2B007AEE"/>
    <w:rsid w:val="2BC14C56"/>
    <w:rsid w:val="2C065E53"/>
    <w:rsid w:val="2C1B026F"/>
    <w:rsid w:val="2CC61F55"/>
    <w:rsid w:val="2D12387C"/>
    <w:rsid w:val="2EF7452F"/>
    <w:rsid w:val="2F1D13B4"/>
    <w:rsid w:val="2FAA3DA6"/>
    <w:rsid w:val="2FDF0F58"/>
    <w:rsid w:val="2FF53C8B"/>
    <w:rsid w:val="30682E1F"/>
    <w:rsid w:val="309F6C22"/>
    <w:rsid w:val="30E210D2"/>
    <w:rsid w:val="311371D6"/>
    <w:rsid w:val="31EB64C9"/>
    <w:rsid w:val="336D0D6F"/>
    <w:rsid w:val="33F46D7D"/>
    <w:rsid w:val="34157AB3"/>
    <w:rsid w:val="346E68C2"/>
    <w:rsid w:val="34F606F0"/>
    <w:rsid w:val="352E4BEC"/>
    <w:rsid w:val="37DD5594"/>
    <w:rsid w:val="38F24FA8"/>
    <w:rsid w:val="3A98342A"/>
    <w:rsid w:val="3AB6780E"/>
    <w:rsid w:val="3AD56D70"/>
    <w:rsid w:val="3AFF45FB"/>
    <w:rsid w:val="3B2920C2"/>
    <w:rsid w:val="3B81591D"/>
    <w:rsid w:val="3BE41ABD"/>
    <w:rsid w:val="3C5421A9"/>
    <w:rsid w:val="3D903B21"/>
    <w:rsid w:val="3E8822E8"/>
    <w:rsid w:val="3EFA6DA4"/>
    <w:rsid w:val="3F440741"/>
    <w:rsid w:val="40D4302E"/>
    <w:rsid w:val="4179639F"/>
    <w:rsid w:val="41FC306C"/>
    <w:rsid w:val="44270766"/>
    <w:rsid w:val="44BE5554"/>
    <w:rsid w:val="451E0908"/>
    <w:rsid w:val="452C2D31"/>
    <w:rsid w:val="45984E72"/>
    <w:rsid w:val="45D26E14"/>
    <w:rsid w:val="46A541B1"/>
    <w:rsid w:val="48C57772"/>
    <w:rsid w:val="49782886"/>
    <w:rsid w:val="4A6F0D28"/>
    <w:rsid w:val="4AAF085C"/>
    <w:rsid w:val="4AEB7E60"/>
    <w:rsid w:val="4B4B135B"/>
    <w:rsid w:val="4BC7055F"/>
    <w:rsid w:val="4C5F3576"/>
    <w:rsid w:val="4CFC7DB2"/>
    <w:rsid w:val="4E7C187D"/>
    <w:rsid w:val="4ED17AF1"/>
    <w:rsid w:val="4EE80A38"/>
    <w:rsid w:val="508941AD"/>
    <w:rsid w:val="50E65530"/>
    <w:rsid w:val="50E70346"/>
    <w:rsid w:val="51457139"/>
    <w:rsid w:val="51574DBD"/>
    <w:rsid w:val="51EC1DA8"/>
    <w:rsid w:val="52FC5524"/>
    <w:rsid w:val="53075BCB"/>
    <w:rsid w:val="531A3E33"/>
    <w:rsid w:val="532D7A17"/>
    <w:rsid w:val="53AD0B11"/>
    <w:rsid w:val="54701358"/>
    <w:rsid w:val="54AF4562"/>
    <w:rsid w:val="54C9674B"/>
    <w:rsid w:val="54DE24FB"/>
    <w:rsid w:val="556318EA"/>
    <w:rsid w:val="55A60AA1"/>
    <w:rsid w:val="56451615"/>
    <w:rsid w:val="57FC5774"/>
    <w:rsid w:val="5901319C"/>
    <w:rsid w:val="599C50FA"/>
    <w:rsid w:val="59A9518B"/>
    <w:rsid w:val="59B332C9"/>
    <w:rsid w:val="5A44758A"/>
    <w:rsid w:val="5BEC4BB3"/>
    <w:rsid w:val="5C070B55"/>
    <w:rsid w:val="5CB96DCE"/>
    <w:rsid w:val="5CBF7BFE"/>
    <w:rsid w:val="5CE61580"/>
    <w:rsid w:val="5D175666"/>
    <w:rsid w:val="5D556A3C"/>
    <w:rsid w:val="5D7B25C9"/>
    <w:rsid w:val="5E866E63"/>
    <w:rsid w:val="5ECB44B4"/>
    <w:rsid w:val="5EE2043C"/>
    <w:rsid w:val="5FAF0A8B"/>
    <w:rsid w:val="602D2E37"/>
    <w:rsid w:val="61460FBE"/>
    <w:rsid w:val="627010B6"/>
    <w:rsid w:val="62775810"/>
    <w:rsid w:val="62D83744"/>
    <w:rsid w:val="630F4048"/>
    <w:rsid w:val="63AA02E5"/>
    <w:rsid w:val="64700DE9"/>
    <w:rsid w:val="65433C61"/>
    <w:rsid w:val="65C613BD"/>
    <w:rsid w:val="65FD118C"/>
    <w:rsid w:val="682922DB"/>
    <w:rsid w:val="682C3D89"/>
    <w:rsid w:val="683C4BE9"/>
    <w:rsid w:val="68611305"/>
    <w:rsid w:val="6A162DE0"/>
    <w:rsid w:val="6A331428"/>
    <w:rsid w:val="6A49135F"/>
    <w:rsid w:val="6B2E5CB6"/>
    <w:rsid w:val="6B3D4886"/>
    <w:rsid w:val="6DF8675E"/>
    <w:rsid w:val="6EA80098"/>
    <w:rsid w:val="6F8D70FF"/>
    <w:rsid w:val="6FFE5011"/>
    <w:rsid w:val="70940E99"/>
    <w:rsid w:val="7178734D"/>
    <w:rsid w:val="71791096"/>
    <w:rsid w:val="717B0C34"/>
    <w:rsid w:val="71FB78FD"/>
    <w:rsid w:val="7275064A"/>
    <w:rsid w:val="733F750B"/>
    <w:rsid w:val="735702E2"/>
    <w:rsid w:val="765F635A"/>
    <w:rsid w:val="76B73454"/>
    <w:rsid w:val="76D254BD"/>
    <w:rsid w:val="77727ACD"/>
    <w:rsid w:val="77BE0484"/>
    <w:rsid w:val="78071142"/>
    <w:rsid w:val="78BD6BBE"/>
    <w:rsid w:val="79296B37"/>
    <w:rsid w:val="7A4C4C40"/>
    <w:rsid w:val="7AA0518E"/>
    <w:rsid w:val="7B041636"/>
    <w:rsid w:val="7B2D69B7"/>
    <w:rsid w:val="7CA86749"/>
    <w:rsid w:val="7D243D06"/>
    <w:rsid w:val="7E551386"/>
    <w:rsid w:val="7EC92370"/>
    <w:rsid w:val="7EDE0879"/>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2020-04-05T04:21:56Z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