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2018年度新疆喀什地区塔什库尔干县统计局部门决算公开说明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1、依照国家法律、法规，制定全县统计工作现代化建设规划和统计调查计划，组织领导和协调全县统计工作，检查监督全县统计法规的实施。</w:t>
      </w:r>
      <w:r>
        <w:rPr>
          <w:rFonts w:hint="eastAsia" w:ascii="仿宋_GB2312" w:eastAsia="仿宋_GB2312"/>
          <w:sz w:val="32"/>
          <w:szCs w:val="32"/>
        </w:rPr>
        <w:br w:type="textWrapping"/>
      </w:r>
      <w:r>
        <w:rPr>
          <w:rFonts w:hint="eastAsia" w:ascii="仿宋_GB2312" w:eastAsia="仿宋_GB2312"/>
          <w:sz w:val="32"/>
          <w:szCs w:val="32"/>
        </w:rPr>
        <w:t>2、在县政府领导下，会同有关部门组织重大的县情县力普查；搜集、整理、提供全县性的基本统计资料，并对经济、社会发展和科技进步情况进行统计调查、统计分析、统计预测和统计监督，及时向县委、县政府和其它有关部门提供咨询建议。</w:t>
      </w:r>
      <w:r>
        <w:rPr>
          <w:rFonts w:hint="eastAsia" w:ascii="仿宋_GB2312" w:eastAsia="仿宋_GB2312"/>
          <w:sz w:val="32"/>
          <w:szCs w:val="32"/>
        </w:rPr>
        <w:br w:type="textWrapping"/>
      </w:r>
      <w:r>
        <w:rPr>
          <w:rFonts w:hint="eastAsia" w:ascii="仿宋_GB2312" w:eastAsia="仿宋_GB2312"/>
          <w:sz w:val="32"/>
          <w:szCs w:val="32"/>
        </w:rPr>
        <w:t>3、宣传、贯彻统计法律法规，组织统计执法检查，查处统计违法案件：为县政府考核提供统计数据。</w:t>
      </w:r>
      <w:r>
        <w:rPr>
          <w:rFonts w:hint="eastAsia" w:ascii="仿宋_GB2312" w:eastAsia="仿宋_GB2312"/>
          <w:sz w:val="32"/>
          <w:szCs w:val="32"/>
        </w:rPr>
        <w:br w:type="textWrapping"/>
      </w:r>
      <w:r>
        <w:rPr>
          <w:rFonts w:hint="eastAsia" w:ascii="仿宋_GB2312" w:eastAsia="仿宋_GB2312"/>
          <w:sz w:val="32"/>
          <w:szCs w:val="32"/>
        </w:rPr>
        <w:t>4、审批、指导县各部门制定的统计调查计划、调查方案以及制发的统计调查表；检查、审定、管理、公布、出版全县性的基本统计资料，定期发布全县经济和社会发展情况的统计公报。</w:t>
      </w:r>
      <w:r>
        <w:rPr>
          <w:rFonts w:hint="eastAsia" w:ascii="仿宋_GB2312" w:eastAsia="仿宋_GB2312"/>
          <w:sz w:val="32"/>
          <w:szCs w:val="32"/>
        </w:rPr>
        <w:br w:type="textWrapping"/>
      </w:r>
      <w:r>
        <w:rPr>
          <w:rFonts w:hint="eastAsia" w:ascii="仿宋_GB2312" w:eastAsia="仿宋_GB2312"/>
          <w:sz w:val="32"/>
          <w:szCs w:val="32"/>
        </w:rPr>
        <w:t>5、建立和管理本县统计信息自动化系统和统计数据库。</w:t>
      </w:r>
      <w:r>
        <w:rPr>
          <w:rFonts w:hint="eastAsia" w:ascii="仿宋_GB2312" w:eastAsia="仿宋_GB2312"/>
          <w:sz w:val="32"/>
          <w:szCs w:val="32"/>
        </w:rPr>
        <w:br w:type="textWrapping"/>
      </w:r>
      <w:r>
        <w:rPr>
          <w:rFonts w:hint="eastAsia" w:ascii="仿宋_GB2312" w:eastAsia="仿宋_GB2312"/>
          <w:sz w:val="32"/>
          <w:szCs w:val="32"/>
        </w:rPr>
        <w:t>6、组织全县统计干部的继续教育、统计专业知识培训。</w:t>
      </w:r>
      <w:r>
        <w:rPr>
          <w:rFonts w:hint="eastAsia" w:ascii="仿宋_GB2312" w:eastAsia="仿宋_GB2312"/>
          <w:sz w:val="32"/>
          <w:szCs w:val="32"/>
        </w:rPr>
        <w:br w:type="textWrapping"/>
      </w:r>
      <w:r>
        <w:rPr>
          <w:rFonts w:hint="eastAsia" w:ascii="仿宋_GB2312" w:eastAsia="仿宋_GB2312"/>
          <w:sz w:val="32"/>
          <w:szCs w:val="32"/>
        </w:rPr>
        <w:t>7、接受县内外统计信息用户的咨询,承接委托统计调查任务。</w:t>
      </w:r>
      <w:r>
        <w:rPr>
          <w:rFonts w:hint="eastAsia" w:ascii="仿宋_GB2312" w:eastAsia="仿宋_GB2312"/>
          <w:sz w:val="32"/>
          <w:szCs w:val="32"/>
        </w:rPr>
        <w:br w:type="textWrapping"/>
      </w:r>
      <w:r>
        <w:rPr>
          <w:rFonts w:hint="eastAsia" w:ascii="仿宋_GB2312" w:eastAsia="仿宋_GB2312"/>
          <w:sz w:val="32"/>
          <w:szCs w:val="32"/>
        </w:rPr>
        <w:t>8、承办县政府交办的其它事项。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新疆喀什地区塔什库尔干县统计局</w:t>
      </w:r>
      <w:r>
        <w:rPr>
          <w:rFonts w:hint="eastAsia" w:ascii="仿宋_GB2312" w:eastAsia="仿宋_GB2312"/>
          <w:sz w:val="32"/>
          <w:szCs w:val="32"/>
        </w:rPr>
        <w:t>部门决算包括：</w:t>
      </w:r>
      <w:r>
        <w:rPr>
          <w:rFonts w:ascii="仿宋_GB2312" w:eastAsia="仿宋_GB2312"/>
          <w:sz w:val="32"/>
          <w:szCs w:val="32"/>
        </w:rPr>
        <w:t>新疆喀什地区塔什库尔干县统计局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新疆喀什地区塔什库尔干县统计局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新疆喀什地区塔什库尔干塔吉克自治县统计局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166.33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，与上年相比，增加43.88万元，增长35.84%，增加的主要原因是：</w:t>
      </w:r>
      <w:r>
        <w:rPr>
          <w:rFonts w:hint="eastAsia" w:ascii="仿宋_GB2312" w:eastAsia="仿宋_GB2312"/>
          <w:color w:val="000000" w:themeColor="text1"/>
          <w:sz w:val="32"/>
          <w:szCs w:val="32"/>
        </w:rPr>
        <w:t>一是人员基本工资、津贴补贴增加；二是日常公用经费增加；三是第四次全国经济普查经费项目资金增加，以上经费的增加导致本年决算数较上年数增加；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166.33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，与上年相比，增加43.88万元，增长35.84%，增加的主要原因是：</w:t>
      </w:r>
      <w:r>
        <w:rPr>
          <w:rFonts w:hint="eastAsia" w:ascii="仿宋_GB2312" w:eastAsia="仿宋_GB2312"/>
          <w:color w:val="000000" w:themeColor="text1"/>
          <w:sz w:val="32"/>
          <w:szCs w:val="32"/>
        </w:rPr>
        <w:t>一是人员基本工资、津贴补贴增加；二是日常公用经费增加；三是第四次全国经济普查经费项目资金增加，以上经费的增加导致本年决算数较上年数增加；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166.33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166.33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况：本年收入年初预算数121.22万元</w:t>
      </w:r>
      <w:r>
        <w:rPr>
          <w:rFonts w:hint="eastAsia" w:ascii="仿宋_GB2312" w:eastAsia="仿宋_GB2312"/>
          <w:sz w:val="32"/>
          <w:szCs w:val="32"/>
        </w:rPr>
        <w:t>，决算数166.33万元</w:t>
      </w:r>
      <w:r>
        <w:rPr>
          <w:rFonts w:ascii="仿宋_GB2312" w:eastAsia="仿宋_GB2312"/>
          <w:sz w:val="32"/>
          <w:szCs w:val="32"/>
        </w:rPr>
        <w:t>，预决算差异率37.21%，差异主要原因是一是在职人员政策性工资调资增加人员经费；二是项目资金支出未纳入年初预算导致决算数较年初预算数增加。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166.33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145.35</w:t>
      </w:r>
      <w:r>
        <w:rPr>
          <w:rFonts w:hint="eastAsia" w:ascii="仿宋_GB2312" w:eastAsia="仿宋_GB2312"/>
          <w:color w:val="000000" w:themeColor="text1"/>
          <w:sz w:val="32"/>
          <w:szCs w:val="32"/>
        </w:rPr>
        <w:t>万元，占</w:t>
      </w:r>
      <w:r>
        <w:rPr>
          <w:rFonts w:hint="eastAsia" w:ascii="仿宋_GB2312" w:eastAsia="仿宋_GB2312"/>
          <w:sz w:val="32"/>
          <w:szCs w:val="32"/>
        </w:rPr>
        <w:t>87.39%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20.98</w:t>
      </w:r>
      <w:r>
        <w:rPr>
          <w:rFonts w:hint="eastAsia" w:ascii="仿宋_GB2312" w:eastAsia="仿宋_GB2312"/>
          <w:color w:val="000000" w:themeColor="text1"/>
          <w:sz w:val="32"/>
          <w:szCs w:val="32"/>
        </w:rPr>
        <w:t>万元，占</w:t>
      </w:r>
      <w:r>
        <w:rPr>
          <w:rFonts w:hint="eastAsia" w:ascii="仿宋_GB2312" w:eastAsia="仿宋_GB2312"/>
          <w:sz w:val="32"/>
          <w:szCs w:val="32"/>
        </w:rPr>
        <w:t>12.61%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与年初预算数相比情况：本年支出年初预算数121.22万元，</w:t>
      </w:r>
      <w:r>
        <w:rPr>
          <w:rFonts w:hint="eastAsia" w:ascii="仿宋_GB2312" w:eastAsia="仿宋_GB2312"/>
          <w:sz w:val="32"/>
          <w:szCs w:val="32"/>
        </w:rPr>
        <w:t>决算数166.33万元</w:t>
      </w:r>
      <w:r>
        <w:rPr>
          <w:rFonts w:ascii="仿宋_GB2312" w:eastAsia="仿宋_GB2312"/>
          <w:sz w:val="32"/>
          <w:szCs w:val="32"/>
        </w:rPr>
        <w:t>，预决算差异率37.21%，差异主要原因是一是在职人员政策性工资调资增加人员经费；二是项目资金支出未纳入年初预算导致决算数较年初预算数增加。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166.33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43.88万元，增长35.84%，增加的主要原因是：一是人员基本工资、津贴补贴增加；二是日常公用经费增加；三是第四次全国经济普查经费项目资金增加，以上经费的增加导致本年决算数较上年数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166.33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，与上年相比，增加43.88万元，增长35.84%，增加的主要原因是：</w:t>
      </w:r>
      <w:r>
        <w:rPr>
          <w:rFonts w:ascii="仿宋_GB2312" w:eastAsia="仿宋_GB2312"/>
          <w:sz w:val="32"/>
          <w:szCs w:val="32"/>
        </w:rPr>
        <w:t>一是人员基本工资、津贴补贴增加；二是日常公用经费增加；三是第四次全国经济普查经费项目资金增加，以上经费的增加导致本年决算数较上年数增加。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145.35</w:t>
      </w:r>
      <w:r>
        <w:rPr>
          <w:rFonts w:hint="eastAsia" w:ascii="仿宋_GB2312" w:eastAsia="仿宋_GB2312"/>
          <w:color w:val="000000" w:themeColor="text1"/>
          <w:sz w:val="32"/>
          <w:szCs w:val="32"/>
        </w:rPr>
        <w:t>万元，项目支出</w:t>
      </w:r>
      <w:r>
        <w:rPr>
          <w:rFonts w:hint="eastAsia" w:ascii="仿宋_GB2312" w:eastAsia="仿宋_GB2312"/>
          <w:sz w:val="32"/>
          <w:szCs w:val="32"/>
        </w:rPr>
        <w:t>20.98</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121.22</w:t>
      </w:r>
      <w:r>
        <w:rPr>
          <w:rFonts w:hint="eastAsia" w:ascii="仿宋_GB2312" w:eastAsia="仿宋_GB2312"/>
          <w:color w:val="000000" w:themeColor="text1"/>
          <w:sz w:val="32"/>
          <w:szCs w:val="32"/>
        </w:rPr>
        <w:t>万元，决算数</w:t>
      </w:r>
      <w:r>
        <w:rPr>
          <w:rFonts w:hint="eastAsia" w:ascii="仿宋_GB2312" w:eastAsia="仿宋_GB2312"/>
          <w:sz w:val="32"/>
          <w:szCs w:val="32"/>
        </w:rPr>
        <w:t>166.33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，预决算差异率37.21%，差异主要原因是一是在职人员政策性工资调资增加人员经费；二是项目资金支出未纳入年初预算导致决算数较年初预算数增加。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121.22</w:t>
      </w:r>
      <w:r>
        <w:rPr>
          <w:rFonts w:hint="eastAsia" w:ascii="仿宋_GB2312" w:eastAsia="仿宋_GB2312"/>
          <w:color w:val="000000" w:themeColor="text1"/>
          <w:sz w:val="32"/>
          <w:szCs w:val="32"/>
        </w:rPr>
        <w:t>万元，决算数</w:t>
      </w:r>
      <w:r>
        <w:rPr>
          <w:rFonts w:hint="eastAsia" w:ascii="仿宋_GB2312" w:eastAsia="仿宋_GB2312"/>
          <w:sz w:val="32"/>
          <w:szCs w:val="32"/>
        </w:rPr>
        <w:t>166.33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，预决算差异率37.21%，差异主要原因是一是在职人员政策性工资调资增加人员经费；二是项目资金支出未纳入年初预算导致决算数较年初预算数增加。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166.33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43.88万元，增长35.84%，增加的主要原因是：一是人员基本工资、津贴补贴增加；二是日常公用经费增加；三是第四次全国经济普查经费项目资金增加，以上经费的增加导致本年决算数较上年数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166.33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，与上年相比，增加43.88万元，增长35.84%，增加的主要原因是：</w:t>
      </w:r>
      <w:r>
        <w:rPr>
          <w:rFonts w:ascii="仿宋_GB2312" w:eastAsia="仿宋_GB2312"/>
          <w:color w:val="000000" w:themeColor="text1"/>
          <w:sz w:val="32"/>
          <w:szCs w:val="32"/>
        </w:rPr>
        <w:t>一是人员基本工资、津贴补贴增加；二是日常公用经费增加；三是第四次全国经济普查经费项目资金增加，以上经费的增加导致本年决算数较上年数增加</w:t>
      </w:r>
      <w:bookmarkStart w:id="88" w:name="_GoBack"/>
      <w:bookmarkEnd w:id="88"/>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住房保障支出8.32万元,一般公共服务支出145.78万元,社会保障和就业支出12.24万元。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工资福利支出131.27万元,商品和服务支出33.95万元,对个人和家庭的补助1.11万元。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121.22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166.33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，预决算差异率37.21%，差异主要原因是一是在职人员政策性工资调资增加人员经费；二是项目资金支出未纳入年初预算导致决算数较年初预算数增加。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121.22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166.33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，预决算差异率37.21%，差异主要原因是一是在职人员政策性工资调资增加人员经费；二是项目资金支出未纳入年初预算导致决算数较年初预算数增加。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1.82</w:t>
      </w:r>
      <w:r>
        <w:rPr>
          <w:rFonts w:hint="eastAsia" w:ascii="仿宋_GB2312" w:eastAsia="仿宋_GB2312"/>
          <w:color w:val="000000" w:themeColor="text1"/>
          <w:sz w:val="32"/>
          <w:szCs w:val="32"/>
        </w:rPr>
        <w:t>万元</w:t>
      </w:r>
      <w:r>
        <w:rPr>
          <w:rFonts w:hint="eastAsia" w:ascii="仿宋_GB2312" w:eastAsia="仿宋_GB2312"/>
          <w:sz w:val="32"/>
          <w:szCs w:val="32"/>
        </w:rPr>
        <w:t>，</w:t>
      </w:r>
      <w:bookmarkEnd w:id="52"/>
      <w:bookmarkStart w:id="54" w:name="OLE_LINK79"/>
      <w:bookmarkStart w:id="55" w:name="OLE_LINK80"/>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Start w:id="56" w:name="OLE_LINK75"/>
      <w:r>
        <w:rPr>
          <w:rFonts w:hint="eastAsia" w:ascii="仿宋_GB2312" w:eastAsia="仿宋_GB2312"/>
          <w:color w:val="000000"/>
          <w:sz w:val="32"/>
          <w:szCs w:val="32"/>
          <w:highlight w:val="none"/>
        </w:rPr>
        <w:t>其中，</w:t>
      </w:r>
      <w:bookmarkStart w:id="57" w:name="OLE_LINK30"/>
      <w:r>
        <w:rPr>
          <w:rFonts w:hint="eastAsia" w:ascii="仿宋_GB2312" w:eastAsia="仿宋_GB2312"/>
          <w:color w:val="000000"/>
          <w:sz w:val="32"/>
          <w:szCs w:val="32"/>
          <w:highlight w:val="none"/>
        </w:rPr>
        <w:t>因公出国（境）费支出</w:t>
      </w:r>
      <w:bookmarkEnd w:id="57"/>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6"/>
      <w:bookmarkStart w:id="58" w:name="OLE_LINK31"/>
      <w:bookmarkStart w:id="59"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8"/>
      <w:r>
        <w:rPr>
          <w:rFonts w:hint="eastAsia" w:ascii="仿宋_GB2312" w:eastAsia="仿宋_GB2312"/>
          <w:sz w:val="32"/>
          <w:szCs w:val="32"/>
          <w:highlight w:val="none"/>
          <w:lang w:val="en-US" w:eastAsia="zh-CN"/>
        </w:rPr>
        <w:t>1.82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9"/>
      <w:bookmarkStart w:id="60" w:name="OLE_LINK32"/>
      <w:bookmarkStart w:id="61" w:name="OLE_LINK78"/>
      <w:bookmarkStart w:id="62" w:name="OLE_LINK77"/>
      <w:r>
        <w:rPr>
          <w:rFonts w:hint="eastAsia" w:ascii="仿宋_GB2312" w:eastAsia="仿宋_GB2312"/>
          <w:color w:val="000000"/>
          <w:sz w:val="32"/>
          <w:szCs w:val="32"/>
        </w:rPr>
        <w:t>公务接待费支出</w:t>
      </w:r>
      <w:bookmarkEnd w:id="60"/>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1"/>
      <w:bookmarkEnd w:id="62"/>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新疆喀什地区塔什库尔干县统计局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本年无因公出国（境）费支出。</w:t>
      </w:r>
      <w:bookmarkEnd w:id="54"/>
      <w:bookmarkEnd w:id="55"/>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1.82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车辆加油、维护维修费和车辆保险费支出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新疆喀什地区塔什库尔干县统计局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万元，决算数1.82万元</w:t>
      </w:r>
      <w:r>
        <w:rPr>
          <w:rFonts w:ascii="仿宋_GB2312" w:eastAsia="仿宋_GB2312"/>
          <w:color w:val="000000" w:themeColor="text1"/>
          <w:sz w:val="32"/>
          <w:szCs w:val="32"/>
        </w:rPr>
        <w:t>，预决算差异率-9%，差异主要原因是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2018年度新疆喀什地区塔什库尔干县统计局机关运行经费支出12.97万元，与上年相比，增加2.21万元，增长20.54%，增加的主要原因是：普查工作量加大，办公经费增加。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1.7</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1.31</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0.4</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18.28</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猎豹牌越野车新</w:t>
      </w:r>
      <w:r>
        <w:rPr>
          <w:rFonts w:hint="eastAsia" w:ascii="仿宋_GB2312" w:eastAsia="仿宋_GB2312"/>
          <w:color w:val="000000" w:themeColor="text1"/>
          <w:sz w:val="32"/>
          <w:szCs w:val="32"/>
          <w:lang w:val="en-US" w:eastAsia="zh-CN"/>
        </w:rPr>
        <w:t>Q26986</w:t>
      </w:r>
      <w:r>
        <w:rPr>
          <w:rFonts w:hint="eastAsia" w:ascii="仿宋_GB2312" w:eastAsia="仿宋_GB2312"/>
          <w:color w:val="000000" w:themeColor="text1"/>
          <w:sz w:val="32"/>
          <w:szCs w:val="32"/>
          <w:lang w:eastAsia="zh-CN"/>
        </w:rPr>
        <w:t>一辆，主要</w:t>
      </w:r>
      <w:r>
        <w:rPr>
          <w:rFonts w:hint="eastAsia" w:ascii="仿宋_GB2312" w:eastAsia="仿宋_GB2312"/>
          <w:color w:val="000000" w:themeColor="text1"/>
          <w:sz w:val="32"/>
          <w:szCs w:val="32"/>
          <w:lang w:val="en-US" w:eastAsia="zh-CN"/>
        </w:rPr>
        <w:t>用于</w:t>
      </w:r>
      <w:r>
        <w:rPr>
          <w:rFonts w:hint="eastAsia" w:ascii="仿宋_GB2312" w:eastAsia="仿宋_GB2312"/>
          <w:color w:val="000000" w:themeColor="text1"/>
          <w:sz w:val="32"/>
          <w:szCs w:val="32"/>
          <w:lang w:eastAsia="zh-CN"/>
        </w:rPr>
        <w:t>单位日常外出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2018年执行项目两个，分别是2018年度住户调查项目5.76万元，塔什库尔干县第四次全国经济普查经费项目15.22万元，两个项目均已按要求开展绩效评价工作，完成项目绩效目标申报表、绩效目标监控表、绩效目标自评表及绩效评价报告。</w:t>
      </w:r>
    </w:p>
    <w:p>
      <w:pPr>
        <w:spacing w:line="540" w:lineRule="exact"/>
        <w:ind w:left="-1" w:right="-1" w:firstLine="646"/>
        <w:jc w:val="left"/>
      </w:pPr>
      <w:r>
        <w:rPr>
          <w:rFonts w:ascii="仿宋_GB2312" w:hAnsi="仿宋_GB2312" w:eastAsia="仿宋_GB2312" w:cs="仿宋_GB2312"/>
          <w:b w:val="0"/>
          <w:color w:val="auto"/>
          <w:sz w:val="32"/>
          <w:u w:val="none"/>
        </w:rPr>
        <w:t>1、塔什库尔干县第四次全国经济普查经费项目绩效自评综述：根据年初设定的绩效目标，该项目绩效自评得分为95分。项目全年预算数为15.22万元，执行数为15.22万元，完成预算的100%。主要产出和效果：2018年已组建县乡普查工作机构，完成了经济普查动员、宣传发动、两员选聘和培训、物质准备、清查摸底阶段性目标任务。通过经济普查，可以准确认识我县经济结构和经济状况，更好把握我县经济运行中的主要矛盾和突出问题，为政府决策提供科学依据。发现的问题及原因：加强经济普查工作的宣传力度，提升经济普查的认知程度。下一步改进措施：进一步加强宣传培训力度，提升经济普查的认知程度，坚持依法普查，提升普查数据的质量。</w:t>
      </w:r>
    </w:p>
    <w:p>
      <w:pPr>
        <w:spacing w:line="540" w:lineRule="exact"/>
        <w:ind w:left="-1" w:right="-1" w:firstLine="646"/>
        <w:jc w:val="left"/>
      </w:pPr>
      <w:r>
        <w:rPr>
          <w:rFonts w:ascii="仿宋_GB2312" w:hAnsi="仿宋_GB2312" w:eastAsia="仿宋_GB2312" w:cs="仿宋_GB2312"/>
          <w:b w:val="0"/>
          <w:color w:val="auto"/>
          <w:sz w:val="32"/>
          <w:u w:val="none"/>
        </w:rPr>
        <w:t>2、2018年度住户调查项目绩效自评综述：根据年初设定的绩效目标，该项目绩效自评得分为95分。项目全年预算数为5.76万元，执行数为5.76万元，完成预算的100%。主要产出和效果：完成城镇住户20户、农村住户40户居民收入调查，共计60户57600元补助发放。住户调查采用抽样调查的方式，每五年更新一次样本，实施一次大样本轮换摸底调查工作，有效解决样本的代表性问题。大样本轮换是住户调查工作的重要内容，通过抽选新住户替换老住户的记账工作，保持记账工作的连续性和样本的代表性，及时反映人口流动和城乡范围变化带来的影响，对于准确掌握城乡居民生活状况、提高政府科学决策水平具有重要意义。发现的问题及原因：适当增加住户调查范围，增加覆盖率，加强住户调查经费的及时发放。下一步改进措施：加强宣传培训力度，提升样本户对住户调查的认知程度，确保普查数据的质量，进一步规范档案整理归档和管理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05（款）01（项）指：行政运行。201（类）05（款）05（项）指：专项统计业务。221（类）02（款）01（项）指：住房公积金。201（类）05（款）08（项）指：统计抽样调查。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647"/>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B811E1"/>
    <w:rsid w:val="07FE5938"/>
    <w:rsid w:val="084604BC"/>
    <w:rsid w:val="08883825"/>
    <w:rsid w:val="09725983"/>
    <w:rsid w:val="0A122CA7"/>
    <w:rsid w:val="0A382BB5"/>
    <w:rsid w:val="0AA4543A"/>
    <w:rsid w:val="0BE61132"/>
    <w:rsid w:val="0C9B0DD6"/>
    <w:rsid w:val="0CE4791C"/>
    <w:rsid w:val="0E063C64"/>
    <w:rsid w:val="0F4C7B96"/>
    <w:rsid w:val="0F530338"/>
    <w:rsid w:val="0FFB575E"/>
    <w:rsid w:val="10845F1B"/>
    <w:rsid w:val="11463A00"/>
    <w:rsid w:val="11600918"/>
    <w:rsid w:val="11B0398F"/>
    <w:rsid w:val="13B960C5"/>
    <w:rsid w:val="14085207"/>
    <w:rsid w:val="152777F4"/>
    <w:rsid w:val="15C674B6"/>
    <w:rsid w:val="17050AB1"/>
    <w:rsid w:val="18D54A0D"/>
    <w:rsid w:val="1A4106A0"/>
    <w:rsid w:val="1A4F5437"/>
    <w:rsid w:val="1AB77CD0"/>
    <w:rsid w:val="1AC941BA"/>
    <w:rsid w:val="1E807156"/>
    <w:rsid w:val="1EA657F6"/>
    <w:rsid w:val="1EAB49FA"/>
    <w:rsid w:val="1EEF47F7"/>
    <w:rsid w:val="1F097CB6"/>
    <w:rsid w:val="2166156B"/>
    <w:rsid w:val="21B02D83"/>
    <w:rsid w:val="22A236F5"/>
    <w:rsid w:val="23995975"/>
    <w:rsid w:val="2432220E"/>
    <w:rsid w:val="248303BA"/>
    <w:rsid w:val="24837E47"/>
    <w:rsid w:val="252E01AA"/>
    <w:rsid w:val="25E34730"/>
    <w:rsid w:val="2680023E"/>
    <w:rsid w:val="27067DEB"/>
    <w:rsid w:val="29680352"/>
    <w:rsid w:val="2A020F75"/>
    <w:rsid w:val="2B007AEE"/>
    <w:rsid w:val="2B6A11C6"/>
    <w:rsid w:val="2BC14C56"/>
    <w:rsid w:val="2BF812A5"/>
    <w:rsid w:val="2C1B026F"/>
    <w:rsid w:val="2C251B73"/>
    <w:rsid w:val="2CC61F55"/>
    <w:rsid w:val="2EF7452F"/>
    <w:rsid w:val="2F1D13B4"/>
    <w:rsid w:val="2FAA3DA6"/>
    <w:rsid w:val="30682E1F"/>
    <w:rsid w:val="30E210D2"/>
    <w:rsid w:val="311371D6"/>
    <w:rsid w:val="31EB64C9"/>
    <w:rsid w:val="335A4F05"/>
    <w:rsid w:val="336D0D6F"/>
    <w:rsid w:val="341C5D77"/>
    <w:rsid w:val="347A48F9"/>
    <w:rsid w:val="34B353D9"/>
    <w:rsid w:val="352E4BEC"/>
    <w:rsid w:val="359562D8"/>
    <w:rsid w:val="37DD5594"/>
    <w:rsid w:val="38F24FA8"/>
    <w:rsid w:val="38FF02B7"/>
    <w:rsid w:val="3A667AC6"/>
    <w:rsid w:val="3A98342A"/>
    <w:rsid w:val="3AB6780E"/>
    <w:rsid w:val="3AD56D70"/>
    <w:rsid w:val="3B2920C2"/>
    <w:rsid w:val="3BE41ABD"/>
    <w:rsid w:val="3C5421A9"/>
    <w:rsid w:val="3C74661F"/>
    <w:rsid w:val="3D903B21"/>
    <w:rsid w:val="3F440741"/>
    <w:rsid w:val="41FC306C"/>
    <w:rsid w:val="42010533"/>
    <w:rsid w:val="43B8096C"/>
    <w:rsid w:val="44BE5554"/>
    <w:rsid w:val="451E0908"/>
    <w:rsid w:val="452C2D31"/>
    <w:rsid w:val="45D26E14"/>
    <w:rsid w:val="46A541B1"/>
    <w:rsid w:val="48760A0C"/>
    <w:rsid w:val="48A01724"/>
    <w:rsid w:val="48C57772"/>
    <w:rsid w:val="49782886"/>
    <w:rsid w:val="49866E98"/>
    <w:rsid w:val="4A6F0D28"/>
    <w:rsid w:val="4AAF085C"/>
    <w:rsid w:val="4AEB7E60"/>
    <w:rsid w:val="4B4B135B"/>
    <w:rsid w:val="4BC7055F"/>
    <w:rsid w:val="4CFC7DB2"/>
    <w:rsid w:val="4DD40836"/>
    <w:rsid w:val="4E7C187D"/>
    <w:rsid w:val="4F0D065B"/>
    <w:rsid w:val="508941AD"/>
    <w:rsid w:val="50E65530"/>
    <w:rsid w:val="51457139"/>
    <w:rsid w:val="51574DBD"/>
    <w:rsid w:val="51EC1DA8"/>
    <w:rsid w:val="52FC5524"/>
    <w:rsid w:val="532D7A17"/>
    <w:rsid w:val="54AF4562"/>
    <w:rsid w:val="54C9674B"/>
    <w:rsid w:val="556318EA"/>
    <w:rsid w:val="55A60AA1"/>
    <w:rsid w:val="56451615"/>
    <w:rsid w:val="57FC5774"/>
    <w:rsid w:val="59B24412"/>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395DCB"/>
    <w:rsid w:val="6F8D70FF"/>
    <w:rsid w:val="6FFE5011"/>
    <w:rsid w:val="70D418DA"/>
    <w:rsid w:val="7178734D"/>
    <w:rsid w:val="71791096"/>
    <w:rsid w:val="717B0C34"/>
    <w:rsid w:val="71FB78FD"/>
    <w:rsid w:val="7275064A"/>
    <w:rsid w:val="733F750B"/>
    <w:rsid w:val="735702E2"/>
    <w:rsid w:val="73E875CE"/>
    <w:rsid w:val="74EC0DE9"/>
    <w:rsid w:val="765F635A"/>
    <w:rsid w:val="76AE177A"/>
    <w:rsid w:val="76B73454"/>
    <w:rsid w:val="76D254BD"/>
    <w:rsid w:val="77727ACD"/>
    <w:rsid w:val="78071142"/>
    <w:rsid w:val="79296B37"/>
    <w:rsid w:val="7A4C4C40"/>
    <w:rsid w:val="7A72202A"/>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2020-04-05T04:24:58Z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