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eastAsia="zh-CN"/>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2018年度新疆喀什地区塔什库尔干县人民政府驻喀什办事处部门决算公开说明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tabs>
          <w:tab w:val="left" w:pos="7805"/>
        </w:tabs>
        <w:spacing w:line="540" w:lineRule="exact"/>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二、</w:t>
      </w:r>
      <w:r>
        <w:rPr>
          <w:rFonts w:hint="eastAsia" w:ascii="仿宋_GB2312" w:eastAsia="仿宋_GB2312"/>
          <w:sz w:val="32"/>
          <w:szCs w:val="32"/>
        </w:rPr>
        <w:t>机构设置情况</w:t>
      </w:r>
      <w:r>
        <w:rPr>
          <w:rFonts w:hint="eastAsia" w:ascii="仿宋_GB2312" w:eastAsia="仿宋_GB2312"/>
          <w:sz w:val="32"/>
          <w:szCs w:val="32"/>
          <w:lang w:eastAsia="zh-CN"/>
        </w:rPr>
        <w:tab/>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1、完成自治县人民政府的各项决议，决定，并向人民政府汇报工作开展和完成情况。</w:t>
      </w:r>
      <w:r>
        <w:rPr>
          <w:rFonts w:hint="eastAsia" w:ascii="仿宋_GB2312" w:eastAsia="仿宋_GB2312"/>
          <w:sz w:val="32"/>
          <w:szCs w:val="32"/>
        </w:rPr>
        <w:br w:type="textWrapping"/>
      </w:r>
      <w:r>
        <w:rPr>
          <w:rFonts w:hint="eastAsia" w:ascii="仿宋_GB2312" w:eastAsia="仿宋_GB2312"/>
          <w:sz w:val="32"/>
          <w:szCs w:val="32"/>
        </w:rPr>
        <w:t>2、负责塔什库尔干县县委，县人民政府在喀什的有关事务。</w:t>
      </w:r>
      <w:r>
        <w:rPr>
          <w:rFonts w:hint="eastAsia" w:ascii="仿宋_GB2312" w:eastAsia="仿宋_GB2312"/>
          <w:sz w:val="32"/>
          <w:szCs w:val="32"/>
        </w:rPr>
        <w:br w:type="textWrapping"/>
      </w:r>
      <w:r>
        <w:rPr>
          <w:rFonts w:hint="eastAsia" w:ascii="仿宋_GB2312" w:eastAsia="仿宋_GB2312"/>
          <w:sz w:val="32"/>
          <w:szCs w:val="32"/>
        </w:rPr>
        <w:t>3、完成塔什库尔干县人民政府驻喀办事处住宅小区生活管理和物业管理工作。</w:t>
      </w:r>
      <w:r>
        <w:rPr>
          <w:rFonts w:hint="eastAsia" w:ascii="仿宋_GB2312" w:eastAsia="仿宋_GB2312"/>
          <w:sz w:val="32"/>
          <w:szCs w:val="32"/>
        </w:rPr>
        <w:br w:type="textWrapping"/>
      </w:r>
      <w:r>
        <w:rPr>
          <w:rFonts w:hint="eastAsia" w:ascii="仿宋_GB2312" w:eastAsia="仿宋_GB2312"/>
          <w:sz w:val="32"/>
          <w:szCs w:val="32"/>
        </w:rPr>
        <w:t>4、完成自治县有关部门办理的由领导交办的其他事项。</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新疆喀什地区塔什库尔干县人民政府驻喀什办事处</w:t>
      </w:r>
      <w:r>
        <w:rPr>
          <w:rFonts w:hint="eastAsia" w:ascii="仿宋_GB2312" w:eastAsia="仿宋_GB2312"/>
          <w:sz w:val="32"/>
          <w:szCs w:val="32"/>
        </w:rPr>
        <w:t>部门决算包括：</w:t>
      </w:r>
      <w:r>
        <w:rPr>
          <w:rFonts w:ascii="仿宋_GB2312" w:eastAsia="仿宋_GB2312"/>
          <w:sz w:val="32"/>
          <w:szCs w:val="32"/>
        </w:rPr>
        <w:t>新疆喀什地区塔什库尔干县人民政府驻喀什办事处</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新疆喀什地区塔什库尔干县人民政府驻喀什办事处</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新疆喀什地区塔什库尔干县人民政府驻喀什办事处</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2018年度收入</w:t>
      </w:r>
      <w:r>
        <w:rPr>
          <w:rFonts w:hint="eastAsia" w:ascii="仿宋_GB2312" w:eastAsia="仿宋_GB2312"/>
          <w:sz w:val="32"/>
          <w:szCs w:val="32"/>
        </w:rPr>
        <w:t>48.19</w:t>
      </w:r>
      <w:r>
        <w:rPr>
          <w:rFonts w:hint="eastAsia" w:ascii="仿宋_GB2312" w:eastAsia="仿宋_GB2312"/>
          <w:color w:val="000000" w:themeColor="text1"/>
          <w:sz w:val="32"/>
          <w:szCs w:val="32"/>
        </w:rPr>
        <w:t>万元</w:t>
      </w:r>
      <w:bookmarkEnd w:id="4"/>
      <w:bookmarkEnd w:id="5"/>
      <w:r>
        <w:rPr>
          <w:rFonts w:hint="eastAsia" w:ascii="仿宋_GB2312" w:eastAsia="仿宋_GB2312"/>
          <w:color w:val="000000" w:themeColor="text1"/>
          <w:sz w:val="32"/>
          <w:szCs w:val="32"/>
          <w:lang w:eastAsia="zh-CN"/>
        </w:rPr>
        <w:t>，</w:t>
      </w:r>
      <w:bookmarkEnd w:id="6"/>
      <w:r>
        <w:rPr>
          <w:rFonts w:hint="eastAsia" w:ascii="仿宋_GB2312" w:eastAsia="仿宋_GB2312"/>
          <w:color w:val="000000" w:themeColor="text1"/>
          <w:sz w:val="32"/>
          <w:szCs w:val="32"/>
          <w:lang w:val="en-US" w:eastAsia="zh-CN"/>
        </w:rPr>
        <w:t>与上年相比，增加</w:t>
      </w:r>
      <w:r>
        <w:rPr>
          <w:rFonts w:hint="eastAsia" w:ascii="仿宋_GB2312" w:eastAsia="仿宋_GB2312"/>
          <w:sz w:val="32"/>
          <w:szCs w:val="32"/>
          <w:lang w:val="en-US" w:eastAsia="zh-CN"/>
        </w:rPr>
        <w:t>48.19</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100%，增加的主要原因是：</w:t>
      </w:r>
      <w:r>
        <w:rPr>
          <w:rFonts w:hint="eastAsia" w:ascii="仿宋_GB2312" w:eastAsia="仿宋_GB2312"/>
          <w:sz w:val="32"/>
          <w:szCs w:val="32"/>
        </w:rPr>
        <w:t>由于本单位是2018年新增单位，</w:t>
      </w:r>
      <w:r>
        <w:rPr>
          <w:rFonts w:hint="eastAsia" w:ascii="仿宋_GB2312" w:eastAsia="仿宋_GB2312"/>
          <w:color w:val="000000" w:themeColor="text1"/>
          <w:sz w:val="32"/>
          <w:szCs w:val="32"/>
        </w:rPr>
        <w:t>因此无上年对比数据；</w:t>
      </w:r>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lang w:val="en-US" w:eastAsia="zh-CN"/>
        </w:rPr>
        <w:t>48.19</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val="en-US" w:eastAsia="zh-CN"/>
        </w:rPr>
        <w:t>,与上年相比，增加</w:t>
      </w:r>
      <w:r>
        <w:rPr>
          <w:rFonts w:hint="eastAsia" w:ascii="仿宋_GB2312" w:eastAsia="仿宋_GB2312"/>
          <w:sz w:val="32"/>
          <w:szCs w:val="32"/>
          <w:lang w:val="en-US" w:eastAsia="zh-CN"/>
        </w:rPr>
        <w:t>48.19</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100%，增加的主要原因是：</w:t>
      </w:r>
      <w:r>
        <w:rPr>
          <w:rFonts w:hint="eastAsia" w:ascii="仿宋_GB2312" w:eastAsia="仿宋_GB2312"/>
          <w:sz w:val="32"/>
          <w:szCs w:val="32"/>
        </w:rPr>
        <w:t>由于本单位是2018年新增单位，</w:t>
      </w:r>
      <w:r>
        <w:rPr>
          <w:rFonts w:hint="eastAsia" w:ascii="仿宋_GB2312" w:eastAsia="仿宋_GB2312"/>
          <w:color w:val="000000" w:themeColor="text1"/>
          <w:sz w:val="32"/>
          <w:szCs w:val="32"/>
        </w:rPr>
        <w:t>因此无上年对比数据</w:t>
      </w:r>
      <w:r>
        <w:rPr>
          <w:rFonts w:hint="eastAsia" w:ascii="仿宋_GB2312" w:eastAsia="仿宋_GB2312"/>
          <w:color w:val="000000" w:themeColor="text1"/>
          <w:sz w:val="32"/>
          <w:szCs w:val="32"/>
          <w:lang w:eastAsia="zh-CN"/>
        </w:rPr>
        <w:t>；</w:t>
      </w:r>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主要原因是：由于本单位是2018年新增单位，</w:t>
      </w:r>
      <w:r>
        <w:rPr>
          <w:rFonts w:hint="eastAsia" w:ascii="仿宋_GB2312" w:eastAsia="仿宋_GB2312"/>
          <w:color w:val="000000" w:themeColor="text1"/>
          <w:sz w:val="32"/>
          <w:szCs w:val="32"/>
        </w:rPr>
        <w:t>因此无上年对比数据</w:t>
      </w:r>
      <w:bookmarkEnd w:id="7"/>
      <w:r>
        <w:rPr>
          <w:rFonts w:hint="eastAsia" w:ascii="仿宋_GB2312" w:eastAsia="仿宋_GB2312"/>
          <w:color w:val="000000" w:themeColor="text1"/>
          <w:sz w:val="32"/>
          <w:szCs w:val="32"/>
          <w:lang w:eastAsia="zh-CN"/>
        </w:rPr>
        <w:t>。</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48.19</w:t>
      </w:r>
      <w:r>
        <w:rPr>
          <w:rFonts w:hint="eastAsia" w:ascii="仿宋_GB2312" w:eastAsia="仿宋_GB2312"/>
          <w:color w:val="000000" w:themeColor="text1"/>
          <w:sz w:val="32"/>
          <w:szCs w:val="32"/>
        </w:rPr>
        <w:t>万元，其中：</w:t>
      </w:r>
      <w:bookmarkStart w:id="8" w:name="OLE_LINK1"/>
      <w:r>
        <w:rPr>
          <w:rFonts w:hint="eastAsia" w:ascii="仿宋_GB2312" w:eastAsia="仿宋_GB2312"/>
          <w:color w:val="000000" w:themeColor="text1"/>
          <w:sz w:val="32"/>
          <w:szCs w:val="32"/>
        </w:rPr>
        <w:t>财政拨款收入</w:t>
      </w:r>
      <w:bookmarkEnd w:id="8"/>
      <w:r>
        <w:rPr>
          <w:rFonts w:hint="eastAsia" w:ascii="仿宋_GB2312" w:eastAsia="仿宋_GB2312"/>
          <w:sz w:val="32"/>
          <w:szCs w:val="32"/>
        </w:rPr>
        <w:t>48.19</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9" w:name="OLE_LINK2"/>
      <w:r>
        <w:rPr>
          <w:rFonts w:hint="eastAsia" w:ascii="仿宋_GB2312" w:eastAsia="仿宋_GB2312"/>
          <w:color w:val="000000" w:themeColor="text1"/>
          <w:sz w:val="32"/>
          <w:szCs w:val="32"/>
        </w:rPr>
        <w:t>上级补助收入</w:t>
      </w:r>
      <w:bookmarkEnd w:id="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0" w:name="OLE_LINK3"/>
      <w:r>
        <w:rPr>
          <w:rFonts w:hint="eastAsia" w:ascii="仿宋_GB2312" w:eastAsia="仿宋_GB2312"/>
          <w:color w:val="000000" w:themeColor="text1"/>
          <w:sz w:val="32"/>
          <w:szCs w:val="32"/>
        </w:rPr>
        <w:t>事业收入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4"/>
      <w:r>
        <w:rPr>
          <w:rFonts w:hint="eastAsia" w:ascii="仿宋_GB2312" w:eastAsia="仿宋_GB2312"/>
          <w:color w:val="000000" w:themeColor="text1"/>
          <w:sz w:val="32"/>
          <w:szCs w:val="32"/>
        </w:rPr>
        <w:t>经营收入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5"/>
      <w:r>
        <w:rPr>
          <w:rFonts w:hint="eastAsia" w:ascii="仿宋_GB2312" w:eastAsia="仿宋_GB2312"/>
          <w:color w:val="000000" w:themeColor="text1"/>
          <w:sz w:val="32"/>
          <w:szCs w:val="32"/>
        </w:rPr>
        <w:t>附属单位缴款</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6"/>
      <w:r>
        <w:rPr>
          <w:rFonts w:hint="eastAsia" w:ascii="仿宋_GB2312" w:eastAsia="仿宋_GB2312"/>
          <w:color w:val="000000" w:themeColor="text1"/>
          <w:sz w:val="32"/>
          <w:szCs w:val="32"/>
        </w:rPr>
        <w:t>其他收入</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4"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况：本年收入年初预算数35.34万元</w:t>
      </w:r>
      <w:r>
        <w:rPr>
          <w:rFonts w:hint="eastAsia" w:ascii="仿宋_GB2312" w:eastAsia="仿宋_GB2312"/>
          <w:sz w:val="32"/>
          <w:szCs w:val="32"/>
        </w:rPr>
        <w:t>，决算数48.19万元</w:t>
      </w:r>
      <w:r>
        <w:rPr>
          <w:rFonts w:ascii="仿宋_GB2312" w:eastAsia="仿宋_GB2312"/>
          <w:sz w:val="32"/>
          <w:szCs w:val="32"/>
        </w:rPr>
        <w:t>，预决算差异率36.36%，差异主要原因是2018年在预算执行过程中追加修建老干部活动室、缴纳2016-2017年度办公场所暖气费等日常公用经费导致决算数较预算数增加。</w:t>
      </w:r>
      <w:bookmarkEnd w:id="14"/>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5" w:name="OLE_LINK7"/>
      <w:r>
        <w:rPr>
          <w:rFonts w:hint="eastAsia" w:ascii="仿宋_GB2312" w:eastAsia="仿宋_GB2312"/>
          <w:color w:val="000000" w:themeColor="text1"/>
          <w:sz w:val="32"/>
          <w:szCs w:val="32"/>
        </w:rPr>
        <w:t>本年支出合计</w:t>
      </w:r>
      <w:bookmarkEnd w:id="15"/>
      <w:r>
        <w:rPr>
          <w:rFonts w:hint="eastAsia" w:ascii="仿宋_GB2312" w:eastAsia="仿宋_GB2312"/>
          <w:sz w:val="32"/>
          <w:szCs w:val="32"/>
        </w:rPr>
        <w:t>48.19</w:t>
      </w:r>
      <w:r>
        <w:rPr>
          <w:rFonts w:hint="eastAsia" w:ascii="仿宋_GB2312" w:eastAsia="仿宋_GB2312"/>
          <w:color w:val="000000" w:themeColor="text1"/>
          <w:sz w:val="32"/>
          <w:szCs w:val="32"/>
        </w:rPr>
        <w:t>万元，其中：</w:t>
      </w:r>
      <w:bookmarkStart w:id="16" w:name="OLE_LINK8"/>
      <w:r>
        <w:rPr>
          <w:rFonts w:hint="eastAsia" w:ascii="仿宋_GB2312" w:eastAsia="仿宋_GB2312"/>
          <w:color w:val="000000" w:themeColor="text1"/>
          <w:sz w:val="32"/>
          <w:szCs w:val="32"/>
        </w:rPr>
        <w:t>基本支出</w:t>
      </w:r>
      <w:bookmarkEnd w:id="16"/>
      <w:r>
        <w:rPr>
          <w:rFonts w:hint="eastAsia" w:ascii="仿宋_GB2312" w:eastAsia="仿宋_GB2312"/>
          <w:sz w:val="32"/>
          <w:szCs w:val="32"/>
        </w:rPr>
        <w:t>48.19</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7" w:name="OLE_LINK9"/>
      <w:r>
        <w:rPr>
          <w:rFonts w:hint="eastAsia" w:ascii="仿宋_GB2312" w:eastAsia="仿宋_GB2312"/>
          <w:color w:val="000000" w:themeColor="text1"/>
          <w:sz w:val="32"/>
          <w:szCs w:val="32"/>
        </w:rPr>
        <w:t>项目支出</w:t>
      </w:r>
      <w:bookmarkEnd w:id="17"/>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8" w:name="OLE_LINK10"/>
      <w:r>
        <w:rPr>
          <w:rFonts w:hint="eastAsia" w:ascii="仿宋_GB2312" w:eastAsia="仿宋_GB2312"/>
          <w:color w:val="000000" w:themeColor="text1"/>
          <w:sz w:val="32"/>
          <w:szCs w:val="32"/>
        </w:rPr>
        <w:t>上缴上级支出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1"/>
      <w:r>
        <w:rPr>
          <w:rFonts w:hint="eastAsia" w:ascii="仿宋_GB2312" w:eastAsia="仿宋_GB2312"/>
          <w:color w:val="000000" w:themeColor="text1"/>
          <w:spacing w:val="-6"/>
          <w:sz w:val="32"/>
          <w:szCs w:val="32"/>
        </w:rPr>
        <w:t>经营支出</w:t>
      </w:r>
      <w:bookmarkEnd w:id="19"/>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0" w:name="OLE_LINK12"/>
      <w:r>
        <w:rPr>
          <w:rFonts w:hint="eastAsia" w:ascii="仿宋_GB2312" w:eastAsia="仿宋_GB2312"/>
          <w:color w:val="000000" w:themeColor="text1"/>
          <w:spacing w:val="-6"/>
          <w:sz w:val="32"/>
          <w:szCs w:val="32"/>
        </w:rPr>
        <w:t>对附属单位补助支出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1" w:name="OLE_LINK56"/>
      <w:r>
        <w:rPr>
          <w:rFonts w:hint="eastAsia" w:ascii="仿宋_GB2312" w:eastAsia="仿宋_GB2312"/>
          <w:color w:val="000000" w:themeColor="text1"/>
          <w:sz w:val="32"/>
          <w:szCs w:val="32"/>
        </w:rPr>
        <w:t>与年初预算数相比情况：本年支出年初预算数35.34万元，</w:t>
      </w:r>
      <w:r>
        <w:rPr>
          <w:rFonts w:hint="eastAsia" w:ascii="仿宋_GB2312" w:eastAsia="仿宋_GB2312"/>
          <w:sz w:val="32"/>
          <w:szCs w:val="32"/>
        </w:rPr>
        <w:t>决算数48.19万元</w:t>
      </w:r>
      <w:r>
        <w:rPr>
          <w:rFonts w:ascii="仿宋_GB2312" w:eastAsia="仿宋_GB2312"/>
          <w:sz w:val="32"/>
          <w:szCs w:val="32"/>
        </w:rPr>
        <w:t>，预决算差异率36.36%，差异主要原因是2018年在预算执行过程中追加修建老干部活动室、缴纳2016-2017年度办公场所暖气费等日常公用经费导致决算数较预算数增加。</w:t>
      </w:r>
    </w:p>
    <w:bookmarkEnd w:id="21"/>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color w:val="000000" w:themeColor="text1"/>
          <w:sz w:val="32"/>
          <w:szCs w:val="32"/>
          <w:lang w:eastAsia="zh-CN"/>
        </w:rPr>
      </w:pPr>
      <w:bookmarkStart w:id="22" w:name="OLE_LINK58"/>
      <w:bookmarkStart w:id="23" w:name="OLE_LINK57"/>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w:t>
      </w:r>
      <w:bookmarkStart w:id="24" w:name="OLE_LINK13"/>
      <w:r>
        <w:rPr>
          <w:rFonts w:hint="eastAsia" w:ascii="仿宋_GB2312" w:eastAsia="仿宋_GB2312"/>
          <w:color w:val="000000" w:themeColor="text1"/>
          <w:sz w:val="32"/>
          <w:szCs w:val="32"/>
        </w:rPr>
        <w:t>财政拨款收入</w:t>
      </w:r>
      <w:bookmarkEnd w:id="24"/>
      <w:r>
        <w:rPr>
          <w:rFonts w:hint="eastAsia" w:ascii="仿宋_GB2312" w:eastAsia="仿宋_GB2312"/>
          <w:sz w:val="32"/>
          <w:szCs w:val="32"/>
        </w:rPr>
        <w:t>48.19</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lang w:val="en-US" w:eastAsia="zh-CN"/>
        </w:rPr>
        <w:t>与上年相比，增加</w:t>
      </w:r>
      <w:r>
        <w:rPr>
          <w:rFonts w:hint="eastAsia" w:ascii="仿宋_GB2312" w:eastAsia="仿宋_GB2312"/>
          <w:sz w:val="32"/>
          <w:szCs w:val="32"/>
          <w:lang w:val="en-US" w:eastAsia="zh-CN"/>
        </w:rPr>
        <w:t>48.19</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100%，增加的主要原因是：</w:t>
      </w:r>
      <w:r>
        <w:rPr>
          <w:rFonts w:hint="eastAsia" w:ascii="仿宋_GB2312" w:eastAsia="仿宋_GB2312"/>
          <w:sz w:val="32"/>
          <w:szCs w:val="32"/>
        </w:rPr>
        <w:t>由于本单位是2018年新增单位，</w:t>
      </w:r>
      <w:r>
        <w:rPr>
          <w:rFonts w:hint="eastAsia" w:ascii="仿宋_GB2312" w:eastAsia="仿宋_GB2312"/>
          <w:color w:val="000000" w:themeColor="text1"/>
          <w:sz w:val="32"/>
          <w:szCs w:val="32"/>
        </w:rPr>
        <w:t>因此无上年对比数据</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财政拨款支出</w:t>
      </w:r>
      <w:r>
        <w:rPr>
          <w:rFonts w:hint="eastAsia" w:ascii="仿宋_GB2312" w:eastAsia="仿宋_GB2312"/>
          <w:sz w:val="32"/>
          <w:szCs w:val="32"/>
          <w:lang w:val="en-US" w:eastAsia="zh-CN"/>
        </w:rPr>
        <w:t>48.19</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val="en-US" w:eastAsia="zh-CN"/>
        </w:rPr>
        <w:t>,与上年相比，增加</w:t>
      </w:r>
      <w:r>
        <w:rPr>
          <w:rFonts w:hint="eastAsia" w:ascii="仿宋_GB2312" w:eastAsia="仿宋_GB2312"/>
          <w:sz w:val="32"/>
          <w:szCs w:val="32"/>
          <w:lang w:val="en-US" w:eastAsia="zh-CN"/>
        </w:rPr>
        <w:t>48.19</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100%，增加的主要原因是：</w:t>
      </w:r>
      <w:r>
        <w:rPr>
          <w:rFonts w:hint="eastAsia" w:ascii="仿宋_GB2312" w:eastAsia="仿宋_GB2312"/>
          <w:sz w:val="32"/>
          <w:szCs w:val="32"/>
        </w:rPr>
        <w:t>由于本单位是2018年新增单位，</w:t>
      </w:r>
      <w:r>
        <w:rPr>
          <w:rFonts w:ascii="仿宋_GB2312" w:eastAsia="仿宋_GB2312"/>
          <w:sz w:val="32"/>
          <w:szCs w:val="32"/>
        </w:rPr>
        <w:t>因此无上年对比数据。</w:t>
      </w:r>
      <w:r>
        <w:rPr>
          <w:rFonts w:hint="eastAsia" w:ascii="仿宋_GB2312" w:eastAsia="仿宋_GB2312"/>
          <w:color w:val="000000" w:themeColor="text1"/>
          <w:sz w:val="32"/>
          <w:szCs w:val="32"/>
        </w:rPr>
        <w:t>其中：基本支出</w:t>
      </w:r>
      <w:r>
        <w:rPr>
          <w:rFonts w:hint="eastAsia" w:ascii="仿宋_GB2312" w:eastAsia="仿宋_GB2312"/>
          <w:sz w:val="32"/>
          <w:szCs w:val="32"/>
          <w:lang w:val="en-US" w:eastAsia="zh-CN"/>
        </w:rPr>
        <w:t>48.19</w:t>
      </w:r>
      <w:r>
        <w:rPr>
          <w:rFonts w:hint="eastAsia" w:ascii="仿宋_GB2312" w:eastAsia="仿宋_GB2312"/>
          <w:color w:val="000000" w:themeColor="text1"/>
          <w:sz w:val="32"/>
          <w:szCs w:val="32"/>
        </w:rPr>
        <w:t>万元，项目支出</w:t>
      </w:r>
      <w:r>
        <w:rPr>
          <w:rFonts w:hint="eastAsia" w:ascii="仿宋_GB2312" w:eastAsia="仿宋_GB2312"/>
          <w:sz w:val="32"/>
          <w:szCs w:val="32"/>
          <w:lang w:val="en-US" w:eastAsia="zh-CN"/>
        </w:rPr>
        <w:t>0</w:t>
      </w:r>
      <w:r>
        <w:rPr>
          <w:rFonts w:hint="eastAsia" w:ascii="仿宋_GB2312" w:eastAsia="仿宋_GB2312"/>
          <w:color w:val="000000" w:themeColor="text1"/>
          <w:sz w:val="32"/>
          <w:szCs w:val="32"/>
        </w:rPr>
        <w:t>万元。</w:t>
      </w:r>
      <w:r>
        <w:rPr>
          <w:rFonts w:hint="eastAsia" w:ascii="仿宋_GB2312" w:eastAsia="仿宋_GB2312"/>
          <w:color w:val="000000"/>
          <w:sz w:val="32"/>
          <w:szCs w:val="32"/>
        </w:rPr>
        <w:t>财政拨款结转结余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w:t>
      </w:r>
      <w:r>
        <w:rPr>
          <w:rFonts w:hint="eastAsia" w:ascii="仿宋_GB2312" w:eastAsia="仿宋_GB2312"/>
          <w:sz w:val="32"/>
          <w:szCs w:val="32"/>
        </w:rPr>
        <w:t>由于本单位是2018年新增单位，因此无上年对比数据。</w:t>
      </w:r>
      <w:bookmarkStart w:id="84" w:name="_GoBack"/>
      <w:bookmarkEnd w:id="84"/>
    </w:p>
    <w:bookmarkEnd w:id="22"/>
    <w:bookmarkEnd w:id="23"/>
    <w:p>
      <w:pPr>
        <w:spacing w:line="540" w:lineRule="exact"/>
        <w:ind w:firstLine="640" w:firstLineChars="200"/>
        <w:rPr>
          <w:rFonts w:ascii="仿宋_GB2312" w:eastAsia="仿宋_GB2312"/>
          <w:color w:val="000000" w:themeColor="text1"/>
          <w:sz w:val="32"/>
          <w:szCs w:val="32"/>
        </w:rPr>
      </w:pPr>
      <w:bookmarkStart w:id="25"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35.34</w:t>
      </w:r>
      <w:r>
        <w:rPr>
          <w:rFonts w:hint="eastAsia" w:ascii="仿宋_GB2312" w:eastAsia="仿宋_GB2312"/>
          <w:color w:val="000000" w:themeColor="text1"/>
          <w:sz w:val="32"/>
          <w:szCs w:val="32"/>
        </w:rPr>
        <w:t>万元，决算数</w:t>
      </w:r>
      <w:r>
        <w:rPr>
          <w:rFonts w:hint="eastAsia" w:ascii="仿宋_GB2312" w:eastAsia="仿宋_GB2312"/>
          <w:sz w:val="32"/>
          <w:szCs w:val="32"/>
        </w:rPr>
        <w:t>48.19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，预决算差异率36.36%，差异主要原因是2018年在预算执行过程中追加修建老干部活动室、缴纳2016-2017年度办公场所暖气费等日常公用经费导致决算数较预算数增加。</w:t>
      </w:r>
      <w:bookmarkEnd w:id="25"/>
      <w:bookmarkStart w:id="26"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35.34</w:t>
      </w:r>
      <w:r>
        <w:rPr>
          <w:rFonts w:hint="eastAsia" w:ascii="仿宋_GB2312" w:eastAsia="仿宋_GB2312"/>
          <w:color w:val="000000" w:themeColor="text1"/>
          <w:sz w:val="32"/>
          <w:szCs w:val="32"/>
        </w:rPr>
        <w:t>万元，决算数</w:t>
      </w:r>
      <w:r>
        <w:rPr>
          <w:rFonts w:hint="eastAsia" w:ascii="仿宋_GB2312" w:eastAsia="仿宋_GB2312"/>
          <w:sz w:val="32"/>
          <w:szCs w:val="32"/>
        </w:rPr>
        <w:t>48.19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，预决算差异率36.36%，差异主要原因是2018年在预算执行过程中追加修建老干部活动室、缴纳2016-2017年度办公场所暖气费等日常公用经费导致决算数较预算数增加。</w:t>
      </w:r>
      <w:bookmarkEnd w:id="26"/>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27" w:name="OLE_LINK64"/>
      <w:r>
        <w:rPr>
          <w:rFonts w:hint="eastAsia" w:ascii="仿宋_GB2312" w:eastAsia="仿宋_GB2312"/>
          <w:color w:val="000000" w:themeColor="text1"/>
          <w:sz w:val="32"/>
          <w:szCs w:val="32"/>
        </w:rPr>
        <w:t>2018年度</w:t>
      </w:r>
      <w:bookmarkStart w:id="28" w:name="OLE_LINK17"/>
      <w:r>
        <w:rPr>
          <w:rFonts w:hint="eastAsia" w:ascii="仿宋_GB2312" w:eastAsia="仿宋_GB2312"/>
          <w:color w:val="000000" w:themeColor="text1"/>
          <w:sz w:val="32"/>
          <w:szCs w:val="32"/>
        </w:rPr>
        <w:t>一般公共预算财政拨款收入</w:t>
      </w:r>
      <w:bookmarkEnd w:id="28"/>
      <w:r>
        <w:rPr>
          <w:rFonts w:ascii="仿宋_GB2312" w:eastAsia="仿宋_GB2312"/>
          <w:color w:val="000000" w:themeColor="text1"/>
          <w:sz w:val="32"/>
          <w:szCs w:val="32"/>
        </w:rPr>
        <w:t>48.19</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lang w:val="en-US" w:eastAsia="zh-CN"/>
        </w:rPr>
        <w:t>与上年相比，增加</w:t>
      </w:r>
      <w:r>
        <w:rPr>
          <w:rFonts w:hint="eastAsia" w:ascii="仿宋_GB2312" w:eastAsia="仿宋_GB2312"/>
          <w:sz w:val="32"/>
          <w:szCs w:val="32"/>
          <w:lang w:val="en-US" w:eastAsia="zh-CN"/>
        </w:rPr>
        <w:t>48.19</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100%，增加的主要原因是：</w:t>
      </w:r>
      <w:r>
        <w:rPr>
          <w:rFonts w:ascii="仿宋_GB2312" w:eastAsia="仿宋_GB2312"/>
          <w:color w:val="000000" w:themeColor="text1"/>
          <w:sz w:val="32"/>
          <w:szCs w:val="32"/>
        </w:rPr>
        <w:t>由于本单位是2018年新增单位，因此无上年对比数据。</w:t>
      </w:r>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lang w:val="en-US" w:eastAsia="zh-CN"/>
        </w:rPr>
        <w:t>48.19</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val="en-US" w:eastAsia="zh-CN"/>
        </w:rPr>
        <w:t>,上年相比，增加48.19</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100%，增加的主要原因是：</w:t>
      </w:r>
      <w:r>
        <w:rPr>
          <w:rFonts w:ascii="仿宋_GB2312" w:eastAsia="仿宋_GB2312"/>
          <w:color w:val="000000" w:themeColor="text1"/>
          <w:sz w:val="32"/>
          <w:szCs w:val="32"/>
        </w:rPr>
        <w:t>由于本单位是2018年新增单位，无上年对比数据</w:t>
      </w:r>
      <w:bookmarkEnd w:id="27"/>
      <w:bookmarkStart w:id="29" w:name="OLE_LINK65"/>
      <w:r>
        <w:rPr>
          <w:rFonts w:hint="eastAsia" w:ascii="仿宋_GB2312" w:eastAsia="仿宋_GB2312"/>
          <w:sz w:val="32"/>
          <w:szCs w:val="32"/>
        </w:rPr>
        <w:t>。</w:t>
      </w:r>
      <w:bookmarkEnd w:id="29"/>
      <w:r>
        <w:rPr>
          <w:rFonts w:hint="eastAsia" w:ascii="仿宋_GB2312" w:eastAsia="仿宋_GB2312"/>
          <w:color w:val="000000" w:themeColor="text1"/>
          <w:sz w:val="32"/>
          <w:szCs w:val="32"/>
        </w:rPr>
        <w:t>其中：</w:t>
      </w:r>
      <w:bookmarkStart w:id="30" w:name="OLE_LINK19"/>
      <w:r>
        <w:rPr>
          <w:rFonts w:hint="eastAsia" w:ascii="仿宋_GB2312" w:eastAsia="仿宋_GB2312"/>
          <w:color w:val="000000" w:themeColor="text1"/>
          <w:sz w:val="32"/>
          <w:szCs w:val="32"/>
        </w:rPr>
        <w:t>按功能分类科目（按类级科目公开）</w:t>
      </w:r>
      <w:bookmarkEnd w:id="30"/>
      <w:r>
        <w:rPr>
          <w:rFonts w:hint="eastAsia" w:ascii="仿宋_GB2312" w:eastAsia="仿宋_GB2312"/>
          <w:color w:val="000000" w:themeColor="text1"/>
          <w:sz w:val="32"/>
          <w:szCs w:val="32"/>
        </w:rPr>
        <w:t>，</w:t>
      </w:r>
      <w:r>
        <w:rPr>
          <w:rFonts w:hint="eastAsia" w:ascii="仿宋_GB2312" w:eastAsia="仿宋_GB2312"/>
          <w:sz w:val="32"/>
          <w:szCs w:val="32"/>
        </w:rPr>
        <w:t>住房保障支出2.25万元,一般公共服务支出42.62万元,社会保障和就业支出3.31万元。</w:t>
      </w:r>
      <w:bookmarkStart w:id="31" w:name="OLE_LINK20"/>
      <w:bookmarkStart w:id="32" w:name="OLE_LINK21"/>
      <w:r>
        <w:rPr>
          <w:rFonts w:hint="eastAsia" w:ascii="仿宋_GB2312" w:eastAsia="仿宋_GB2312"/>
          <w:color w:val="000000" w:themeColor="text1"/>
          <w:sz w:val="32"/>
          <w:szCs w:val="32"/>
        </w:rPr>
        <w:t>按经济分类科目</w:t>
      </w:r>
      <w:bookmarkEnd w:id="31"/>
      <w:r>
        <w:rPr>
          <w:rFonts w:hint="eastAsia" w:ascii="仿宋_GB2312" w:eastAsia="仿宋_GB2312"/>
          <w:color w:val="000000" w:themeColor="text1"/>
          <w:sz w:val="32"/>
          <w:szCs w:val="32"/>
        </w:rPr>
        <w:t>（按类级科目公开）</w:t>
      </w:r>
      <w:bookmarkEnd w:id="32"/>
      <w:r>
        <w:rPr>
          <w:rFonts w:hint="eastAsia" w:ascii="仿宋_GB2312" w:eastAsia="仿宋_GB2312"/>
          <w:color w:val="000000" w:themeColor="text1"/>
          <w:sz w:val="32"/>
          <w:szCs w:val="32"/>
        </w:rPr>
        <w:t>，</w:t>
      </w:r>
      <w:r>
        <w:rPr>
          <w:rFonts w:hint="eastAsia" w:ascii="仿宋_GB2312" w:eastAsia="仿宋_GB2312"/>
          <w:sz w:val="32"/>
          <w:szCs w:val="32"/>
        </w:rPr>
        <w:t>工资福利支出31.46万元,商品和服务支出16.72万元。</w:t>
      </w:r>
    </w:p>
    <w:p>
      <w:pPr>
        <w:spacing w:line="540" w:lineRule="exact"/>
        <w:ind w:firstLine="640" w:firstLineChars="200"/>
        <w:rPr>
          <w:rFonts w:ascii="仿宋_GB2312" w:eastAsia="仿宋_GB2312"/>
          <w:color w:val="000000" w:themeColor="text1"/>
          <w:sz w:val="32"/>
          <w:szCs w:val="32"/>
        </w:rPr>
      </w:pPr>
      <w:bookmarkStart w:id="33" w:name="OLE_LINK67"/>
      <w:bookmarkStart w:id="34"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35.34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48.19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，预决算差异率36.36%，差异主要原因是2018年在预算执行过程中追加修建老干部活动室、缴纳2016-2017年度办公场所暖气费等日常公用经费导致决算数较预算数增加。</w:t>
      </w:r>
      <w:bookmarkEnd w:id="33"/>
      <w:bookmarkEnd w:id="34"/>
      <w:bookmarkStart w:id="35"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35.34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48.19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，预决算差异率36.36%，差异主要原因是2018年在预算执行过程中追加修建老干部活动室、缴纳2016-2017年度办公场所暖气费等日常公用经费导致决算数较预算数增加。</w:t>
      </w:r>
      <w:bookmarkEnd w:id="3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36" w:name="OLE_LINK69"/>
      <w:r>
        <w:rPr>
          <w:rFonts w:hint="eastAsia" w:ascii="仿宋_GB2312" w:eastAsia="仿宋_GB2312"/>
          <w:color w:val="000000" w:themeColor="text1"/>
          <w:sz w:val="32"/>
          <w:szCs w:val="32"/>
        </w:rPr>
        <w:t>2018年度</w:t>
      </w:r>
      <w:bookmarkStart w:id="37" w:name="OLE_LINK22"/>
      <w:r>
        <w:rPr>
          <w:rFonts w:hint="eastAsia" w:ascii="仿宋_GB2312" w:eastAsia="仿宋_GB2312"/>
          <w:color w:val="000000" w:themeColor="text1"/>
          <w:sz w:val="32"/>
          <w:szCs w:val="32"/>
        </w:rPr>
        <w:t>政府性基金预算财政拨款收入</w:t>
      </w:r>
      <w:bookmarkEnd w:id="37"/>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r>
        <w:rPr>
          <w:rFonts w:hint="eastAsia" w:ascii="仿宋_GB2312" w:eastAsia="仿宋_GB2312"/>
          <w:sz w:val="32"/>
          <w:szCs w:val="32"/>
        </w:rPr>
        <w:t>由于本单位是2018年新增单位，无变化。</w:t>
      </w:r>
      <w:bookmarkEnd w:id="36"/>
      <w:bookmarkStart w:id="38" w:name="OLE_LINK23"/>
      <w:bookmarkStart w:id="39" w:name="OLE_LINK70"/>
      <w:r>
        <w:rPr>
          <w:rFonts w:hint="eastAsia" w:ascii="仿宋_GB2312" w:eastAsia="仿宋_GB2312"/>
          <w:color w:val="000000" w:themeColor="text1"/>
          <w:sz w:val="32"/>
          <w:szCs w:val="32"/>
        </w:rPr>
        <w:t>政府性基金预算支出</w:t>
      </w:r>
      <w:bookmarkEnd w:id="38"/>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r>
        <w:rPr>
          <w:rFonts w:hint="eastAsia" w:ascii="仿宋_GB2312" w:eastAsia="仿宋_GB2312"/>
          <w:sz w:val="32"/>
          <w:szCs w:val="32"/>
        </w:rPr>
        <w:t>由于本单位是2018年新增单位，无变化。</w:t>
      </w:r>
      <w:bookmarkEnd w:id="39"/>
      <w:r>
        <w:rPr>
          <w:rFonts w:hint="eastAsia" w:ascii="仿宋_GB2312" w:eastAsia="仿宋_GB2312"/>
          <w:color w:val="000000" w:themeColor="text1"/>
          <w:sz w:val="32"/>
          <w:szCs w:val="32"/>
        </w:rPr>
        <w:t>其中：</w:t>
      </w:r>
      <w:bookmarkStart w:id="40" w:name="OLE_LINK24"/>
      <w:r>
        <w:rPr>
          <w:rFonts w:hint="eastAsia" w:ascii="仿宋_GB2312" w:eastAsia="仿宋_GB2312"/>
          <w:color w:val="000000" w:themeColor="text1"/>
          <w:sz w:val="32"/>
          <w:szCs w:val="32"/>
        </w:rPr>
        <w:t>按功能分类科目（按类级科目公开）</w:t>
      </w:r>
      <w:bookmarkEnd w:id="40"/>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1" w:name="OLE_LINK72"/>
      <w:bookmarkStart w:id="42"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41"/>
      <w:bookmarkEnd w:id="42"/>
      <w:bookmarkStart w:id="43"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43"/>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44" w:name="OLE_LINK26"/>
      <w:bookmarkStart w:id="45" w:name="OLE_LINK25"/>
      <w:r>
        <w:rPr>
          <w:rFonts w:hint="eastAsia" w:ascii="仿宋_GB2312" w:eastAsia="仿宋_GB2312"/>
          <w:color w:val="000000" w:themeColor="text1"/>
          <w:sz w:val="32"/>
          <w:szCs w:val="32"/>
        </w:rPr>
        <w:t>年末结转结余</w:t>
      </w:r>
      <w:bookmarkEnd w:id="44"/>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r>
        <w:rPr>
          <w:rFonts w:hint="eastAsia" w:ascii="仿宋_GB2312" w:eastAsia="仿宋_GB2312"/>
          <w:sz w:val="32"/>
          <w:szCs w:val="32"/>
        </w:rPr>
        <w:t>由于本单位是2018年新增单位，</w:t>
      </w:r>
      <w:r>
        <w:rPr>
          <w:rFonts w:hint="eastAsia" w:ascii="仿宋_GB2312" w:eastAsia="仿宋_GB2312"/>
          <w:sz w:val="32"/>
          <w:szCs w:val="32"/>
          <w:lang w:eastAsia="zh-CN"/>
        </w:rPr>
        <w:t>无上年对比数据分析</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46" w:name="OLE_LINK28"/>
      <w:bookmarkStart w:id="47" w:name="OLE_LINK27"/>
      <w:r>
        <w:rPr>
          <w:rFonts w:hint="eastAsia" w:ascii="仿宋_GB2312" w:eastAsia="仿宋_GB2312"/>
          <w:color w:val="000000" w:themeColor="text1"/>
          <w:sz w:val="32"/>
          <w:szCs w:val="32"/>
        </w:rPr>
        <w:t>财政拨款结转结余</w:t>
      </w:r>
      <w:bookmarkEnd w:id="46"/>
      <w:bookmarkEnd w:id="47"/>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r>
        <w:rPr>
          <w:rFonts w:hint="eastAsia" w:ascii="仿宋_GB2312" w:eastAsia="仿宋_GB2312"/>
          <w:sz w:val="32"/>
          <w:szCs w:val="32"/>
        </w:rPr>
        <w:t>由于本单位是2018年新增单位，</w:t>
      </w:r>
      <w:r>
        <w:rPr>
          <w:rFonts w:hint="eastAsia" w:ascii="仿宋_GB2312" w:eastAsia="仿宋_GB2312"/>
          <w:sz w:val="32"/>
          <w:szCs w:val="32"/>
          <w:lang w:eastAsia="zh-CN"/>
        </w:rPr>
        <w:t>无上年对比数据分析</w:t>
      </w:r>
      <w:r>
        <w:rPr>
          <w:rFonts w:hint="eastAsia" w:ascii="仿宋_GB2312" w:eastAsia="仿宋_GB2312"/>
          <w:color w:val="000000" w:themeColor="text1"/>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48" w:name="OLE_LINK74"/>
      <w:r>
        <w:rPr>
          <w:rFonts w:hint="eastAsia" w:ascii="仿宋_GB2312" w:eastAsia="仿宋_GB2312"/>
          <w:color w:val="000000" w:themeColor="text1"/>
          <w:sz w:val="32"/>
          <w:szCs w:val="32"/>
        </w:rPr>
        <w:t>2018年度</w:t>
      </w:r>
      <w:bookmarkStart w:id="49" w:name="OLE_LINK29"/>
      <w:r>
        <w:rPr>
          <w:rFonts w:hint="eastAsia" w:ascii="仿宋_GB2312" w:eastAsia="仿宋_GB2312"/>
          <w:color w:val="000000" w:themeColor="text1"/>
          <w:sz w:val="32"/>
          <w:szCs w:val="32"/>
        </w:rPr>
        <w:t>一般公共预算“三公”经费支出决算</w:t>
      </w:r>
      <w:bookmarkEnd w:id="49"/>
      <w:r>
        <w:rPr>
          <w:rFonts w:hint="eastAsia" w:ascii="仿宋_GB2312" w:eastAsia="仿宋_GB2312"/>
          <w:sz w:val="32"/>
          <w:szCs w:val="32"/>
        </w:rPr>
        <w:t>2</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r>
        <w:rPr>
          <w:rFonts w:hint="eastAsia" w:ascii="仿宋_GB2312" w:eastAsia="仿宋_GB2312"/>
          <w:sz w:val="32"/>
          <w:szCs w:val="32"/>
        </w:rPr>
        <w:t>由于本单位是2018年新增单位，无上年对比数据。</w:t>
      </w:r>
      <w:bookmarkEnd w:id="48"/>
      <w:bookmarkStart w:id="50" w:name="OLE_LINK75"/>
      <w:r>
        <w:rPr>
          <w:rFonts w:hint="eastAsia" w:ascii="仿宋_GB2312" w:eastAsia="仿宋_GB2312"/>
          <w:color w:val="000000" w:themeColor="text1"/>
          <w:sz w:val="32"/>
          <w:szCs w:val="32"/>
        </w:rPr>
        <w:t>其中，</w:t>
      </w:r>
      <w:bookmarkStart w:id="51" w:name="OLE_LINK30"/>
      <w:r>
        <w:rPr>
          <w:rFonts w:hint="eastAsia" w:ascii="仿宋_GB2312" w:eastAsia="仿宋_GB2312"/>
          <w:color w:val="000000" w:themeColor="text1"/>
          <w:sz w:val="32"/>
          <w:szCs w:val="32"/>
        </w:rPr>
        <w:t>因公出国（境）费支出</w:t>
      </w:r>
      <w:bookmarkEnd w:id="5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r>
        <w:rPr>
          <w:rFonts w:hint="eastAsia" w:ascii="仿宋_GB2312" w:eastAsia="仿宋_GB2312"/>
          <w:sz w:val="32"/>
          <w:szCs w:val="32"/>
        </w:rPr>
        <w:t>由于本单位是2018年新增单位，无上年对比数据；</w:t>
      </w:r>
      <w:bookmarkEnd w:id="50"/>
      <w:bookmarkStart w:id="52" w:name="OLE_LINK31"/>
      <w:bookmarkStart w:id="53" w:name="OLE_LINK76"/>
      <w:r>
        <w:rPr>
          <w:rFonts w:hint="eastAsia" w:ascii="仿宋_GB2312" w:eastAsia="仿宋_GB2312"/>
          <w:color w:val="000000" w:themeColor="text1"/>
          <w:sz w:val="32"/>
          <w:szCs w:val="32"/>
        </w:rPr>
        <w:t>公务用车购置及运行维护费支出</w:t>
      </w:r>
      <w:bookmarkEnd w:id="52"/>
      <w:r>
        <w:rPr>
          <w:rFonts w:hint="eastAsia" w:ascii="仿宋_GB2312" w:eastAsia="仿宋_GB2312"/>
          <w:sz w:val="32"/>
          <w:szCs w:val="32"/>
        </w:rPr>
        <w:t>2</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sz w:val="32"/>
          <w:szCs w:val="32"/>
          <w:lang w:eastAsia="zh-CN"/>
        </w:rPr>
        <w:t>，</w:t>
      </w:r>
      <w:r>
        <w:rPr>
          <w:rFonts w:hint="eastAsia" w:ascii="仿宋_GB2312" w:eastAsia="仿宋_GB2312"/>
          <w:sz w:val="32"/>
          <w:szCs w:val="32"/>
        </w:rPr>
        <w:t>由于本单位是2018年新增单位，无上年对比数据；</w:t>
      </w:r>
      <w:bookmarkEnd w:id="53"/>
      <w:bookmarkStart w:id="54" w:name="OLE_LINK32"/>
      <w:bookmarkStart w:id="55" w:name="OLE_LINK77"/>
      <w:bookmarkStart w:id="56" w:name="OLE_LINK78"/>
      <w:r>
        <w:rPr>
          <w:rFonts w:hint="eastAsia" w:ascii="仿宋_GB2312" w:eastAsia="仿宋_GB2312"/>
          <w:color w:val="000000" w:themeColor="text1"/>
          <w:sz w:val="32"/>
          <w:szCs w:val="32"/>
        </w:rPr>
        <w:t>公务接待费支出</w:t>
      </w:r>
      <w:bookmarkEnd w:id="5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r>
        <w:rPr>
          <w:rFonts w:hint="eastAsia" w:ascii="仿宋_GB2312" w:eastAsia="仿宋_GB2312"/>
          <w:sz w:val="32"/>
          <w:szCs w:val="32"/>
        </w:rPr>
        <w:t>由于本单位是2018年新增单位，无上年对比数据。</w:t>
      </w:r>
      <w:bookmarkEnd w:id="55"/>
      <w:bookmarkEnd w:id="56"/>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57" w:name="OLE_LINK80"/>
      <w:bookmarkStart w:id="58"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新疆喀什地区塔什库尔干县人民政府驻喀什办事处</w:t>
      </w:r>
      <w:r>
        <w:rPr>
          <w:rFonts w:hint="eastAsia" w:ascii="仿宋_GB2312" w:eastAsia="仿宋_GB2312"/>
          <w:color w:val="000000" w:themeColor="text1"/>
          <w:sz w:val="32"/>
          <w:szCs w:val="32"/>
        </w:rPr>
        <w:t>单位</w:t>
      </w:r>
      <w:bookmarkStart w:id="59" w:name="OLE_LINK33"/>
      <w:r>
        <w:rPr>
          <w:rFonts w:hint="eastAsia" w:ascii="仿宋_GB2312" w:eastAsia="仿宋_GB2312"/>
          <w:color w:val="000000" w:themeColor="text1"/>
          <w:sz w:val="32"/>
          <w:szCs w:val="32"/>
        </w:rPr>
        <w:t>全年</w:t>
      </w:r>
      <w:bookmarkStart w:id="60" w:name="OLE_LINK34"/>
      <w:bookmarkStart w:id="61" w:name="OLE_LINK35"/>
      <w:bookmarkStart w:id="62" w:name="OLE_LINK36"/>
      <w:r>
        <w:rPr>
          <w:rFonts w:hint="eastAsia" w:ascii="仿宋_GB2312" w:eastAsia="仿宋_GB2312"/>
          <w:color w:val="000000" w:themeColor="text1"/>
          <w:sz w:val="32"/>
          <w:szCs w:val="32"/>
        </w:rPr>
        <w:t>使用一般公共预算财政拨款安排的出国（境）团组</w:t>
      </w:r>
      <w:bookmarkEnd w:id="59"/>
      <w:bookmarkEnd w:id="60"/>
      <w:bookmarkEnd w:id="61"/>
      <w:r>
        <w:rPr>
          <w:rFonts w:hint="eastAsia" w:ascii="仿宋_GB2312" w:eastAsia="仿宋_GB2312"/>
          <w:sz w:val="32"/>
          <w:szCs w:val="32"/>
        </w:rPr>
        <w:t>0</w:t>
      </w:r>
      <w:r>
        <w:rPr>
          <w:rFonts w:hint="eastAsia" w:ascii="仿宋_GB2312" w:eastAsia="仿宋_GB2312"/>
          <w:color w:val="000000" w:themeColor="text1"/>
          <w:sz w:val="32"/>
          <w:szCs w:val="32"/>
        </w:rPr>
        <w:t>个</w:t>
      </w:r>
      <w:bookmarkEnd w:id="62"/>
      <w:r>
        <w:rPr>
          <w:rFonts w:hint="eastAsia" w:ascii="仿宋_GB2312" w:eastAsia="仿宋_GB2312"/>
          <w:color w:val="000000" w:themeColor="text1"/>
          <w:sz w:val="32"/>
          <w:szCs w:val="32"/>
        </w:rPr>
        <w:t>，</w:t>
      </w:r>
      <w:bookmarkStart w:id="63"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3"/>
      <w:r>
        <w:rPr>
          <w:rFonts w:hint="eastAsia" w:ascii="仿宋_GB2312" w:eastAsia="仿宋_GB2312"/>
          <w:color w:val="000000" w:themeColor="text1"/>
          <w:sz w:val="32"/>
          <w:szCs w:val="32"/>
        </w:rPr>
        <w:t>。</w:t>
      </w:r>
      <w:bookmarkStart w:id="64"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2018年度无因公出国（境）支出。</w:t>
      </w:r>
      <w:bookmarkEnd w:id="57"/>
      <w:bookmarkEnd w:id="58"/>
      <w:bookmarkEnd w:id="64"/>
    </w:p>
    <w:p>
      <w:pPr>
        <w:spacing w:line="540" w:lineRule="exact"/>
        <w:ind w:firstLine="640" w:firstLineChars="200"/>
        <w:rPr>
          <w:rFonts w:ascii="仿宋_GB2312" w:eastAsia="仿宋_GB2312"/>
          <w:color w:val="000000" w:themeColor="text1"/>
          <w:sz w:val="32"/>
          <w:szCs w:val="32"/>
        </w:rPr>
      </w:pPr>
      <w:bookmarkStart w:id="65"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2</w:t>
      </w:r>
      <w:r>
        <w:rPr>
          <w:rFonts w:hint="eastAsia" w:ascii="仿宋_GB2312" w:eastAsia="仿宋_GB2312"/>
          <w:color w:val="000000" w:themeColor="text1"/>
          <w:sz w:val="32"/>
          <w:szCs w:val="32"/>
        </w:rPr>
        <w:t>万元,其中，</w:t>
      </w:r>
      <w:bookmarkStart w:id="66"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6"/>
      <w:r>
        <w:rPr>
          <w:rFonts w:hint="eastAsia" w:ascii="仿宋_GB2312" w:eastAsia="仿宋_GB2312"/>
          <w:color w:val="000000" w:themeColor="text1"/>
          <w:sz w:val="32"/>
          <w:szCs w:val="32"/>
        </w:rPr>
        <w:t>，</w:t>
      </w:r>
      <w:bookmarkStart w:id="67" w:name="OLE_LINK41"/>
      <w:bookmarkStart w:id="68"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2</w:t>
      </w:r>
      <w:r>
        <w:rPr>
          <w:rFonts w:hint="eastAsia" w:ascii="仿宋_GB2312" w:eastAsia="仿宋_GB2312"/>
          <w:color w:val="000000" w:themeColor="text1"/>
          <w:sz w:val="32"/>
          <w:szCs w:val="32"/>
        </w:rPr>
        <w:t>万元</w:t>
      </w:r>
      <w:bookmarkEnd w:id="67"/>
      <w:bookmarkEnd w:id="68"/>
      <w:r>
        <w:rPr>
          <w:rFonts w:hint="eastAsia" w:ascii="仿宋_GB2312" w:eastAsia="仿宋_GB2312"/>
          <w:color w:val="000000" w:themeColor="text1"/>
          <w:sz w:val="32"/>
          <w:szCs w:val="32"/>
        </w:rPr>
        <w:t>。主要用于</w:t>
      </w:r>
      <w:r>
        <w:rPr>
          <w:rFonts w:hint="eastAsia" w:ascii="仿宋_GB2312" w:eastAsia="仿宋_GB2312"/>
          <w:sz w:val="32"/>
          <w:szCs w:val="32"/>
        </w:rPr>
        <w:t>车辆维护费、燃油费、保险费支出</w:t>
      </w:r>
      <w:r>
        <w:rPr>
          <w:rFonts w:hint="eastAsia" w:ascii="仿宋_GB2312" w:eastAsia="仿宋_GB2312"/>
          <w:color w:val="000000" w:themeColor="text1"/>
          <w:sz w:val="32"/>
          <w:szCs w:val="32"/>
        </w:rPr>
        <w:t>等。</w:t>
      </w:r>
      <w:bookmarkStart w:id="69" w:name="OLE_LINK82"/>
      <w:bookmarkEnd w:id="65"/>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1</w:t>
      </w:r>
      <w:r>
        <w:rPr>
          <w:rFonts w:hint="eastAsia" w:ascii="仿宋_GB2312" w:eastAsia="仿宋_GB2312"/>
          <w:color w:val="000000" w:themeColor="text1"/>
          <w:sz w:val="32"/>
          <w:szCs w:val="32"/>
        </w:rPr>
        <w:t>辆。</w:t>
      </w:r>
      <w:bookmarkEnd w:id="69"/>
    </w:p>
    <w:p>
      <w:pPr>
        <w:spacing w:line="540" w:lineRule="exact"/>
        <w:ind w:firstLine="640" w:firstLineChars="200"/>
        <w:rPr>
          <w:rFonts w:ascii="仿宋_GB2312" w:eastAsia="仿宋_GB2312"/>
          <w:color w:val="000000" w:themeColor="text1"/>
          <w:sz w:val="32"/>
          <w:szCs w:val="32"/>
        </w:rPr>
      </w:pPr>
      <w:bookmarkStart w:id="70"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2018年度无公务接待费支出</w:t>
      </w:r>
      <w:r>
        <w:rPr>
          <w:rFonts w:hint="eastAsia" w:ascii="仿宋_GB2312" w:eastAsia="仿宋_GB2312"/>
          <w:color w:val="000000" w:themeColor="text1"/>
          <w:sz w:val="32"/>
          <w:szCs w:val="32"/>
        </w:rPr>
        <w:t>等。</w:t>
      </w:r>
      <w:bookmarkEnd w:id="70"/>
      <w:bookmarkStart w:id="71" w:name="OLE_LINK84"/>
      <w:r>
        <w:rPr>
          <w:rFonts w:hint="eastAsia" w:ascii="仿宋_GB2312" w:eastAsia="仿宋_GB2312"/>
          <w:sz w:val="32"/>
          <w:szCs w:val="32"/>
        </w:rPr>
        <w:t>新疆喀什地区塔什库尔干县人民政府驻喀什办事处</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p>
    <w:p>
      <w:pPr>
        <w:spacing w:line="540" w:lineRule="exact"/>
        <w:ind w:firstLine="640" w:firstLineChars="200"/>
        <w:rPr>
          <w:rFonts w:ascii="仿宋_GB2312" w:hAnsi="宋体" w:eastAsia="仿宋_GB2312" w:cs="宋体"/>
          <w:color w:val="000000" w:themeColor="text1"/>
          <w:kern w:val="0"/>
          <w:sz w:val="32"/>
          <w:szCs w:val="32"/>
        </w:rPr>
      </w:pPr>
      <w:bookmarkStart w:id="72"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万元，决算数2万元</w:t>
      </w:r>
      <w:r>
        <w:rPr>
          <w:rFonts w:ascii="仿宋_GB2312" w:eastAsia="仿宋_GB2312"/>
          <w:color w:val="000000" w:themeColor="text1"/>
          <w:sz w:val="32"/>
          <w:szCs w:val="32"/>
        </w:rPr>
        <w:t>，预决算差异率0%，差异主要原因是无变化。</w:t>
      </w:r>
      <w:bookmarkEnd w:id="72"/>
      <w:bookmarkStart w:id="73" w:name="OLE_LINK86"/>
      <w:bookmarkStart w:id="74"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，预决算差异率0%，差异主要原因是无变化；</w:t>
      </w:r>
      <w:bookmarkEnd w:id="73"/>
      <w:bookmarkEnd w:id="74"/>
      <w:bookmarkStart w:id="75" w:name="OLE_LINK89"/>
      <w:bookmarkStart w:id="76"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75"/>
      <w:bookmarkEnd w:id="76"/>
      <w:bookmarkStart w:id="77"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77"/>
      <w:bookmarkStart w:id="78"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78"/>
      <w:r>
        <w:rPr>
          <w:rFonts w:ascii="仿宋_GB2312" w:eastAsia="仿宋_GB2312"/>
          <w:color w:val="000000" w:themeColor="text1"/>
          <w:sz w:val="32"/>
          <w:szCs w:val="32"/>
        </w:rPr>
        <w:t>无变化。</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新疆喀什地区塔什库尔干县人民政府驻喀什办事处日常公用经费16.72万元</w:t>
      </w:r>
      <w:r>
        <w:rPr>
          <w:rFonts w:hint="eastAsia" w:ascii="仿宋_GB2312" w:eastAsia="仿宋_GB2312"/>
          <w:color w:val="000000" w:themeColor="text1"/>
          <w:sz w:val="32"/>
          <w:szCs w:val="32"/>
          <w:lang w:val="en-US" w:eastAsia="zh-CN"/>
        </w:rPr>
        <w:t>,</w:t>
      </w:r>
      <w:r>
        <w:rPr>
          <w:rFonts w:hint="eastAsia" w:ascii="仿宋_GB2312" w:eastAsia="仿宋_GB2312"/>
          <w:color w:val="000000" w:themeColor="text1"/>
          <w:sz w:val="32"/>
          <w:szCs w:val="32"/>
        </w:rPr>
        <w:t>与上年相比，</w:t>
      </w:r>
      <w:r>
        <w:rPr>
          <w:rFonts w:hint="eastAsia" w:ascii="仿宋_GB2312" w:eastAsia="仿宋_GB2312"/>
          <w:color w:val="000000" w:themeColor="text1"/>
          <w:sz w:val="32"/>
          <w:szCs w:val="32"/>
          <w:lang w:eastAsia="zh-CN"/>
        </w:rPr>
        <w:t>增加</w:t>
      </w:r>
      <w:r>
        <w:rPr>
          <w:rFonts w:hint="eastAsia" w:ascii="仿宋_GB2312" w:eastAsia="仿宋_GB2312"/>
          <w:color w:val="000000" w:themeColor="text1"/>
          <w:sz w:val="32"/>
          <w:szCs w:val="32"/>
          <w:lang w:val="en-US" w:eastAsia="zh-CN"/>
        </w:rPr>
        <w:t>1.5</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w:t>
      </w:r>
      <w:r>
        <w:rPr>
          <w:rFonts w:hint="eastAsia" w:ascii="仿宋_GB2312" w:eastAsia="仿宋_GB2312"/>
          <w:color w:val="000000" w:themeColor="text1"/>
          <w:sz w:val="32"/>
          <w:szCs w:val="32"/>
        </w:rPr>
        <w:t>%，</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rPr>
        <w:t>的主要原因是：由于本单位是2018年新增单位，因此无上年对比数据。</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9" w:name="OLE_LINK45"/>
      <w:r>
        <w:rPr>
          <w:rFonts w:hint="eastAsia" w:ascii="仿宋_GB2312" w:eastAsia="仿宋_GB2312"/>
          <w:color w:val="000000" w:themeColor="text1"/>
          <w:sz w:val="32"/>
          <w:szCs w:val="32"/>
        </w:rPr>
        <w:t>政府采购支出总额</w:t>
      </w:r>
      <w:bookmarkEnd w:id="79"/>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0" w:name="OLE_LINK46"/>
      <w:r>
        <w:rPr>
          <w:rFonts w:hint="eastAsia" w:ascii="仿宋_GB2312" w:eastAsia="仿宋_GB2312"/>
          <w:color w:val="000000" w:themeColor="text1"/>
          <w:sz w:val="32"/>
          <w:szCs w:val="32"/>
        </w:rPr>
        <w:t>政府采购货物支出</w:t>
      </w:r>
      <w:bookmarkEnd w:id="80"/>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1" w:name="OLE_LINK47"/>
      <w:r>
        <w:rPr>
          <w:rFonts w:hint="eastAsia" w:ascii="仿宋_GB2312" w:eastAsia="仿宋_GB2312"/>
          <w:color w:val="000000" w:themeColor="text1"/>
          <w:sz w:val="32"/>
          <w:szCs w:val="32"/>
        </w:rPr>
        <w:t>政府采购工程支出</w:t>
      </w:r>
      <w:bookmarkEnd w:id="81"/>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2" w:name="OLE_LINK48"/>
      <w:r>
        <w:rPr>
          <w:rFonts w:hint="eastAsia" w:ascii="仿宋_GB2312" w:eastAsia="仿宋_GB2312"/>
          <w:color w:val="000000" w:themeColor="text1"/>
          <w:sz w:val="32"/>
          <w:szCs w:val="32"/>
        </w:rPr>
        <w:t>政府采购服务支出</w:t>
      </w:r>
      <w:bookmarkEnd w:id="82"/>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3"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1</w:t>
      </w:r>
      <w:r>
        <w:rPr>
          <w:rFonts w:hint="eastAsia" w:ascii="仿宋_GB2312" w:eastAsia="仿宋_GB2312"/>
          <w:color w:val="000000" w:themeColor="text1"/>
          <w:sz w:val="32"/>
          <w:szCs w:val="32"/>
        </w:rPr>
        <w:t>辆，价值</w:t>
      </w:r>
      <w:r>
        <w:rPr>
          <w:rFonts w:hint="eastAsia" w:ascii="仿宋_GB2312" w:eastAsia="仿宋_GB2312"/>
          <w:sz w:val="32"/>
          <w:szCs w:val="32"/>
        </w:rPr>
        <w:t>3</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辆，其他用车主要是：</w:t>
      </w:r>
      <w:r>
        <w:rPr>
          <w:rFonts w:hint="eastAsia" w:ascii="仿宋_GB2312" w:eastAsia="仿宋_GB2312"/>
          <w:color w:val="000000" w:themeColor="text1"/>
          <w:sz w:val="32"/>
          <w:szCs w:val="32"/>
          <w:lang w:eastAsia="zh-CN"/>
        </w:rPr>
        <w:t>尼桑越野车新</w:t>
      </w:r>
      <w:r>
        <w:rPr>
          <w:rFonts w:hint="eastAsia" w:ascii="仿宋_GB2312" w:eastAsia="仿宋_GB2312"/>
          <w:color w:val="000000" w:themeColor="text1"/>
          <w:sz w:val="32"/>
          <w:szCs w:val="32"/>
          <w:lang w:val="en-US" w:eastAsia="zh-CN"/>
        </w:rPr>
        <w:t>QH2821</w:t>
      </w:r>
      <w:r>
        <w:rPr>
          <w:rFonts w:hint="eastAsia" w:ascii="仿宋_GB2312" w:eastAsia="仿宋_GB2312"/>
          <w:color w:val="000000" w:themeColor="text1"/>
          <w:sz w:val="32"/>
          <w:szCs w:val="32"/>
          <w:lang w:eastAsia="zh-CN"/>
        </w:rPr>
        <w:t>一辆，主要用于单位日常</w:t>
      </w:r>
      <w:r>
        <w:rPr>
          <w:rFonts w:ascii="仿宋_GB2312" w:eastAsia="仿宋_GB2312"/>
          <w:color w:val="000000" w:themeColor="text1"/>
          <w:sz w:val="32"/>
          <w:szCs w:val="32"/>
        </w:rPr>
        <w:t>公务</w:t>
      </w:r>
      <w:r>
        <w:rPr>
          <w:rFonts w:hint="eastAsia" w:ascii="仿宋_GB2312" w:eastAsia="仿宋_GB2312"/>
          <w:color w:val="000000" w:themeColor="text1"/>
          <w:sz w:val="32"/>
          <w:szCs w:val="32"/>
          <w:lang w:eastAsia="zh-CN"/>
        </w:rPr>
        <w:t>外出</w:t>
      </w:r>
      <w:r>
        <w:rPr>
          <w:rFonts w:ascii="仿宋_GB2312" w:eastAsia="仿宋_GB2312"/>
          <w:color w:val="000000" w:themeColor="text1"/>
          <w:sz w:val="32"/>
          <w:szCs w:val="32"/>
        </w:rPr>
        <w:t>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2018年度，本部门单位预算绩效自评情况：</w:t>
      </w:r>
      <w:r>
        <w:rPr>
          <w:rFonts w:ascii="仿宋_GB2312" w:eastAsia="仿宋_GB2312"/>
          <w:color w:val="000000" w:themeColor="text1"/>
          <w:sz w:val="32"/>
          <w:szCs w:val="32"/>
        </w:rPr>
        <w:t>201</w:t>
      </w:r>
      <w:r>
        <w:rPr>
          <w:rFonts w:hint="eastAsia" w:ascii="仿宋_GB2312" w:eastAsia="仿宋_GB2312"/>
          <w:color w:val="000000" w:themeColor="text1"/>
          <w:sz w:val="32"/>
          <w:szCs w:val="32"/>
          <w:lang w:val="en-US" w:eastAsia="zh-CN"/>
        </w:rPr>
        <w:t>8</w:t>
      </w:r>
      <w:r>
        <w:rPr>
          <w:rFonts w:hint="eastAsia" w:ascii="仿宋_GB2312" w:eastAsia="仿宋_GB2312"/>
          <w:color w:val="000000" w:themeColor="text1"/>
          <w:sz w:val="32"/>
          <w:szCs w:val="32"/>
        </w:rPr>
        <w:t>年度，本部门单位实行绩效管理的项目</w:t>
      </w:r>
      <w:r>
        <w:rPr>
          <w:rFonts w:ascii="仿宋_GB2312" w:eastAsia="仿宋_GB2312"/>
          <w:color w:val="000000" w:themeColor="text1"/>
          <w:sz w:val="32"/>
          <w:szCs w:val="32"/>
        </w:rPr>
        <w:t>0</w:t>
      </w:r>
      <w:r>
        <w:rPr>
          <w:rFonts w:hint="eastAsia" w:ascii="仿宋_GB2312" w:eastAsia="仿宋_GB2312"/>
          <w:color w:val="000000" w:themeColor="text1"/>
          <w:sz w:val="32"/>
          <w:szCs w:val="32"/>
        </w:rPr>
        <w:t>个，涉及预算</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万元，项目支出决算</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万元。年末本部门单位民生项目和重点支出项目的绩效评价开展情况及结果：无</w:t>
      </w:r>
      <w:r>
        <w:rPr>
          <w:rFonts w:hint="eastAsia" w:ascii="仿宋_GB2312" w:eastAsia="仿宋_GB2312"/>
          <w:color w:val="000000" w:themeColor="text1"/>
          <w:sz w:val="32"/>
          <w:szCs w:val="32"/>
          <w:lang w:eastAsia="zh-CN"/>
        </w:rPr>
        <w:t>预算绩效情况</w:t>
      </w:r>
      <w:r>
        <w:rPr>
          <w:rFonts w:hint="eastAsia" w:ascii="仿宋_GB2312" w:eastAsia="仿宋_GB2312"/>
          <w:color w:val="000000" w:themeColor="text1"/>
          <w:sz w:val="32"/>
          <w:szCs w:val="32"/>
        </w:rPr>
        <w:t>。</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221（类）02（款）01（项）指：住房公积金。201（类）03（款）01（项）指：行政运行。208（类）05（款）05（项）指：机关事业单位基本养老保险缴费支出。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03451D"/>
    <w:rsid w:val="03AA79F6"/>
    <w:rsid w:val="04741FE5"/>
    <w:rsid w:val="04DB02C7"/>
    <w:rsid w:val="05116D3C"/>
    <w:rsid w:val="06B856EE"/>
    <w:rsid w:val="07FE5938"/>
    <w:rsid w:val="084604BC"/>
    <w:rsid w:val="08883825"/>
    <w:rsid w:val="09725983"/>
    <w:rsid w:val="09A01DB9"/>
    <w:rsid w:val="0A382BB5"/>
    <w:rsid w:val="0AA4543A"/>
    <w:rsid w:val="0ACA485A"/>
    <w:rsid w:val="0BE61132"/>
    <w:rsid w:val="0C9B0DD6"/>
    <w:rsid w:val="0CE4791C"/>
    <w:rsid w:val="0DFC04B8"/>
    <w:rsid w:val="0E063C64"/>
    <w:rsid w:val="0F4C7B96"/>
    <w:rsid w:val="0FFB575E"/>
    <w:rsid w:val="10845F1B"/>
    <w:rsid w:val="11463A00"/>
    <w:rsid w:val="11600918"/>
    <w:rsid w:val="11B0398F"/>
    <w:rsid w:val="12006CBF"/>
    <w:rsid w:val="126A6F16"/>
    <w:rsid w:val="12716F64"/>
    <w:rsid w:val="12891D87"/>
    <w:rsid w:val="138B34D5"/>
    <w:rsid w:val="13B960C5"/>
    <w:rsid w:val="14C45932"/>
    <w:rsid w:val="152777F4"/>
    <w:rsid w:val="15C674B6"/>
    <w:rsid w:val="18D54A0D"/>
    <w:rsid w:val="18DC0E10"/>
    <w:rsid w:val="1A4106A0"/>
    <w:rsid w:val="1A4F5437"/>
    <w:rsid w:val="1AB77CD0"/>
    <w:rsid w:val="1AF162A4"/>
    <w:rsid w:val="1BFC7717"/>
    <w:rsid w:val="1D650A8D"/>
    <w:rsid w:val="1E060848"/>
    <w:rsid w:val="1E223203"/>
    <w:rsid w:val="1E807156"/>
    <w:rsid w:val="1EA657F6"/>
    <w:rsid w:val="1F097CB6"/>
    <w:rsid w:val="2166156B"/>
    <w:rsid w:val="21B02D83"/>
    <w:rsid w:val="22A236F5"/>
    <w:rsid w:val="23995975"/>
    <w:rsid w:val="2432220E"/>
    <w:rsid w:val="248303BA"/>
    <w:rsid w:val="24837E47"/>
    <w:rsid w:val="252E01AA"/>
    <w:rsid w:val="2680023E"/>
    <w:rsid w:val="273A1366"/>
    <w:rsid w:val="27C81731"/>
    <w:rsid w:val="29680352"/>
    <w:rsid w:val="2A020F75"/>
    <w:rsid w:val="2A2D15D3"/>
    <w:rsid w:val="2AFC6604"/>
    <w:rsid w:val="2B007AEE"/>
    <w:rsid w:val="2BC14C56"/>
    <w:rsid w:val="2C1B026F"/>
    <w:rsid w:val="2CC61F55"/>
    <w:rsid w:val="2EF7452F"/>
    <w:rsid w:val="2F0069D2"/>
    <w:rsid w:val="2F1D13B4"/>
    <w:rsid w:val="2FAA3DA6"/>
    <w:rsid w:val="30682E1F"/>
    <w:rsid w:val="30E210D2"/>
    <w:rsid w:val="311371D6"/>
    <w:rsid w:val="31EB64C9"/>
    <w:rsid w:val="327D09A8"/>
    <w:rsid w:val="32BC5866"/>
    <w:rsid w:val="336D0D6F"/>
    <w:rsid w:val="352E4BEC"/>
    <w:rsid w:val="36D15BDD"/>
    <w:rsid w:val="37283A78"/>
    <w:rsid w:val="37DD5594"/>
    <w:rsid w:val="38F24FA8"/>
    <w:rsid w:val="391E10B3"/>
    <w:rsid w:val="3A98342A"/>
    <w:rsid w:val="3AB6780E"/>
    <w:rsid w:val="3AD56D70"/>
    <w:rsid w:val="3B2920C2"/>
    <w:rsid w:val="3BE41ABD"/>
    <w:rsid w:val="3C5421A9"/>
    <w:rsid w:val="3CAA33DA"/>
    <w:rsid w:val="3D903B21"/>
    <w:rsid w:val="3F1C0151"/>
    <w:rsid w:val="3F440741"/>
    <w:rsid w:val="41FC306C"/>
    <w:rsid w:val="423E4E5C"/>
    <w:rsid w:val="44047E4E"/>
    <w:rsid w:val="44BE5554"/>
    <w:rsid w:val="451E0908"/>
    <w:rsid w:val="452C2D31"/>
    <w:rsid w:val="45840271"/>
    <w:rsid w:val="45D26E14"/>
    <w:rsid w:val="46A541B1"/>
    <w:rsid w:val="48AC6AE7"/>
    <w:rsid w:val="48C57772"/>
    <w:rsid w:val="48EF29DC"/>
    <w:rsid w:val="49157C3C"/>
    <w:rsid w:val="49782886"/>
    <w:rsid w:val="4A6F0D28"/>
    <w:rsid w:val="4AAF085C"/>
    <w:rsid w:val="4AEB7E60"/>
    <w:rsid w:val="4B4B135B"/>
    <w:rsid w:val="4BC7055F"/>
    <w:rsid w:val="4CFC7DB2"/>
    <w:rsid w:val="4D9748F2"/>
    <w:rsid w:val="4E7C187D"/>
    <w:rsid w:val="4F973DD1"/>
    <w:rsid w:val="4FD66512"/>
    <w:rsid w:val="508941AD"/>
    <w:rsid w:val="50E65530"/>
    <w:rsid w:val="51457139"/>
    <w:rsid w:val="51574DBD"/>
    <w:rsid w:val="51EC1DA8"/>
    <w:rsid w:val="52FC5524"/>
    <w:rsid w:val="532D7A17"/>
    <w:rsid w:val="537B4AD5"/>
    <w:rsid w:val="53C04567"/>
    <w:rsid w:val="54AF4562"/>
    <w:rsid w:val="54C9674B"/>
    <w:rsid w:val="556318EA"/>
    <w:rsid w:val="55A60AA1"/>
    <w:rsid w:val="56451615"/>
    <w:rsid w:val="57FC5774"/>
    <w:rsid w:val="58A7268C"/>
    <w:rsid w:val="59B332C9"/>
    <w:rsid w:val="5A44758A"/>
    <w:rsid w:val="5BEC4BB3"/>
    <w:rsid w:val="5C070B55"/>
    <w:rsid w:val="5CB96DCE"/>
    <w:rsid w:val="5CE61580"/>
    <w:rsid w:val="5D175666"/>
    <w:rsid w:val="5D556A3C"/>
    <w:rsid w:val="5D7B25C9"/>
    <w:rsid w:val="5ECB44B4"/>
    <w:rsid w:val="5EE2043C"/>
    <w:rsid w:val="602D2E37"/>
    <w:rsid w:val="61460FBE"/>
    <w:rsid w:val="61C1362C"/>
    <w:rsid w:val="62775810"/>
    <w:rsid w:val="62AC59F4"/>
    <w:rsid w:val="62D83744"/>
    <w:rsid w:val="630F4048"/>
    <w:rsid w:val="6360244A"/>
    <w:rsid w:val="63AA02E5"/>
    <w:rsid w:val="64700DE9"/>
    <w:rsid w:val="64A363BA"/>
    <w:rsid w:val="650B602D"/>
    <w:rsid w:val="65C613BD"/>
    <w:rsid w:val="65FD118C"/>
    <w:rsid w:val="6603532E"/>
    <w:rsid w:val="66381CDF"/>
    <w:rsid w:val="682C3D89"/>
    <w:rsid w:val="68611305"/>
    <w:rsid w:val="69392E7F"/>
    <w:rsid w:val="699A53CD"/>
    <w:rsid w:val="6A162DE0"/>
    <w:rsid w:val="6A331428"/>
    <w:rsid w:val="6B2E5CB6"/>
    <w:rsid w:val="6B3D4886"/>
    <w:rsid w:val="6DF8675E"/>
    <w:rsid w:val="6EA80098"/>
    <w:rsid w:val="6F8D70FF"/>
    <w:rsid w:val="6FFE5011"/>
    <w:rsid w:val="70634FDE"/>
    <w:rsid w:val="70920CA5"/>
    <w:rsid w:val="7178734D"/>
    <w:rsid w:val="71791096"/>
    <w:rsid w:val="717B0C34"/>
    <w:rsid w:val="71FB78FD"/>
    <w:rsid w:val="722D7642"/>
    <w:rsid w:val="7275064A"/>
    <w:rsid w:val="733F750B"/>
    <w:rsid w:val="735702E2"/>
    <w:rsid w:val="7481013C"/>
    <w:rsid w:val="765F635A"/>
    <w:rsid w:val="76B73454"/>
    <w:rsid w:val="76D254BD"/>
    <w:rsid w:val="77727ACD"/>
    <w:rsid w:val="78071142"/>
    <w:rsid w:val="79296B37"/>
    <w:rsid w:val="7A4C4C40"/>
    <w:rsid w:val="7AA0518E"/>
    <w:rsid w:val="7B041636"/>
    <w:rsid w:val="7CA86749"/>
    <w:rsid w:val="7EC92370"/>
    <w:rsid w:val="7F2238BD"/>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ScaleCrop>false</ScaleCrop>
  <LinksUpToDate>false</LinksUpToDate>
  <CharactersWithSpaces>7696</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2019-10-24T02:52:31Z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