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2018年度新疆喀什地区塔什库尔干县人民代表大会常务委员会办公室部门决算公开说明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1、人大主要工作职责监督“一府两院”工作是否依照合法程序办事。</w:t>
      </w:r>
      <w:r>
        <w:rPr>
          <w:rFonts w:hint="eastAsia" w:ascii="仿宋_GB2312" w:eastAsia="仿宋_GB2312"/>
          <w:sz w:val="32"/>
          <w:szCs w:val="32"/>
        </w:rPr>
        <w:br w:type="textWrapping"/>
      </w:r>
      <w:r>
        <w:rPr>
          <w:rFonts w:hint="eastAsia" w:ascii="仿宋_GB2312" w:eastAsia="仿宋_GB2312"/>
          <w:sz w:val="32"/>
          <w:szCs w:val="32"/>
        </w:rPr>
        <w:t>2、对政府、检、法两院等相关部门的工作报告年底进行审议，对本县财政局上报的我县财政预算进行审议批复等。</w:t>
      </w:r>
      <w:r>
        <w:rPr>
          <w:rFonts w:hint="eastAsia" w:ascii="仿宋_GB2312" w:eastAsia="仿宋_GB2312"/>
          <w:sz w:val="32"/>
          <w:szCs w:val="32"/>
        </w:rPr>
        <w:br w:type="textWrapping"/>
      </w:r>
      <w:r>
        <w:rPr>
          <w:rFonts w:hint="eastAsia" w:ascii="仿宋_GB2312" w:eastAsia="仿宋_GB2312"/>
          <w:sz w:val="32"/>
          <w:szCs w:val="32"/>
        </w:rPr>
        <w:t>3、对本县重点民生项目、工程进度进行视察监督，提出意见建议，依法履行人大代表职责，充分发挥代表主体作用，为我县经济和社会又好又快发展献计献策。</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新疆喀什地区塔什库尔干县人民代表大会常务委员会办公室</w:t>
      </w:r>
      <w:r>
        <w:rPr>
          <w:rFonts w:hint="eastAsia" w:ascii="仿宋_GB2312" w:eastAsia="仿宋_GB2312"/>
          <w:sz w:val="32"/>
          <w:szCs w:val="32"/>
        </w:rPr>
        <w:t>部门决算包括：</w:t>
      </w:r>
      <w:r>
        <w:rPr>
          <w:rFonts w:ascii="仿宋_GB2312" w:eastAsia="仿宋_GB2312"/>
          <w:sz w:val="32"/>
          <w:szCs w:val="32"/>
        </w:rPr>
        <w:t>新疆喀什地区塔什库尔干县人民代表大会常务委员会办公室</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新疆喀什地区塔什库尔干县人民代表大会常务委员会办公室</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新疆喀什地区塔什库尔干县人民代表大会常务委员会办公室</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428.48</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，与上年相比，增加39.63万元，增长10.19%，增加的主要原因是：</w:t>
      </w:r>
      <w:r>
        <w:rPr>
          <w:rFonts w:hint="eastAsia" w:ascii="仿宋_GB2312" w:eastAsia="仿宋_GB2312"/>
          <w:color w:val="000000" w:themeColor="text1"/>
          <w:sz w:val="32"/>
          <w:szCs w:val="32"/>
        </w:rPr>
        <w:t>在职人员2018年进行了基本工资调资、艰边调资、正常晋升调资；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428.48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，与上年相比，增加39.63万元，增长10.19%，增加的主要原因是：</w:t>
      </w:r>
      <w:r>
        <w:rPr>
          <w:rFonts w:hint="eastAsia" w:ascii="仿宋_GB2312" w:eastAsia="仿宋_GB2312"/>
          <w:color w:val="000000" w:themeColor="text1"/>
          <w:sz w:val="32"/>
          <w:szCs w:val="32"/>
        </w:rPr>
        <w:t>在职人员2018年基本工资调资、艰边调资、正常晋升调资后的工资支出；</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sz w:val="32"/>
          <w:szCs w:val="32"/>
          <w:lang w:eastAsia="zh-CN"/>
        </w:rPr>
        <w:t>：</w:t>
      </w:r>
      <w:r>
        <w:rPr>
          <w:rFonts w:hint="eastAsia" w:ascii="仿宋_GB2312" w:eastAsia="仿宋_GB2312"/>
          <w:sz w:val="32"/>
          <w:szCs w:val="32"/>
          <w:lang w:val="en-US" w:eastAsia="zh-CN"/>
        </w:rPr>
        <w:t>本年与上年均无结余资金</w:t>
      </w:r>
      <w:r>
        <w:rPr>
          <w:rFonts w:ascii="仿宋_GB2312" w:eastAsia="仿宋_GB2312"/>
          <w:color w:val="000000"/>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428.48</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428.48</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况：本年收入年初预算数428.4万元</w:t>
      </w:r>
      <w:r>
        <w:rPr>
          <w:rFonts w:hint="eastAsia" w:ascii="仿宋_GB2312" w:eastAsia="仿宋_GB2312"/>
          <w:sz w:val="32"/>
          <w:szCs w:val="32"/>
        </w:rPr>
        <w:t>，决算数428.48万元</w:t>
      </w:r>
      <w:r>
        <w:rPr>
          <w:rFonts w:ascii="仿宋_GB2312" w:eastAsia="仿宋_GB2312"/>
          <w:sz w:val="32"/>
          <w:szCs w:val="32"/>
        </w:rPr>
        <w:t>，预决算差异率0.02%，差异主要原因是由于2018年在职人员进行基本工资调资、艰边调资、正常晋升调资，但又因3月退休1人，此人在职工资已纳入预算，2018部分人员经费纳入预算，但实际未执行，导致差异率基本持平。</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428.48</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390.22</w:t>
      </w:r>
      <w:r>
        <w:rPr>
          <w:rFonts w:hint="eastAsia" w:ascii="仿宋_GB2312" w:eastAsia="仿宋_GB2312"/>
          <w:color w:val="000000" w:themeColor="text1"/>
          <w:sz w:val="32"/>
          <w:szCs w:val="32"/>
        </w:rPr>
        <w:t>万元，占</w:t>
      </w:r>
      <w:r>
        <w:rPr>
          <w:rFonts w:hint="eastAsia" w:ascii="仿宋_GB2312" w:eastAsia="仿宋_GB2312"/>
          <w:sz w:val="32"/>
          <w:szCs w:val="32"/>
        </w:rPr>
        <w:t>91.07%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38.26</w:t>
      </w:r>
      <w:r>
        <w:rPr>
          <w:rFonts w:hint="eastAsia" w:ascii="仿宋_GB2312" w:eastAsia="仿宋_GB2312"/>
          <w:color w:val="000000" w:themeColor="text1"/>
          <w:sz w:val="32"/>
          <w:szCs w:val="32"/>
        </w:rPr>
        <w:t>万元，占</w:t>
      </w:r>
      <w:r>
        <w:rPr>
          <w:rFonts w:hint="eastAsia" w:ascii="仿宋_GB2312" w:eastAsia="仿宋_GB2312"/>
          <w:sz w:val="32"/>
          <w:szCs w:val="32"/>
        </w:rPr>
        <w:t>8.93%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与年初预算数相比情况：本年支出年初预算数428.4万元，</w:t>
      </w:r>
      <w:r>
        <w:rPr>
          <w:rFonts w:hint="eastAsia" w:ascii="仿宋_GB2312" w:eastAsia="仿宋_GB2312"/>
          <w:sz w:val="32"/>
          <w:szCs w:val="32"/>
        </w:rPr>
        <w:t>决算数428.48万元</w:t>
      </w:r>
      <w:r>
        <w:rPr>
          <w:rFonts w:ascii="仿宋_GB2312" w:eastAsia="仿宋_GB2312"/>
          <w:sz w:val="32"/>
          <w:szCs w:val="32"/>
        </w:rPr>
        <w:t>，预决算差异率0.02%，差异主要原因是由于2018年在职人员进行基本工资调资、艰边调资、正常晋升调资，但又因3月退休1人，此人在职工资已纳入预算，2018部分人员经费纳入预算，但实际未执行，导致差异率基本持平。</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428.48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，与上年相比，增加39.63万元，增长10.19%，增加的主要原因是：在职人员2018年进行了基本工资调资、艰边调资、正常晋升调资。</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428.48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，与上年相比，增加39.63万元，增长10.19%，增加的主要原因是：</w:t>
      </w:r>
      <w:r>
        <w:rPr>
          <w:rFonts w:ascii="仿宋_GB2312" w:eastAsia="仿宋_GB2312"/>
          <w:sz w:val="32"/>
          <w:szCs w:val="32"/>
        </w:rPr>
        <w:t>用于在职人员2018年基本工资调资、艰边调资、正常晋升调资后的工资支出。</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390.22</w:t>
      </w:r>
      <w:r>
        <w:rPr>
          <w:rFonts w:hint="eastAsia" w:ascii="仿宋_GB2312" w:eastAsia="仿宋_GB2312"/>
          <w:color w:val="000000" w:themeColor="text1"/>
          <w:sz w:val="32"/>
          <w:szCs w:val="32"/>
        </w:rPr>
        <w:t>万元，项目支出</w:t>
      </w:r>
      <w:r>
        <w:rPr>
          <w:rFonts w:hint="eastAsia" w:ascii="仿宋_GB2312" w:eastAsia="仿宋_GB2312"/>
          <w:sz w:val="32"/>
          <w:szCs w:val="32"/>
        </w:rPr>
        <w:t>38.26</w:t>
      </w:r>
      <w:r>
        <w:rPr>
          <w:rFonts w:hint="eastAsia" w:ascii="仿宋_GB2312" w:eastAsia="仿宋_GB2312"/>
          <w:color w:val="000000" w:themeColor="text1"/>
          <w:sz w:val="32"/>
          <w:szCs w:val="32"/>
        </w:rPr>
        <w:t>万元。</w:t>
      </w:r>
      <w:bookmarkEnd w:id="29"/>
      <w:bookmarkStart w:id="31" w:name="OLE_LINK16"/>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428.4</w:t>
      </w:r>
      <w:r>
        <w:rPr>
          <w:rFonts w:hint="eastAsia" w:ascii="仿宋_GB2312" w:eastAsia="仿宋_GB2312"/>
          <w:color w:val="000000" w:themeColor="text1"/>
          <w:sz w:val="32"/>
          <w:szCs w:val="32"/>
        </w:rPr>
        <w:t>万元，决算数</w:t>
      </w:r>
      <w:r>
        <w:rPr>
          <w:rFonts w:hint="eastAsia" w:ascii="仿宋_GB2312" w:eastAsia="仿宋_GB2312"/>
          <w:sz w:val="32"/>
          <w:szCs w:val="32"/>
        </w:rPr>
        <w:t>428.48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0.02%，差异主要原因是由于2018年在职人员进行基本工资调资、艰边调资、正常晋升调资，但又因3月退休1人，此人在职工资已纳入预算，2018部分人员经费纳入预算，但实际未执行，导致差异率基本持平。</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428.4</w:t>
      </w:r>
      <w:r>
        <w:rPr>
          <w:rFonts w:hint="eastAsia" w:ascii="仿宋_GB2312" w:eastAsia="仿宋_GB2312"/>
          <w:color w:val="000000" w:themeColor="text1"/>
          <w:sz w:val="32"/>
          <w:szCs w:val="32"/>
        </w:rPr>
        <w:t>万元，决算数</w:t>
      </w:r>
      <w:r>
        <w:rPr>
          <w:rFonts w:hint="eastAsia" w:ascii="仿宋_GB2312" w:eastAsia="仿宋_GB2312"/>
          <w:sz w:val="32"/>
          <w:szCs w:val="32"/>
        </w:rPr>
        <w:t>428.48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0.02%，差异主要原因是由于2018年在职人员进行基本工资调资、艰边调资、正常晋升调资，但又因3月退休1人，此人在职工资已纳入预算，2018部分人员经费纳入预算，但实际未执行，导致差异率基本持平。</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428.48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，与上年相比，增加39.63万元，增长10.19%，增加的主要原因是：在职人员2018年进行了基本工资调资、艰边调资、正常晋升调资。</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428.48</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，与上年相比，增加39.63万元，增长10.19%，增加的主要原因是：用于在职人员2018年基本工资调资、艰边调资、正常晋升调资后的工资支出。</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住房保障支出21.09万元,一般公共服务支出376.35万元,社会保障和就业支出31.04万元。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工资福利支出336.1万元,商品和服务支出63.73万元,对个人和家庭的补助28.66万元。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428.4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428.48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0.02%，差异主要原因是由于2018年在职人员进行基本工资调资、艰边调资、正常晋升调资，但又因3月退休1人，此人在职工资已纳入预算，2018部分人员经费纳入预算，但实际未执行，导致差异率基本持平。</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428.4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428.48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0.02%，差异主要原因是由于2018年在职人员进行基本工资调资、艰边调资、正常晋升调资，但又因3月退休1人，此人在职工资已纳入预算，2018部分人员经费纳入预算，但实际未执行，导致差异率基本持平。</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spacing w:line="540" w:lineRule="exact"/>
        <w:ind w:firstLine="640" w:firstLineChars="200"/>
        <w:rPr>
          <w:rFonts w:ascii="仿宋_GB2312" w:eastAsia="仿宋_GB2312"/>
          <w:sz w:val="32"/>
          <w:szCs w:val="32"/>
        </w:rPr>
      </w:pP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bookmarkStart w:id="52" w:name="OLE_LINK74"/>
      <w:r>
        <w:rPr>
          <w:rFonts w:hint="eastAsia" w:ascii="仿宋_GB2312" w:eastAsia="仿宋_GB2312"/>
          <w:color w:val="000000" w:themeColor="text1"/>
          <w:sz w:val="32"/>
          <w:szCs w:val="32"/>
        </w:rPr>
        <w:t>2018年度</w:t>
      </w:r>
      <w:bookmarkStart w:id="53" w:name="OLE_LINK29"/>
      <w:r>
        <w:rPr>
          <w:rFonts w:hint="eastAsia" w:ascii="仿宋_GB2312" w:eastAsia="仿宋_GB2312"/>
          <w:color w:val="000000" w:themeColor="text1"/>
          <w:sz w:val="32"/>
          <w:szCs w:val="32"/>
        </w:rPr>
        <w:t>一般公共预算“三公”经费支出决算</w:t>
      </w:r>
      <w:bookmarkEnd w:id="53"/>
      <w:r>
        <w:rPr>
          <w:rFonts w:hint="eastAsia" w:ascii="仿宋_GB2312" w:eastAsia="仿宋_GB2312"/>
          <w:color w:val="000000" w:themeColor="text1"/>
          <w:sz w:val="32"/>
          <w:szCs w:val="32"/>
        </w:rPr>
        <w:t>12.32万元，与上年相比，减少0.11万元，下降0.88%，减少的主要原因是：按照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bookmarkEnd w:id="52"/>
      <w:bookmarkStart w:id="54" w:name="OLE_LINK75"/>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其中，</w:t>
      </w:r>
      <w:bookmarkStart w:id="55" w:name="OLE_LINK30"/>
      <w:r>
        <w:rPr>
          <w:rFonts w:hint="eastAsia" w:ascii="仿宋_GB2312" w:eastAsia="仿宋_GB2312"/>
          <w:color w:val="000000" w:themeColor="text1"/>
          <w:sz w:val="32"/>
          <w:szCs w:val="32"/>
        </w:rPr>
        <w:t>因公出国（境）费支出</w:t>
      </w:r>
      <w:bookmarkEnd w:id="55"/>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bookmarkEnd w:id="54"/>
      <w:bookmarkStart w:id="56" w:name="OLE_LINK31"/>
      <w:bookmarkStart w:id="57" w:name="OLE_LINK76"/>
      <w:r>
        <w:rPr>
          <w:rFonts w:hint="eastAsia" w:ascii="仿宋_GB2312" w:eastAsia="仿宋_GB2312"/>
          <w:color w:val="000000" w:themeColor="text1"/>
          <w:sz w:val="32"/>
          <w:szCs w:val="32"/>
        </w:rPr>
        <w:t>公务用车购置及运行维护费支出</w:t>
      </w:r>
      <w:bookmarkEnd w:id="56"/>
      <w:r>
        <w:rPr>
          <w:rFonts w:hint="eastAsia" w:ascii="仿宋_GB2312" w:eastAsia="仿宋_GB2312"/>
          <w:sz w:val="32"/>
          <w:szCs w:val="32"/>
        </w:rPr>
        <w:t>12.32</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100%，与上年相比，减少0.11万元，下降0.88%，减少的主要原因是：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hint="eastAsia" w:ascii="仿宋_GB2312" w:eastAsia="仿宋_GB2312"/>
          <w:sz w:val="32"/>
          <w:szCs w:val="32"/>
        </w:rPr>
        <w:t>；</w:t>
      </w:r>
      <w:bookmarkEnd w:id="57"/>
      <w:bookmarkStart w:id="58" w:name="OLE_LINK32"/>
      <w:bookmarkStart w:id="59" w:name="OLE_LINK77"/>
      <w:bookmarkStart w:id="60" w:name="OLE_LINK78"/>
      <w:r>
        <w:rPr>
          <w:rFonts w:hint="eastAsia" w:ascii="仿宋_GB2312" w:eastAsia="仿宋_GB2312"/>
          <w:color w:val="000000" w:themeColor="text1"/>
          <w:sz w:val="32"/>
          <w:szCs w:val="32"/>
        </w:rPr>
        <w:t>公务接待费支出</w:t>
      </w:r>
      <w:bookmarkEnd w:id="5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59"/>
      <w:bookmarkEnd w:id="60"/>
      <w:r>
        <w:rPr>
          <w:rFonts w:hint="eastAsia" w:ascii="仿宋_GB2312" w:eastAsia="仿宋_GB2312"/>
          <w:color w:val="000000" w:themeColor="text1"/>
          <w:sz w:val="32"/>
          <w:szCs w:val="32"/>
        </w:rPr>
        <w:t>具体情况如下：</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bookmarkStart w:id="61" w:name="OLE_LINK79"/>
      <w:bookmarkStart w:id="62"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新疆喀什地区塔什库尔干县人民代表大会常务委员会办公室</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4"/>
      <w:bookmarkStart w:id="65" w:name="OLE_LINK35"/>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2018年无因公出国（境）经费支出。</w:t>
      </w:r>
      <w:bookmarkEnd w:id="61"/>
      <w:bookmarkEnd w:id="62"/>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12.32</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0"/>
      <w:bookmarkStart w:id="72"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12.32</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公务用车运行</w:t>
      </w:r>
      <w:r>
        <w:rPr>
          <w:rFonts w:hint="eastAsia" w:ascii="仿宋_GB2312" w:eastAsia="仿宋_GB2312"/>
          <w:sz w:val="32"/>
          <w:szCs w:val="32"/>
          <w:lang w:eastAsia="zh-CN"/>
        </w:rPr>
        <w:t>维护费、</w:t>
      </w:r>
      <w:r>
        <w:rPr>
          <w:rFonts w:hint="eastAsia" w:ascii="仿宋_GB2312" w:eastAsia="仿宋_GB2312"/>
          <w:sz w:val="32"/>
          <w:szCs w:val="32"/>
        </w:rPr>
        <w:t>加油费及</w:t>
      </w:r>
      <w:r>
        <w:rPr>
          <w:rFonts w:hint="eastAsia" w:ascii="仿宋_GB2312" w:eastAsia="仿宋_GB2312"/>
          <w:sz w:val="32"/>
          <w:szCs w:val="32"/>
          <w:lang w:eastAsia="zh-CN"/>
        </w:rPr>
        <w:t>保险费</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2018年无公务接待支出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新疆喀什地区塔什库尔干县人民代表大会常务委员会办公室</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21</w:t>
      </w:r>
      <w:r>
        <w:rPr>
          <w:rFonts w:hint="eastAsia" w:ascii="仿宋_GB2312" w:eastAsia="仿宋_GB2312"/>
          <w:color w:val="000000" w:themeColor="text1"/>
          <w:sz w:val="32"/>
          <w:szCs w:val="32"/>
        </w:rPr>
        <w:t>万元，决算数12.32万元</w:t>
      </w:r>
      <w:r>
        <w:rPr>
          <w:rFonts w:ascii="仿宋_GB2312" w:eastAsia="仿宋_GB2312"/>
          <w:color w:val="000000" w:themeColor="text1"/>
          <w:sz w:val="32"/>
          <w:szCs w:val="32"/>
        </w:rPr>
        <w:t>，预决算差异率-41.33%，差异主要原因是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76"/>
      <w:bookmarkStart w:id="77" w:name="OLE_LINK86"/>
      <w:bookmarkStart w:id="78"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因公出国（境）费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77"/>
      <w:bookmarkEnd w:id="78"/>
      <w:bookmarkStart w:id="79" w:name="OLE_LINK89"/>
      <w:bookmarkStart w:id="80"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公务用车购置</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12.32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，预决算差异率-41.33%，差异主要原因是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hint="eastAsia" w:ascii="仿宋_GB2312" w:eastAsia="仿宋_GB2312"/>
          <w:sz w:val="32"/>
          <w:szCs w:val="32"/>
        </w:rPr>
        <w:t>本单位无公务接待费支出</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2018年度新疆喀什地区塔什库尔干县人民代表大会常务委员会办公室机关运行经费支出25.46万元，与上年相比，减少7.58万元，下降22.94%，减少的主要原因是：办公经费及公务用车运行经费支出减少。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1.77</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0.83</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0.94</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53.19</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柯斯达商务车新</w:t>
      </w:r>
      <w:r>
        <w:rPr>
          <w:rFonts w:hint="eastAsia" w:ascii="仿宋_GB2312" w:eastAsia="仿宋_GB2312"/>
          <w:color w:val="000000" w:themeColor="text1"/>
          <w:sz w:val="32"/>
          <w:szCs w:val="32"/>
          <w:lang w:val="en-US" w:eastAsia="zh-CN"/>
        </w:rPr>
        <w:t>Q98988一辆，主要用于</w:t>
      </w:r>
      <w:r>
        <w:rPr>
          <w:rFonts w:ascii="仿宋_GB2312" w:eastAsia="仿宋_GB2312"/>
          <w:color w:val="000000" w:themeColor="text1"/>
          <w:sz w:val="32"/>
          <w:szCs w:val="32"/>
        </w:rPr>
        <w:t>代表</w:t>
      </w:r>
      <w:r>
        <w:rPr>
          <w:rFonts w:hint="eastAsia" w:ascii="仿宋_GB2312" w:eastAsia="仿宋_GB2312"/>
          <w:color w:val="000000" w:themeColor="text1"/>
          <w:sz w:val="32"/>
          <w:szCs w:val="32"/>
          <w:lang w:eastAsia="zh-CN"/>
        </w:rPr>
        <w:t>团</w:t>
      </w:r>
      <w:r>
        <w:rPr>
          <w:rFonts w:ascii="仿宋_GB2312" w:eastAsia="仿宋_GB2312"/>
          <w:color w:val="000000" w:themeColor="text1"/>
          <w:sz w:val="32"/>
          <w:szCs w:val="32"/>
        </w:rPr>
        <w:t>视察</w:t>
      </w:r>
      <w:r>
        <w:rPr>
          <w:rFonts w:hint="eastAsia" w:ascii="仿宋_GB2312" w:eastAsia="仿宋_GB2312"/>
          <w:color w:val="000000" w:themeColor="text1"/>
          <w:sz w:val="32"/>
          <w:szCs w:val="32"/>
          <w:lang w:eastAsia="zh-CN"/>
        </w:rPr>
        <w:t>、调研等大型活动使用，北京现代越野车新</w:t>
      </w:r>
      <w:r>
        <w:rPr>
          <w:rFonts w:hint="eastAsia" w:ascii="仿宋_GB2312" w:eastAsia="仿宋_GB2312"/>
          <w:color w:val="000000" w:themeColor="text1"/>
          <w:sz w:val="32"/>
          <w:szCs w:val="32"/>
          <w:lang w:val="en-US" w:eastAsia="zh-CN"/>
        </w:rPr>
        <w:t>Q86828一辆，主要用于单位一般日常公务用车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通过文件研读、实地调研、数据分析等方式，全面了解资金的使用效率和效果，预算绩效管理过程规范，完成了预期绩效目标。同时，通过开展自我评价来总结经验和教训，为喀什地区预算绩效管理工作今后的正常开展提供参考建议。本单位的绩效总目标是按时足额发放在职机关人员工资、津贴补贴、社保费、公积金及退休19名机关人员退休费、4名遗属的生活补助。按时申请办公经费、公务车辆维护运行费用，及代表活动经费、基层人大补助经费、会议费，确保机关日常业务工作正常开展。</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1、县、乡人大专门会议经费项目绩效自评综述：根据年初设定的绩效目标，该项目绩效自评得分为92分。项目全年预算数为21.89万元，执行数为21.89万元，完成预算的100%。主要产出和效果：保障县、乡人民代表大会会议的顺利召开</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下一步改进措施：无</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2、2018年人大基层补助经费项目绩效自评综述：根据年初设定的绩效目标，该项目绩效自评得分为92分。项目全年预算数为8万元，执行数为8万元，完成预算的100%。主要产出和效果：此项经费解决各级人大代表调研、视察参加人大的各项会议餐费、交通费、误工费等办公各项费用。保障了人大各项工作的顺利开展</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发现的问题及原因：根据项目实施情况，支出速度缓慢</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下一步改进措施：一是科学地做好支出进度安排，并在实施过程加强监督，加快支出进度</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3、2018年人大代表活动经费项目绩效自评综述：根据年初设定的绩效目标，该项目绩效自评得分为91分。项目全年预算数为8.38万元，执行数为8.38万元，完成预算的100%。主要产出和效果：开展代表视察、专题调研、办复议案、课题研究、反映社情民意等相关工作，举办代表学习班，召开工作会议，发挥人大代表参政议政职能</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发现的问题及原因：一是根据项目实施情况，资金到位晚，支出速度缓慢，必须将实施方案上报县财经</w:t>
      </w:r>
      <w:bookmarkStart w:id="88" w:name="_GoBack"/>
      <w:bookmarkEnd w:id="88"/>
      <w:r>
        <w:rPr>
          <w:rFonts w:ascii="仿宋_GB2312" w:hAnsi="仿宋_GB2312" w:eastAsia="仿宋_GB2312" w:cs="仿宋_GB2312"/>
          <w:b w:val="0"/>
          <w:color w:val="auto"/>
          <w:sz w:val="32"/>
          <w:u w:val="none"/>
        </w:rPr>
        <w:t>领导小组批准方可使用。二是对项目绩效认识不到位，存在集中花钱办事的情况</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下一步改进措施：一是科学地做好支出进度安排，并在实施过程加强监督，加快支出进度。二是做好预算编制安排，争取每月支出达到相对均衡</w:t>
      </w:r>
      <w:r>
        <w:rPr>
          <w:rFonts w:hint="eastAsia" w:ascii="仿宋_GB2312" w:hAnsi="仿宋_GB2312" w:eastAsia="仿宋_GB2312" w:cs="仿宋_GB2312"/>
          <w:b w:val="0"/>
          <w:color w:val="auto"/>
          <w:sz w:val="32"/>
          <w:u w:val="none"/>
          <w:lang w:eastAsia="zh-CN"/>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01（款）04（项）指：人大会议。201（类）01（款）08（项）指：代表工作。221（类）02（款）01（项）指：住房公积金。201（类）01（款）01（项）指：行政运行。201（类）01（款）99（项）指：其他人大事务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0991"/>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E63DE"/>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1F03A2"/>
    <w:rsid w:val="028847F9"/>
    <w:rsid w:val="03AA79F6"/>
    <w:rsid w:val="045B167D"/>
    <w:rsid w:val="04741FE5"/>
    <w:rsid w:val="04DB02C7"/>
    <w:rsid w:val="06B856EE"/>
    <w:rsid w:val="07FE5938"/>
    <w:rsid w:val="084604BC"/>
    <w:rsid w:val="08883825"/>
    <w:rsid w:val="09725983"/>
    <w:rsid w:val="0A382BB5"/>
    <w:rsid w:val="0AA4543A"/>
    <w:rsid w:val="0BAB1BF4"/>
    <w:rsid w:val="0BE61132"/>
    <w:rsid w:val="0C9B0DD6"/>
    <w:rsid w:val="0CE4791C"/>
    <w:rsid w:val="0DD858C4"/>
    <w:rsid w:val="0E063C64"/>
    <w:rsid w:val="0EF2755F"/>
    <w:rsid w:val="0F4C7B96"/>
    <w:rsid w:val="0FFB575E"/>
    <w:rsid w:val="10132229"/>
    <w:rsid w:val="10845F1B"/>
    <w:rsid w:val="10EA0EAF"/>
    <w:rsid w:val="11463A00"/>
    <w:rsid w:val="11600918"/>
    <w:rsid w:val="11B0398F"/>
    <w:rsid w:val="134B07A2"/>
    <w:rsid w:val="13806B65"/>
    <w:rsid w:val="13B960C5"/>
    <w:rsid w:val="152777F4"/>
    <w:rsid w:val="15794B5C"/>
    <w:rsid w:val="15C674B6"/>
    <w:rsid w:val="17E542F2"/>
    <w:rsid w:val="18D54A0D"/>
    <w:rsid w:val="19E811BF"/>
    <w:rsid w:val="19ED6C22"/>
    <w:rsid w:val="1A4106A0"/>
    <w:rsid w:val="1A4F5437"/>
    <w:rsid w:val="1AB77CD0"/>
    <w:rsid w:val="1CC07015"/>
    <w:rsid w:val="1D2139E2"/>
    <w:rsid w:val="1E3A4C70"/>
    <w:rsid w:val="1E807156"/>
    <w:rsid w:val="1EA657F6"/>
    <w:rsid w:val="1F097CB6"/>
    <w:rsid w:val="21423205"/>
    <w:rsid w:val="2166156B"/>
    <w:rsid w:val="21B02D83"/>
    <w:rsid w:val="22A236F5"/>
    <w:rsid w:val="23877BF6"/>
    <w:rsid w:val="23995975"/>
    <w:rsid w:val="23C1005B"/>
    <w:rsid w:val="23EA1633"/>
    <w:rsid w:val="2432220E"/>
    <w:rsid w:val="248303BA"/>
    <w:rsid w:val="24837E47"/>
    <w:rsid w:val="252E01AA"/>
    <w:rsid w:val="2680023E"/>
    <w:rsid w:val="28857058"/>
    <w:rsid w:val="29680352"/>
    <w:rsid w:val="2A020F75"/>
    <w:rsid w:val="2AFF18DC"/>
    <w:rsid w:val="2B007AEE"/>
    <w:rsid w:val="2BC14C56"/>
    <w:rsid w:val="2C1B026F"/>
    <w:rsid w:val="2CC61F55"/>
    <w:rsid w:val="2E235FE3"/>
    <w:rsid w:val="2E887158"/>
    <w:rsid w:val="2EF7452F"/>
    <w:rsid w:val="2F1D13B4"/>
    <w:rsid w:val="2FAA3DA6"/>
    <w:rsid w:val="30682E1F"/>
    <w:rsid w:val="30E210D2"/>
    <w:rsid w:val="311371D6"/>
    <w:rsid w:val="31727846"/>
    <w:rsid w:val="31EB64C9"/>
    <w:rsid w:val="336D0D6F"/>
    <w:rsid w:val="340D304E"/>
    <w:rsid w:val="340E0EB3"/>
    <w:rsid w:val="34CD2CC1"/>
    <w:rsid w:val="352E4BEC"/>
    <w:rsid w:val="358B6591"/>
    <w:rsid w:val="374B3516"/>
    <w:rsid w:val="37DD5594"/>
    <w:rsid w:val="38F24FA8"/>
    <w:rsid w:val="39281FC1"/>
    <w:rsid w:val="3A98342A"/>
    <w:rsid w:val="3AB6780E"/>
    <w:rsid w:val="3AD56D70"/>
    <w:rsid w:val="3B2920C2"/>
    <w:rsid w:val="3BE41ABD"/>
    <w:rsid w:val="3C5421A9"/>
    <w:rsid w:val="3D903B21"/>
    <w:rsid w:val="3F440741"/>
    <w:rsid w:val="41FC306C"/>
    <w:rsid w:val="44AB3F53"/>
    <w:rsid w:val="44BE5554"/>
    <w:rsid w:val="451E0908"/>
    <w:rsid w:val="452C2D31"/>
    <w:rsid w:val="45D26E14"/>
    <w:rsid w:val="46A541B1"/>
    <w:rsid w:val="470F431B"/>
    <w:rsid w:val="47665F4B"/>
    <w:rsid w:val="48442257"/>
    <w:rsid w:val="48C57772"/>
    <w:rsid w:val="49782886"/>
    <w:rsid w:val="4A6F0D28"/>
    <w:rsid w:val="4AAF085C"/>
    <w:rsid w:val="4AEB7E60"/>
    <w:rsid w:val="4B4B135B"/>
    <w:rsid w:val="4BC7055F"/>
    <w:rsid w:val="4CFC7DB2"/>
    <w:rsid w:val="4E7C187D"/>
    <w:rsid w:val="508941AD"/>
    <w:rsid w:val="50D939C3"/>
    <w:rsid w:val="50E65530"/>
    <w:rsid w:val="51457139"/>
    <w:rsid w:val="51574DBD"/>
    <w:rsid w:val="51EC1DA8"/>
    <w:rsid w:val="52FC5524"/>
    <w:rsid w:val="532D7A17"/>
    <w:rsid w:val="54AF4562"/>
    <w:rsid w:val="54C9674B"/>
    <w:rsid w:val="556318EA"/>
    <w:rsid w:val="559851A9"/>
    <w:rsid w:val="559F5AC1"/>
    <w:rsid w:val="55A60AA1"/>
    <w:rsid w:val="56451615"/>
    <w:rsid w:val="573C5D86"/>
    <w:rsid w:val="57434DE7"/>
    <w:rsid w:val="57FC5774"/>
    <w:rsid w:val="58CA1E60"/>
    <w:rsid w:val="59B332C9"/>
    <w:rsid w:val="5A44758A"/>
    <w:rsid w:val="5BEC4BB3"/>
    <w:rsid w:val="5C070B55"/>
    <w:rsid w:val="5C873325"/>
    <w:rsid w:val="5CB4095F"/>
    <w:rsid w:val="5CB96DCE"/>
    <w:rsid w:val="5CE61580"/>
    <w:rsid w:val="5D175666"/>
    <w:rsid w:val="5D556A3C"/>
    <w:rsid w:val="5D7B25C9"/>
    <w:rsid w:val="5ECB44B4"/>
    <w:rsid w:val="5EE2043C"/>
    <w:rsid w:val="5F7861C9"/>
    <w:rsid w:val="602D2E37"/>
    <w:rsid w:val="61460FBE"/>
    <w:rsid w:val="61A01175"/>
    <w:rsid w:val="61A730F4"/>
    <w:rsid w:val="62775810"/>
    <w:rsid w:val="62D83744"/>
    <w:rsid w:val="630F4048"/>
    <w:rsid w:val="63AA02E5"/>
    <w:rsid w:val="64700DE9"/>
    <w:rsid w:val="64EC2132"/>
    <w:rsid w:val="65C613BD"/>
    <w:rsid w:val="65FD118C"/>
    <w:rsid w:val="664F45B6"/>
    <w:rsid w:val="67C353DF"/>
    <w:rsid w:val="682C3D89"/>
    <w:rsid w:val="68611305"/>
    <w:rsid w:val="68C31D2B"/>
    <w:rsid w:val="6A162DE0"/>
    <w:rsid w:val="6A331428"/>
    <w:rsid w:val="6B2E5CB6"/>
    <w:rsid w:val="6B3D4886"/>
    <w:rsid w:val="6CD318CE"/>
    <w:rsid w:val="6CDE37C4"/>
    <w:rsid w:val="6DF8675E"/>
    <w:rsid w:val="6EA80098"/>
    <w:rsid w:val="6F8D70FF"/>
    <w:rsid w:val="6FCF500D"/>
    <w:rsid w:val="6FFE5011"/>
    <w:rsid w:val="7178734D"/>
    <w:rsid w:val="71791096"/>
    <w:rsid w:val="717B0C34"/>
    <w:rsid w:val="71FB78FD"/>
    <w:rsid w:val="7275064A"/>
    <w:rsid w:val="733F750B"/>
    <w:rsid w:val="735702E2"/>
    <w:rsid w:val="735A7A42"/>
    <w:rsid w:val="737E2BD1"/>
    <w:rsid w:val="73BD31D9"/>
    <w:rsid w:val="73C4370F"/>
    <w:rsid w:val="7437236A"/>
    <w:rsid w:val="765F635A"/>
    <w:rsid w:val="76B73454"/>
    <w:rsid w:val="76D254BD"/>
    <w:rsid w:val="77727ACD"/>
    <w:rsid w:val="78071142"/>
    <w:rsid w:val="79296B37"/>
    <w:rsid w:val="798878BF"/>
    <w:rsid w:val="7A4C4C40"/>
    <w:rsid w:val="7A68067C"/>
    <w:rsid w:val="7AA0518E"/>
    <w:rsid w:val="7B041636"/>
    <w:rsid w:val="7B7C0265"/>
    <w:rsid w:val="7BC53FE6"/>
    <w:rsid w:val="7BF51745"/>
    <w:rsid w:val="7CA86749"/>
    <w:rsid w:val="7D1E2848"/>
    <w:rsid w:val="7E9F1BF2"/>
    <w:rsid w:val="7EC92370"/>
    <w:rsid w:val="7F2238BD"/>
    <w:rsid w:val="7FC23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3</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2020-04-05T04:31:44Z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