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2018年度新疆喀什地区中国人民政治协商会议塔什库尔干县委员会部门决算公开说明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政治协商。主要是对党委政府在社会主义物质文明建设、精神文明建设、民主法制建设、民主政治建设和改革开放中的重要政策及重要部署；一府两院工作报告，财政预决算报告，经济与社会发展规划；全县政治生活方面的重要事项；政协有关政策；政协内部的重要事务以及其他重要问题进行协商。</w:t>
      </w:r>
      <w:r>
        <w:rPr>
          <w:rFonts w:hint="eastAsia" w:ascii="仿宋_GB2312" w:eastAsia="仿宋_GB2312"/>
          <w:sz w:val="32"/>
          <w:szCs w:val="32"/>
        </w:rPr>
        <w:br w:type="textWrapping"/>
      </w:r>
      <w:r>
        <w:rPr>
          <w:rFonts w:hint="eastAsia" w:ascii="仿宋_GB2312" w:eastAsia="仿宋_GB2312"/>
          <w:sz w:val="32"/>
          <w:szCs w:val="32"/>
        </w:rPr>
        <w:t>2、民主监督。主要是对国家法律法规的实施情况，县委、县政府重要政策的贯彻落实情况，国民经济和社会发展计划及财政预算执行情况，政协机关及其工作人员履行职责、遵守法纪、为政清廉等方面的情况，参加政协的单位和个人遵守政协章程和执行决议的情况进行监督。</w:t>
      </w:r>
      <w:r>
        <w:rPr>
          <w:rFonts w:hint="eastAsia" w:ascii="仿宋_GB2312" w:eastAsia="仿宋_GB2312"/>
          <w:sz w:val="32"/>
          <w:szCs w:val="32"/>
        </w:rPr>
        <w:br w:type="textWrapping"/>
      </w:r>
      <w:r>
        <w:rPr>
          <w:rFonts w:hint="eastAsia" w:ascii="仿宋_GB2312" w:eastAsia="仿宋_GB2312"/>
          <w:sz w:val="32"/>
          <w:szCs w:val="32"/>
        </w:rPr>
        <w:t>3、参政议政。主要是对人民群众关心、党政县政协重视、政协有条件做的课题，组织调查视察，向党政领导机关提出意见建议；通过各种方式充分发挥委员主体作用，为经济和社会又好又快发展献计献策。</w:t>
      </w:r>
      <w:r>
        <w:rPr>
          <w:rFonts w:hint="eastAsia" w:ascii="仿宋_GB2312" w:eastAsia="仿宋_GB2312"/>
          <w:sz w:val="32"/>
          <w:szCs w:val="32"/>
        </w:rPr>
        <w:br w:type="textWrapping"/>
      </w:r>
      <w:r>
        <w:rPr>
          <w:rFonts w:hint="eastAsia" w:ascii="仿宋_GB2312" w:eastAsia="仿宋_GB2312"/>
          <w:sz w:val="32"/>
          <w:szCs w:val="32"/>
        </w:rPr>
        <w:t>4、贯彻执行县委的政策和措施；对政协有关政策的落实情况开展调查研究，向县委和地区政协反映情况，提出做好政协工作的意见建议。</w:t>
      </w:r>
      <w:r>
        <w:rPr>
          <w:rFonts w:hint="eastAsia" w:ascii="仿宋_GB2312" w:eastAsia="仿宋_GB2312"/>
          <w:sz w:val="32"/>
          <w:szCs w:val="32"/>
        </w:rPr>
        <w:br w:type="textWrapping"/>
      </w:r>
      <w:r>
        <w:rPr>
          <w:rFonts w:hint="eastAsia" w:ascii="仿宋_GB2312" w:eastAsia="仿宋_GB2312"/>
          <w:sz w:val="32"/>
          <w:szCs w:val="32"/>
        </w:rPr>
        <w:t>5、做好县委和地区政协布置安排的工作及政府委托的工作。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新疆喀什地区中国人民政治协商会议塔什库尔干县委员会</w:t>
      </w:r>
      <w:r>
        <w:rPr>
          <w:rFonts w:hint="eastAsia" w:ascii="仿宋_GB2312" w:eastAsia="仿宋_GB2312"/>
          <w:sz w:val="32"/>
          <w:szCs w:val="32"/>
        </w:rPr>
        <w:t>部门决算包括：</w:t>
      </w:r>
      <w:r>
        <w:rPr>
          <w:rFonts w:ascii="仿宋_GB2312" w:eastAsia="仿宋_GB2312"/>
          <w:sz w:val="32"/>
          <w:szCs w:val="32"/>
        </w:rPr>
        <w:t>新疆喀什地区中国人民政治协商会议塔什库尔干县委员会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新疆喀什地区中国人民政治协商会议塔什库尔干县委员会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新疆喀什地区中国人民政治协商会议塔什库尔干县委员会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416.5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，与上年相比，增加107.92万元，增长34.97%，增加的主要原因是：</w:t>
      </w:r>
      <w:r>
        <w:rPr>
          <w:rFonts w:hint="eastAsia" w:ascii="仿宋_GB2312" w:eastAsia="仿宋_GB2312"/>
          <w:color w:val="000000" w:themeColor="text1"/>
          <w:sz w:val="32"/>
          <w:szCs w:val="32"/>
        </w:rPr>
        <w:t>2018年艰苦边远地区津贴、基本工资及高海拔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工资调资</w:t>
      </w:r>
      <w:r>
        <w:rPr>
          <w:rFonts w:hint="eastAsia" w:ascii="仿宋_GB2312" w:eastAsia="仿宋_GB2312"/>
          <w:color w:val="000000" w:themeColor="text1"/>
          <w:sz w:val="32"/>
          <w:szCs w:val="32"/>
          <w:lang w:val="en-US" w:eastAsia="zh-CN"/>
        </w:rPr>
        <w:t>并</w:t>
      </w:r>
      <w:r>
        <w:rPr>
          <w:rFonts w:hint="eastAsia" w:ascii="仿宋_GB2312" w:eastAsia="仿宋_GB2312"/>
          <w:color w:val="000000" w:themeColor="text1"/>
          <w:sz w:val="32"/>
          <w:szCs w:val="32"/>
        </w:rPr>
        <w:t>补发两年，导致</w:t>
      </w:r>
      <w:r>
        <w:rPr>
          <w:rFonts w:hint="eastAsia" w:ascii="仿宋_GB2312" w:eastAsia="仿宋_GB2312"/>
          <w:color w:val="000000" w:themeColor="text1"/>
          <w:sz w:val="32"/>
          <w:szCs w:val="32"/>
          <w:lang w:val="en-US" w:eastAsia="zh-CN"/>
        </w:rPr>
        <w:t>本年</w:t>
      </w:r>
      <w:r>
        <w:rPr>
          <w:rFonts w:hint="eastAsia" w:ascii="仿宋_GB2312" w:eastAsia="仿宋_GB2312"/>
          <w:color w:val="000000" w:themeColor="text1"/>
          <w:sz w:val="32"/>
          <w:szCs w:val="32"/>
        </w:rPr>
        <w:t>收入</w:t>
      </w:r>
      <w:r>
        <w:rPr>
          <w:rFonts w:hint="eastAsia" w:ascii="仿宋_GB2312" w:eastAsia="仿宋_GB2312"/>
          <w:color w:val="000000" w:themeColor="text1"/>
          <w:sz w:val="32"/>
          <w:szCs w:val="32"/>
          <w:lang w:val="en-US" w:eastAsia="zh-CN"/>
        </w:rPr>
        <w:t>较上年</w:t>
      </w:r>
      <w:r>
        <w:rPr>
          <w:rFonts w:hint="eastAsia" w:ascii="仿宋_GB2312" w:eastAsia="仿宋_GB2312"/>
          <w:color w:val="000000" w:themeColor="text1"/>
          <w:sz w:val="32"/>
          <w:szCs w:val="32"/>
        </w:rPr>
        <w:t>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416.5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，与上年相比，增加107.92万元，增长34.97%，增加的主要原因是：</w:t>
      </w:r>
      <w:r>
        <w:rPr>
          <w:rFonts w:hint="eastAsia" w:ascii="仿宋_GB2312" w:eastAsia="仿宋_GB2312"/>
          <w:color w:val="000000" w:themeColor="text1"/>
          <w:sz w:val="32"/>
          <w:szCs w:val="32"/>
        </w:rPr>
        <w:t>2018年艰苦边远地区津贴、基本工资及高海拔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工资调资</w:t>
      </w:r>
      <w:r>
        <w:rPr>
          <w:rFonts w:hint="eastAsia" w:ascii="仿宋_GB2312" w:eastAsia="仿宋_GB2312"/>
          <w:color w:val="000000" w:themeColor="text1"/>
          <w:sz w:val="32"/>
          <w:szCs w:val="32"/>
          <w:lang w:val="en-US" w:eastAsia="zh-CN"/>
        </w:rPr>
        <w:t>并</w:t>
      </w:r>
      <w:r>
        <w:rPr>
          <w:rFonts w:hint="eastAsia" w:ascii="仿宋_GB2312" w:eastAsia="仿宋_GB2312"/>
          <w:color w:val="000000" w:themeColor="text1"/>
          <w:sz w:val="32"/>
          <w:szCs w:val="32"/>
        </w:rPr>
        <w:t>补发两年，导致</w:t>
      </w:r>
      <w:r>
        <w:rPr>
          <w:rFonts w:hint="eastAsia" w:ascii="仿宋_GB2312" w:eastAsia="仿宋_GB2312"/>
          <w:color w:val="000000" w:themeColor="text1"/>
          <w:sz w:val="32"/>
          <w:szCs w:val="32"/>
          <w:lang w:val="en-US" w:eastAsia="zh-CN"/>
        </w:rPr>
        <w:t>本年</w:t>
      </w:r>
      <w:r>
        <w:rPr>
          <w:rFonts w:hint="eastAsia" w:ascii="仿宋_GB2312" w:eastAsia="仿宋_GB2312"/>
          <w:color w:val="000000" w:themeColor="text1"/>
          <w:sz w:val="32"/>
          <w:szCs w:val="32"/>
        </w:rPr>
        <w:t>收入</w:t>
      </w:r>
      <w:r>
        <w:rPr>
          <w:rFonts w:hint="eastAsia" w:ascii="仿宋_GB2312" w:eastAsia="仿宋_GB2312"/>
          <w:color w:val="000000" w:themeColor="text1"/>
          <w:sz w:val="32"/>
          <w:szCs w:val="32"/>
          <w:lang w:val="en-US" w:eastAsia="zh-CN"/>
        </w:rPr>
        <w:t>较上年</w:t>
      </w:r>
      <w:r>
        <w:rPr>
          <w:rFonts w:hint="eastAsia" w:ascii="仿宋_GB2312" w:eastAsia="仿宋_GB2312"/>
          <w:color w:val="000000" w:themeColor="text1"/>
          <w:sz w:val="32"/>
          <w:szCs w:val="32"/>
        </w:rPr>
        <w:t>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本年与上年均无结余资金</w:t>
      </w:r>
      <w:r>
        <w:rPr>
          <w:rFonts w:ascii="仿宋_GB2312" w:eastAsia="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416.5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416.33</w:t>
      </w:r>
      <w:r>
        <w:rPr>
          <w:rFonts w:hint="eastAsia" w:ascii="仿宋_GB2312" w:eastAsia="仿宋_GB2312"/>
          <w:color w:val="000000" w:themeColor="text1"/>
          <w:sz w:val="32"/>
          <w:szCs w:val="32"/>
        </w:rPr>
        <w:t>万元，占</w:t>
      </w:r>
      <w:r>
        <w:rPr>
          <w:rFonts w:hint="eastAsia" w:ascii="仿宋_GB2312" w:eastAsia="仿宋_GB2312"/>
          <w:sz w:val="32"/>
          <w:szCs w:val="32"/>
        </w:rPr>
        <w:t>99.96%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0.17</w:t>
      </w:r>
      <w:r>
        <w:rPr>
          <w:rFonts w:hint="eastAsia" w:ascii="仿宋_GB2312" w:eastAsia="仿宋_GB2312"/>
          <w:color w:val="000000" w:themeColor="text1"/>
          <w:sz w:val="32"/>
          <w:szCs w:val="32"/>
        </w:rPr>
        <w:t>万元，占</w:t>
      </w:r>
      <w:r>
        <w:rPr>
          <w:rFonts w:hint="eastAsia" w:ascii="仿宋_GB2312" w:eastAsia="仿宋_GB2312"/>
          <w:sz w:val="32"/>
          <w:szCs w:val="32"/>
        </w:rPr>
        <w:t>0.04%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况：本年收入年初预算数326.98万元</w:t>
      </w:r>
      <w:r>
        <w:rPr>
          <w:rFonts w:hint="eastAsia" w:ascii="仿宋_GB2312" w:eastAsia="仿宋_GB2312"/>
          <w:sz w:val="32"/>
          <w:szCs w:val="32"/>
        </w:rPr>
        <w:t>，决算数416.5万元</w:t>
      </w:r>
      <w:r>
        <w:rPr>
          <w:rFonts w:ascii="仿宋_GB2312" w:eastAsia="仿宋_GB2312"/>
          <w:sz w:val="32"/>
          <w:szCs w:val="32"/>
        </w:rPr>
        <w:t>，预决算差异率27.38%，差异主要原因是年初预算收入中未包含2018年艰苦边远地区津贴、基本工资及高海拔</w:t>
      </w:r>
      <w:r>
        <w:rPr>
          <w:rFonts w:hint="eastAsia" w:ascii="仿宋_GB2312" w:eastAsia="仿宋_GB2312"/>
          <w:sz w:val="32"/>
          <w:szCs w:val="32"/>
          <w:lang w:val="en-US" w:eastAsia="zh-CN"/>
        </w:rPr>
        <w:t>地区工龄</w:t>
      </w:r>
      <w:r>
        <w:rPr>
          <w:rFonts w:ascii="仿宋_GB2312" w:eastAsia="仿宋_GB2312"/>
          <w:sz w:val="32"/>
          <w:szCs w:val="32"/>
        </w:rPr>
        <w:t>工资调资等，预算执行过程中调整预算收入，故本年收入决算数相应增加。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416.5</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390.39</w:t>
      </w:r>
      <w:r>
        <w:rPr>
          <w:rFonts w:hint="eastAsia" w:ascii="仿宋_GB2312" w:eastAsia="仿宋_GB2312"/>
          <w:color w:val="000000" w:themeColor="text1"/>
          <w:sz w:val="32"/>
          <w:szCs w:val="32"/>
        </w:rPr>
        <w:t>万元，占</w:t>
      </w:r>
      <w:r>
        <w:rPr>
          <w:rFonts w:hint="eastAsia" w:ascii="仿宋_GB2312" w:eastAsia="仿宋_GB2312"/>
          <w:sz w:val="32"/>
          <w:szCs w:val="32"/>
        </w:rPr>
        <w:t>93.73%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26.11</w:t>
      </w:r>
      <w:r>
        <w:rPr>
          <w:rFonts w:hint="eastAsia" w:ascii="仿宋_GB2312" w:eastAsia="仿宋_GB2312"/>
          <w:color w:val="000000" w:themeColor="text1"/>
          <w:sz w:val="32"/>
          <w:szCs w:val="32"/>
        </w:rPr>
        <w:t>万元，占</w:t>
      </w:r>
      <w:r>
        <w:rPr>
          <w:rFonts w:hint="eastAsia" w:ascii="仿宋_GB2312" w:eastAsia="仿宋_GB2312"/>
          <w:sz w:val="32"/>
          <w:szCs w:val="32"/>
        </w:rPr>
        <w:t>6.27%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与年初预算数相比情况：本年支出年初预算数326.98万元，</w:t>
      </w:r>
      <w:r>
        <w:rPr>
          <w:rFonts w:hint="eastAsia" w:ascii="仿宋_GB2312" w:eastAsia="仿宋_GB2312"/>
          <w:sz w:val="32"/>
          <w:szCs w:val="32"/>
        </w:rPr>
        <w:t>决算数416.5万元</w:t>
      </w:r>
      <w:r>
        <w:rPr>
          <w:rFonts w:ascii="仿宋_GB2312" w:eastAsia="仿宋_GB2312"/>
          <w:sz w:val="32"/>
          <w:szCs w:val="32"/>
        </w:rPr>
        <w:t>，预决算差异率27.38%，差异主要原因是年初预算支出中未包含2018年艰苦边远地区津贴、基本工资及高海拔</w:t>
      </w:r>
      <w:r>
        <w:rPr>
          <w:rFonts w:hint="eastAsia" w:ascii="仿宋_GB2312" w:eastAsia="仿宋_GB2312"/>
          <w:sz w:val="32"/>
          <w:szCs w:val="32"/>
          <w:lang w:val="en-US" w:eastAsia="zh-CN"/>
        </w:rPr>
        <w:t>地区工龄</w:t>
      </w:r>
      <w:r>
        <w:rPr>
          <w:rFonts w:ascii="仿宋_GB2312" w:eastAsia="仿宋_GB2312"/>
          <w:sz w:val="32"/>
          <w:szCs w:val="32"/>
        </w:rPr>
        <w:t>工资调资等，预算执行过程中调整预算支出，故本年支出决算数相应增加。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416.33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，与上年相比，增加107.95万元，增长35.01%，增加的主要原因是：</w:t>
      </w:r>
      <w:r>
        <w:rPr>
          <w:rFonts w:hint="eastAsia" w:ascii="仿宋_GB2312" w:eastAsia="仿宋_GB2312"/>
          <w:sz w:val="32"/>
          <w:szCs w:val="32"/>
          <w:lang w:val="en-US" w:eastAsia="zh-CN"/>
        </w:rPr>
        <w:t>2</w:t>
      </w:r>
      <w:r>
        <w:rPr>
          <w:rFonts w:hint="eastAsia" w:ascii="仿宋_GB2312" w:eastAsia="仿宋_GB2312"/>
          <w:color w:val="000000" w:themeColor="text1"/>
          <w:sz w:val="32"/>
          <w:szCs w:val="32"/>
        </w:rPr>
        <w:t>018年艰苦边远地区津贴、基本工资及高海拔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工资调资</w:t>
      </w:r>
      <w:r>
        <w:rPr>
          <w:rFonts w:hint="eastAsia" w:ascii="仿宋_GB2312" w:eastAsia="仿宋_GB2312"/>
          <w:color w:val="000000" w:themeColor="text1"/>
          <w:sz w:val="32"/>
          <w:szCs w:val="32"/>
          <w:lang w:val="en-US" w:eastAsia="zh-CN"/>
        </w:rPr>
        <w:t>并</w:t>
      </w:r>
      <w:r>
        <w:rPr>
          <w:rFonts w:hint="eastAsia" w:ascii="仿宋_GB2312" w:eastAsia="仿宋_GB2312"/>
          <w:color w:val="000000" w:themeColor="text1"/>
          <w:sz w:val="32"/>
          <w:szCs w:val="32"/>
        </w:rPr>
        <w:t>补发两年，导致</w:t>
      </w:r>
      <w:r>
        <w:rPr>
          <w:rFonts w:hint="eastAsia" w:ascii="仿宋_GB2312" w:eastAsia="仿宋_GB2312"/>
          <w:color w:val="000000" w:themeColor="text1"/>
          <w:sz w:val="32"/>
          <w:szCs w:val="32"/>
          <w:lang w:val="en-US" w:eastAsia="zh-CN"/>
        </w:rPr>
        <w:t>本年</w:t>
      </w:r>
      <w:r>
        <w:rPr>
          <w:rFonts w:hint="eastAsia" w:ascii="仿宋_GB2312" w:eastAsia="仿宋_GB2312"/>
          <w:color w:val="000000" w:themeColor="text1"/>
          <w:sz w:val="32"/>
          <w:szCs w:val="32"/>
        </w:rPr>
        <w:t>收入</w:t>
      </w:r>
      <w:r>
        <w:rPr>
          <w:rFonts w:hint="eastAsia" w:ascii="仿宋_GB2312" w:eastAsia="仿宋_GB2312"/>
          <w:color w:val="000000" w:themeColor="text1"/>
          <w:sz w:val="32"/>
          <w:szCs w:val="32"/>
          <w:lang w:val="en-US" w:eastAsia="zh-CN"/>
        </w:rPr>
        <w:t>较上年</w:t>
      </w:r>
      <w:r>
        <w:rPr>
          <w:rFonts w:hint="eastAsia" w:ascii="仿宋_GB2312" w:eastAsia="仿宋_GB2312"/>
          <w:color w:val="000000" w:themeColor="text1"/>
          <w:sz w:val="32"/>
          <w:szCs w:val="32"/>
        </w:rPr>
        <w:t>增加</w:t>
      </w:r>
      <w:r>
        <w:rPr>
          <w:rFonts w:hint="eastAsia" w:ascii="仿宋_GB2312" w:eastAsia="仿宋_GB2312"/>
          <w:sz w:val="32"/>
          <w:szCs w:val="32"/>
        </w:rPr>
        <w:t>。</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416.33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，与上年相比，增加107.95万元，增长35.01%，增加的主要原因是：</w:t>
      </w:r>
      <w:r>
        <w:rPr>
          <w:rFonts w:hint="eastAsia" w:ascii="仿宋_GB2312" w:eastAsia="仿宋_GB2312"/>
          <w:color w:val="000000" w:themeColor="text1"/>
          <w:sz w:val="32"/>
          <w:szCs w:val="32"/>
        </w:rPr>
        <w:t>2018年艰苦边远地区津贴、基本工资及高海拔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工资调资</w:t>
      </w:r>
      <w:r>
        <w:rPr>
          <w:rFonts w:hint="eastAsia" w:ascii="仿宋_GB2312" w:eastAsia="仿宋_GB2312"/>
          <w:color w:val="000000" w:themeColor="text1"/>
          <w:sz w:val="32"/>
          <w:szCs w:val="32"/>
          <w:lang w:val="en-US" w:eastAsia="zh-CN"/>
        </w:rPr>
        <w:t>并</w:t>
      </w:r>
      <w:r>
        <w:rPr>
          <w:rFonts w:hint="eastAsia" w:ascii="仿宋_GB2312" w:eastAsia="仿宋_GB2312"/>
          <w:color w:val="000000" w:themeColor="text1"/>
          <w:sz w:val="32"/>
          <w:szCs w:val="32"/>
        </w:rPr>
        <w:t>补发两年，导致</w:t>
      </w:r>
      <w:r>
        <w:rPr>
          <w:rFonts w:hint="eastAsia" w:ascii="仿宋_GB2312" w:eastAsia="仿宋_GB2312"/>
          <w:color w:val="000000" w:themeColor="text1"/>
          <w:sz w:val="32"/>
          <w:szCs w:val="32"/>
          <w:lang w:val="en-US" w:eastAsia="zh-CN"/>
        </w:rPr>
        <w:t>本年</w:t>
      </w:r>
      <w:r>
        <w:rPr>
          <w:rFonts w:hint="eastAsia" w:ascii="仿宋_GB2312" w:eastAsia="仿宋_GB2312"/>
          <w:color w:val="000000" w:themeColor="text1"/>
          <w:sz w:val="32"/>
          <w:szCs w:val="32"/>
        </w:rPr>
        <w:t>收入</w:t>
      </w:r>
      <w:r>
        <w:rPr>
          <w:rFonts w:hint="eastAsia" w:ascii="仿宋_GB2312" w:eastAsia="仿宋_GB2312"/>
          <w:color w:val="000000" w:themeColor="text1"/>
          <w:sz w:val="32"/>
          <w:szCs w:val="32"/>
          <w:lang w:val="en-US" w:eastAsia="zh-CN"/>
        </w:rPr>
        <w:t>较上年</w:t>
      </w:r>
      <w:r>
        <w:rPr>
          <w:rFonts w:hint="eastAsia" w:ascii="仿宋_GB2312" w:eastAsia="仿宋_GB2312"/>
          <w:color w:val="000000" w:themeColor="text1"/>
          <w:sz w:val="32"/>
          <w:szCs w:val="32"/>
        </w:rPr>
        <w:t>增加</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390.22</w:t>
      </w:r>
      <w:r>
        <w:rPr>
          <w:rFonts w:hint="eastAsia" w:ascii="仿宋_GB2312" w:eastAsia="仿宋_GB2312"/>
          <w:color w:val="000000" w:themeColor="text1"/>
          <w:sz w:val="32"/>
          <w:szCs w:val="32"/>
        </w:rPr>
        <w:t>万元，项目支出</w:t>
      </w:r>
      <w:r>
        <w:rPr>
          <w:rFonts w:hint="eastAsia" w:ascii="仿宋_GB2312" w:eastAsia="仿宋_GB2312"/>
          <w:sz w:val="32"/>
          <w:szCs w:val="32"/>
        </w:rPr>
        <w:t>26.11</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326.98</w:t>
      </w:r>
      <w:r>
        <w:rPr>
          <w:rFonts w:hint="eastAsia" w:ascii="仿宋_GB2312" w:eastAsia="仿宋_GB2312"/>
          <w:color w:val="000000" w:themeColor="text1"/>
          <w:sz w:val="32"/>
          <w:szCs w:val="32"/>
        </w:rPr>
        <w:t>万元，决算数</w:t>
      </w:r>
      <w:r>
        <w:rPr>
          <w:rFonts w:hint="eastAsia" w:ascii="仿宋_GB2312" w:eastAsia="仿宋_GB2312"/>
          <w:sz w:val="32"/>
          <w:szCs w:val="32"/>
        </w:rPr>
        <w:t>416.33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，预决算差异率27.33%，差异主要原因是年初预算收入中未包含2018年艰苦边远地区津贴、基本工资及</w:t>
      </w:r>
      <w:r>
        <w:rPr>
          <w:rFonts w:ascii="仿宋_GB2312" w:eastAsia="仿宋_GB2312"/>
          <w:sz w:val="32"/>
          <w:szCs w:val="32"/>
        </w:rPr>
        <w:t>高海拔</w:t>
      </w:r>
      <w:r>
        <w:rPr>
          <w:rFonts w:hint="eastAsia" w:ascii="仿宋_GB2312" w:eastAsia="仿宋_GB2312"/>
          <w:sz w:val="32"/>
          <w:szCs w:val="32"/>
          <w:lang w:val="en-US" w:eastAsia="zh-CN"/>
        </w:rPr>
        <w:t>地区工龄</w:t>
      </w:r>
      <w:r>
        <w:rPr>
          <w:rFonts w:ascii="仿宋_GB2312" w:eastAsia="仿宋_GB2312"/>
          <w:sz w:val="32"/>
          <w:szCs w:val="32"/>
        </w:rPr>
        <w:t>工资</w:t>
      </w:r>
      <w:r>
        <w:rPr>
          <w:rFonts w:ascii="仿宋_GB2312" w:eastAsia="仿宋_GB2312"/>
          <w:color w:val="000000" w:themeColor="text1"/>
          <w:sz w:val="32"/>
          <w:szCs w:val="32"/>
        </w:rPr>
        <w:t>调资等，预算执行过程中调整预算收入，故本年收入决算数相应增加。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326.98</w:t>
      </w:r>
      <w:r>
        <w:rPr>
          <w:rFonts w:hint="eastAsia" w:ascii="仿宋_GB2312" w:eastAsia="仿宋_GB2312"/>
          <w:color w:val="000000" w:themeColor="text1"/>
          <w:sz w:val="32"/>
          <w:szCs w:val="32"/>
        </w:rPr>
        <w:t>万元，决算数</w:t>
      </w:r>
      <w:r>
        <w:rPr>
          <w:rFonts w:hint="eastAsia" w:ascii="仿宋_GB2312" w:eastAsia="仿宋_GB2312"/>
          <w:sz w:val="32"/>
          <w:szCs w:val="32"/>
        </w:rPr>
        <w:t>416.33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，预决算差异率27.33%，差异主要原因是年初预算支出中未包含2018年艰苦边远地区津贴、基本工资及</w:t>
      </w:r>
      <w:r>
        <w:rPr>
          <w:rFonts w:ascii="仿宋_GB2312" w:eastAsia="仿宋_GB2312"/>
          <w:sz w:val="32"/>
          <w:szCs w:val="32"/>
        </w:rPr>
        <w:t>高海拔</w:t>
      </w:r>
      <w:r>
        <w:rPr>
          <w:rFonts w:hint="eastAsia" w:ascii="仿宋_GB2312" w:eastAsia="仿宋_GB2312"/>
          <w:sz w:val="32"/>
          <w:szCs w:val="32"/>
          <w:lang w:val="en-US" w:eastAsia="zh-CN"/>
        </w:rPr>
        <w:t>地区工龄</w:t>
      </w:r>
      <w:r>
        <w:rPr>
          <w:rFonts w:ascii="仿宋_GB2312" w:eastAsia="仿宋_GB2312"/>
          <w:sz w:val="32"/>
          <w:szCs w:val="32"/>
        </w:rPr>
        <w:t>工资</w:t>
      </w:r>
      <w:r>
        <w:rPr>
          <w:rFonts w:ascii="仿宋_GB2312" w:eastAsia="仿宋_GB2312"/>
          <w:color w:val="000000" w:themeColor="text1"/>
          <w:sz w:val="32"/>
          <w:szCs w:val="32"/>
        </w:rPr>
        <w:t>调资等，预算执行过程中调整预算支出，故本年支出决算数相应增加。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416.33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，与上年相比，增加107.95万元，增长35.01%，增加的主要原因是：</w:t>
      </w:r>
      <w:r>
        <w:rPr>
          <w:rFonts w:hint="eastAsia" w:ascii="仿宋_GB2312" w:eastAsia="仿宋_GB2312"/>
          <w:color w:val="000000" w:themeColor="text1"/>
          <w:sz w:val="32"/>
          <w:szCs w:val="32"/>
        </w:rPr>
        <w:t>2018年艰苦边远地区津贴、基本工资及高海拔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工资调资</w:t>
      </w:r>
      <w:r>
        <w:rPr>
          <w:rFonts w:hint="eastAsia" w:ascii="仿宋_GB2312" w:eastAsia="仿宋_GB2312"/>
          <w:color w:val="000000" w:themeColor="text1"/>
          <w:sz w:val="32"/>
          <w:szCs w:val="32"/>
          <w:lang w:val="en-US" w:eastAsia="zh-CN"/>
        </w:rPr>
        <w:t>并</w:t>
      </w:r>
      <w:r>
        <w:rPr>
          <w:rFonts w:hint="eastAsia" w:ascii="仿宋_GB2312" w:eastAsia="仿宋_GB2312"/>
          <w:color w:val="000000" w:themeColor="text1"/>
          <w:sz w:val="32"/>
          <w:szCs w:val="32"/>
        </w:rPr>
        <w:t>补发两年，导致</w:t>
      </w:r>
      <w:r>
        <w:rPr>
          <w:rFonts w:hint="eastAsia" w:ascii="仿宋_GB2312" w:eastAsia="仿宋_GB2312"/>
          <w:color w:val="000000" w:themeColor="text1"/>
          <w:sz w:val="32"/>
          <w:szCs w:val="32"/>
          <w:lang w:val="en-US" w:eastAsia="zh-CN"/>
        </w:rPr>
        <w:t>本年</w:t>
      </w:r>
      <w:r>
        <w:rPr>
          <w:rFonts w:hint="eastAsia" w:ascii="仿宋_GB2312" w:eastAsia="仿宋_GB2312"/>
          <w:color w:val="000000" w:themeColor="text1"/>
          <w:sz w:val="32"/>
          <w:szCs w:val="32"/>
        </w:rPr>
        <w:t>收入</w:t>
      </w:r>
      <w:r>
        <w:rPr>
          <w:rFonts w:hint="eastAsia" w:ascii="仿宋_GB2312" w:eastAsia="仿宋_GB2312"/>
          <w:color w:val="000000" w:themeColor="text1"/>
          <w:sz w:val="32"/>
          <w:szCs w:val="32"/>
          <w:lang w:val="en-US" w:eastAsia="zh-CN"/>
        </w:rPr>
        <w:t>较上年</w:t>
      </w:r>
      <w:r>
        <w:rPr>
          <w:rFonts w:hint="eastAsia" w:ascii="仿宋_GB2312" w:eastAsia="仿宋_GB2312"/>
          <w:color w:val="000000" w:themeColor="text1"/>
          <w:sz w:val="32"/>
          <w:szCs w:val="32"/>
        </w:rPr>
        <w:t>增加</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416.33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，与上年相比，增加107.95万元，增长35.01%，增加的主要原因是：</w:t>
      </w:r>
      <w:bookmarkStart w:id="88" w:name="_GoBack"/>
      <w:bookmarkEnd w:id="88"/>
      <w:r>
        <w:rPr>
          <w:rFonts w:hint="eastAsia" w:ascii="仿宋_GB2312" w:eastAsia="仿宋_GB2312"/>
          <w:color w:val="000000" w:themeColor="text1"/>
          <w:sz w:val="32"/>
          <w:szCs w:val="32"/>
        </w:rPr>
        <w:t>2018年艰苦边远地区津贴、基本工资及高海拔</w:t>
      </w:r>
      <w:r>
        <w:rPr>
          <w:rFonts w:hint="eastAsia" w:ascii="仿宋_GB2312" w:eastAsia="仿宋_GB2312"/>
          <w:color w:val="000000" w:themeColor="text1"/>
          <w:sz w:val="32"/>
          <w:szCs w:val="32"/>
          <w:lang w:val="en-US" w:eastAsia="zh-CN"/>
        </w:rPr>
        <w:t>地区工龄</w:t>
      </w:r>
      <w:r>
        <w:rPr>
          <w:rFonts w:hint="eastAsia" w:ascii="仿宋_GB2312" w:eastAsia="仿宋_GB2312"/>
          <w:color w:val="000000" w:themeColor="text1"/>
          <w:sz w:val="32"/>
          <w:szCs w:val="32"/>
        </w:rPr>
        <w:t>工资调资</w:t>
      </w:r>
      <w:r>
        <w:rPr>
          <w:rFonts w:hint="eastAsia" w:ascii="仿宋_GB2312" w:eastAsia="仿宋_GB2312"/>
          <w:color w:val="000000" w:themeColor="text1"/>
          <w:sz w:val="32"/>
          <w:szCs w:val="32"/>
          <w:lang w:val="en-US" w:eastAsia="zh-CN"/>
        </w:rPr>
        <w:t>并</w:t>
      </w:r>
      <w:r>
        <w:rPr>
          <w:rFonts w:hint="eastAsia" w:ascii="仿宋_GB2312" w:eastAsia="仿宋_GB2312"/>
          <w:color w:val="000000" w:themeColor="text1"/>
          <w:sz w:val="32"/>
          <w:szCs w:val="32"/>
        </w:rPr>
        <w:t>补发两年，导致</w:t>
      </w:r>
      <w:r>
        <w:rPr>
          <w:rFonts w:hint="eastAsia" w:ascii="仿宋_GB2312" w:eastAsia="仿宋_GB2312"/>
          <w:color w:val="000000" w:themeColor="text1"/>
          <w:sz w:val="32"/>
          <w:szCs w:val="32"/>
          <w:lang w:val="en-US" w:eastAsia="zh-CN"/>
        </w:rPr>
        <w:t>本年</w:t>
      </w:r>
      <w:r>
        <w:rPr>
          <w:rFonts w:hint="eastAsia" w:ascii="仿宋_GB2312" w:eastAsia="仿宋_GB2312"/>
          <w:color w:val="000000" w:themeColor="text1"/>
          <w:sz w:val="32"/>
          <w:szCs w:val="32"/>
        </w:rPr>
        <w:t>收入</w:t>
      </w:r>
      <w:r>
        <w:rPr>
          <w:rFonts w:hint="eastAsia" w:ascii="仿宋_GB2312" w:eastAsia="仿宋_GB2312"/>
          <w:color w:val="000000" w:themeColor="text1"/>
          <w:sz w:val="32"/>
          <w:szCs w:val="32"/>
          <w:lang w:val="en-US" w:eastAsia="zh-CN"/>
        </w:rPr>
        <w:t>较上年</w:t>
      </w:r>
      <w:r>
        <w:rPr>
          <w:rFonts w:hint="eastAsia" w:ascii="仿宋_GB2312" w:eastAsia="仿宋_GB2312"/>
          <w:color w:val="000000" w:themeColor="text1"/>
          <w:sz w:val="32"/>
          <w:szCs w:val="32"/>
        </w:rPr>
        <w:t>增加</w:t>
      </w:r>
      <w:r>
        <w:rPr>
          <w:rFonts w:hint="eastAsia" w:ascii="仿宋_GB2312" w:eastAsia="仿宋_GB2312"/>
          <w:sz w:val="32"/>
          <w:szCs w:val="32"/>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住房保障支出16.26万元,一般公共服务支出376.35万元,社会保障和就业支出23.72万元。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工资福利支出256.03万元,商品和服务支出51.33万元,对个人和家庭的补助108.96万元。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326.98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416.33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，预决算差异率27.33%，差异主要原因是年初预算收入中未包含2018年艰苦边远地区津贴、基本工资及</w:t>
      </w:r>
      <w:r>
        <w:rPr>
          <w:rFonts w:ascii="仿宋_GB2312" w:eastAsia="仿宋_GB2312"/>
          <w:sz w:val="32"/>
          <w:szCs w:val="32"/>
        </w:rPr>
        <w:t>高海拔</w:t>
      </w:r>
      <w:r>
        <w:rPr>
          <w:rFonts w:hint="eastAsia" w:ascii="仿宋_GB2312" w:eastAsia="仿宋_GB2312"/>
          <w:sz w:val="32"/>
          <w:szCs w:val="32"/>
          <w:lang w:val="en-US" w:eastAsia="zh-CN"/>
        </w:rPr>
        <w:t>地区工龄</w:t>
      </w:r>
      <w:r>
        <w:rPr>
          <w:rFonts w:ascii="仿宋_GB2312" w:eastAsia="仿宋_GB2312"/>
          <w:sz w:val="32"/>
          <w:szCs w:val="32"/>
        </w:rPr>
        <w:t>工资</w:t>
      </w:r>
      <w:r>
        <w:rPr>
          <w:rFonts w:ascii="仿宋_GB2312" w:eastAsia="仿宋_GB2312"/>
          <w:color w:val="000000" w:themeColor="text1"/>
          <w:sz w:val="32"/>
          <w:szCs w:val="32"/>
        </w:rPr>
        <w:t>等，预算执行过程中调整预算收入，故本年收入决算数相应增加。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326.98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416.33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，预决算差异率27.33%，差异主要原因是年初预算收入中未包含2018年艰苦边远地区津贴、基本工资及</w:t>
      </w:r>
      <w:r>
        <w:rPr>
          <w:rFonts w:ascii="仿宋_GB2312" w:eastAsia="仿宋_GB2312"/>
          <w:sz w:val="32"/>
          <w:szCs w:val="32"/>
        </w:rPr>
        <w:t>高海拔</w:t>
      </w:r>
      <w:r>
        <w:rPr>
          <w:rFonts w:hint="eastAsia" w:ascii="仿宋_GB2312" w:eastAsia="仿宋_GB2312"/>
          <w:sz w:val="32"/>
          <w:szCs w:val="32"/>
          <w:lang w:val="en-US" w:eastAsia="zh-CN"/>
        </w:rPr>
        <w:t>地区工龄</w:t>
      </w:r>
      <w:r>
        <w:rPr>
          <w:rFonts w:ascii="仿宋_GB2312" w:eastAsia="仿宋_GB2312"/>
          <w:sz w:val="32"/>
          <w:szCs w:val="32"/>
        </w:rPr>
        <w:t>工资</w:t>
      </w:r>
      <w:r>
        <w:rPr>
          <w:rFonts w:hint="eastAsia" w:ascii="仿宋_GB2312" w:eastAsia="仿宋_GB2312"/>
          <w:sz w:val="32"/>
          <w:szCs w:val="32"/>
          <w:lang w:val="en-US" w:eastAsia="zh-CN"/>
        </w:rPr>
        <w:t>调资</w:t>
      </w:r>
      <w:r>
        <w:rPr>
          <w:rFonts w:ascii="仿宋_GB2312" w:eastAsia="仿宋_GB2312"/>
          <w:color w:val="000000" w:themeColor="text1"/>
          <w:sz w:val="32"/>
          <w:szCs w:val="32"/>
        </w:rPr>
        <w:t>等，预算执行过程中调整预算收入，故本年收入决算数相应增加。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2" w:name="OLE_LINK74"/>
      <w:bookmarkStart w:id="53" w:name="OLE_LINK80"/>
      <w:bookmarkStart w:id="54" w:name="OLE_LINK79"/>
      <w:r>
        <w:rPr>
          <w:rFonts w:hint="eastAsia" w:ascii="仿宋_GB2312" w:eastAsia="仿宋_GB2312"/>
          <w:color w:val="000000"/>
          <w:sz w:val="32"/>
          <w:szCs w:val="32"/>
        </w:rPr>
        <w:t>2018年度</w:t>
      </w:r>
      <w:bookmarkStart w:id="55" w:name="OLE_LINK29"/>
      <w:r>
        <w:rPr>
          <w:rFonts w:hint="eastAsia" w:ascii="仿宋_GB2312" w:eastAsia="仿宋_GB2312"/>
          <w:color w:val="000000"/>
          <w:sz w:val="32"/>
          <w:szCs w:val="32"/>
        </w:rPr>
        <w:t>一般公共预算“三公”经费支出决算</w:t>
      </w:r>
      <w:bookmarkEnd w:id="55"/>
      <w:r>
        <w:rPr>
          <w:rFonts w:hint="eastAsia" w:ascii="仿宋_GB2312" w:eastAsia="仿宋_GB2312"/>
          <w:sz w:val="32"/>
          <w:szCs w:val="32"/>
          <w:lang w:val="en-US" w:eastAsia="zh-CN"/>
        </w:rPr>
        <w:t>13</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6" w:name="OLE_LINK75"/>
      <w:r>
        <w:rPr>
          <w:rFonts w:hint="eastAsia" w:ascii="仿宋_GB2312" w:eastAsia="仿宋_GB2312"/>
          <w:color w:val="000000"/>
          <w:sz w:val="32"/>
          <w:szCs w:val="32"/>
          <w:highlight w:val="none"/>
        </w:rPr>
        <w:t>其中，</w:t>
      </w:r>
      <w:bookmarkStart w:id="57" w:name="OLE_LINK30"/>
      <w:r>
        <w:rPr>
          <w:rFonts w:hint="eastAsia" w:ascii="仿宋_GB2312" w:eastAsia="仿宋_GB2312"/>
          <w:color w:val="000000"/>
          <w:sz w:val="32"/>
          <w:szCs w:val="32"/>
          <w:highlight w:val="none"/>
        </w:rPr>
        <w:t>因公出国（境）费支出</w:t>
      </w:r>
      <w:bookmarkEnd w:id="57"/>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6"/>
      <w:bookmarkStart w:id="58" w:name="OLE_LINK31"/>
      <w:bookmarkStart w:id="59"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8"/>
      <w:r>
        <w:rPr>
          <w:rFonts w:hint="eastAsia" w:ascii="仿宋_GB2312" w:eastAsia="仿宋_GB2312"/>
          <w:sz w:val="32"/>
          <w:szCs w:val="32"/>
          <w:highlight w:val="none"/>
          <w:lang w:val="en-US" w:eastAsia="zh-CN"/>
        </w:rPr>
        <w:t>13</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9"/>
      <w:bookmarkStart w:id="60" w:name="OLE_LINK32"/>
      <w:bookmarkStart w:id="61" w:name="OLE_LINK78"/>
      <w:bookmarkStart w:id="62" w:name="OLE_LINK77"/>
      <w:r>
        <w:rPr>
          <w:rFonts w:hint="eastAsia" w:ascii="仿宋_GB2312" w:eastAsia="仿宋_GB2312"/>
          <w:color w:val="000000"/>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1"/>
      <w:bookmarkEnd w:id="62"/>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新疆喀什地区中国人民政治协商会议塔什库尔干县委员会</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2018年无此项开支。</w:t>
      </w:r>
      <w:bookmarkEnd w:id="53"/>
      <w:bookmarkEnd w:id="54"/>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13</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13</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4辆汽车加油、车辆维修</w:t>
      </w:r>
      <w:r>
        <w:rPr>
          <w:rFonts w:hint="eastAsia" w:ascii="仿宋_GB2312" w:eastAsia="仿宋_GB2312"/>
          <w:sz w:val="32"/>
          <w:szCs w:val="32"/>
          <w:lang w:eastAsia="zh-CN"/>
        </w:rPr>
        <w:t>、保险费、审验费支出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2018年无此项开支</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新疆喀什地区中国人民政治协商会议塔什库尔干县委员会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13</w:t>
      </w:r>
      <w:r>
        <w:rPr>
          <w:rFonts w:hint="eastAsia" w:ascii="仿宋_GB2312" w:eastAsia="仿宋_GB2312"/>
          <w:color w:val="000000" w:themeColor="text1"/>
          <w:sz w:val="32"/>
          <w:szCs w:val="32"/>
        </w:rPr>
        <w:t>万元，决算数13万元</w:t>
      </w:r>
      <w:r>
        <w:rPr>
          <w:rFonts w:ascii="仿宋_GB2312" w:eastAsia="仿宋_GB2312"/>
          <w:color w:val="000000" w:themeColor="text1"/>
          <w:sz w:val="32"/>
          <w:szCs w:val="32"/>
        </w:rPr>
        <w:t>，预决算差异率0%，差异主要原因是无变化。</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2018年度新疆喀什地区中国人民政治协商会议塔什库尔干县委员会机关运行经费支出25.23万元，与上年相比，减少2.48万元，下降8.95%，减少的主要原因是：办公经费减少。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1.95</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1.95</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79.16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4</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val="en-US" w:eastAsia="zh-CN"/>
        </w:rPr>
        <w:t>1、</w:t>
      </w:r>
      <w:r>
        <w:rPr>
          <w:rFonts w:hint="eastAsia" w:ascii="仿宋_GB2312" w:eastAsia="仿宋_GB2312"/>
          <w:color w:val="000000" w:themeColor="text1"/>
          <w:sz w:val="32"/>
          <w:szCs w:val="32"/>
          <w:lang w:eastAsia="zh-CN"/>
        </w:rPr>
        <w:t>北京现代越野车新</w:t>
      </w:r>
      <w:r>
        <w:rPr>
          <w:rFonts w:hint="eastAsia" w:ascii="仿宋_GB2312" w:eastAsia="仿宋_GB2312"/>
          <w:color w:val="000000" w:themeColor="text1"/>
          <w:sz w:val="32"/>
          <w:szCs w:val="32"/>
          <w:lang w:val="en-US" w:eastAsia="zh-CN"/>
        </w:rPr>
        <w:t>Q02632</w:t>
      </w:r>
      <w:r>
        <w:rPr>
          <w:rFonts w:hint="eastAsia" w:ascii="仿宋_GB2312" w:eastAsia="仿宋_GB2312"/>
          <w:color w:val="000000" w:themeColor="text1"/>
          <w:sz w:val="32"/>
          <w:szCs w:val="32"/>
          <w:lang w:eastAsia="zh-CN"/>
        </w:rPr>
        <w:t>一辆，主要用于单位一般日常外出</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，下乡检查视察工作使用，</w:t>
      </w:r>
      <w:r>
        <w:rPr>
          <w:rFonts w:hint="eastAsia" w:ascii="仿宋_GB2312" w:eastAsia="仿宋_GB2312"/>
          <w:color w:val="000000" w:themeColor="text1"/>
          <w:sz w:val="32"/>
          <w:szCs w:val="32"/>
          <w:lang w:val="en-US" w:eastAsia="zh-CN"/>
        </w:rPr>
        <w:t>2、</w:t>
      </w:r>
      <w:r>
        <w:rPr>
          <w:rFonts w:hint="eastAsia" w:ascii="仿宋_GB2312" w:eastAsia="仿宋_GB2312"/>
          <w:color w:val="000000" w:themeColor="text1"/>
          <w:sz w:val="32"/>
          <w:szCs w:val="32"/>
          <w:lang w:eastAsia="zh-CN"/>
        </w:rPr>
        <w:t>猎豹越野车新</w:t>
      </w:r>
      <w:r>
        <w:rPr>
          <w:rFonts w:hint="eastAsia" w:ascii="仿宋_GB2312" w:eastAsia="仿宋_GB2312"/>
          <w:color w:val="000000" w:themeColor="text1"/>
          <w:sz w:val="32"/>
          <w:szCs w:val="32"/>
          <w:lang w:val="en-US" w:eastAsia="zh-CN"/>
        </w:rPr>
        <w:t>Q46870</w:t>
      </w:r>
      <w:r>
        <w:rPr>
          <w:rFonts w:hint="eastAsia" w:ascii="仿宋_GB2312" w:eastAsia="仿宋_GB2312"/>
          <w:color w:val="000000" w:themeColor="text1"/>
          <w:sz w:val="32"/>
          <w:szCs w:val="32"/>
          <w:lang w:eastAsia="zh-CN"/>
        </w:rPr>
        <w:t>一辆，主要用于单位一般日常外出</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，下乡检查视察工作使用，</w:t>
      </w:r>
      <w:r>
        <w:rPr>
          <w:rFonts w:hint="eastAsia" w:ascii="仿宋_GB2312" w:eastAsia="仿宋_GB2312"/>
          <w:color w:val="000000" w:themeColor="text1"/>
          <w:sz w:val="32"/>
          <w:szCs w:val="32"/>
          <w:lang w:val="en-US" w:eastAsia="zh-CN"/>
        </w:rPr>
        <w:t>3、</w:t>
      </w:r>
      <w:r>
        <w:rPr>
          <w:rFonts w:hint="eastAsia" w:ascii="仿宋_GB2312" w:eastAsia="仿宋_GB2312"/>
          <w:color w:val="000000" w:themeColor="text1"/>
          <w:sz w:val="32"/>
          <w:szCs w:val="32"/>
          <w:lang w:eastAsia="zh-CN"/>
        </w:rPr>
        <w:t>三菱越野车新</w:t>
      </w:r>
      <w:r>
        <w:rPr>
          <w:rFonts w:hint="eastAsia" w:ascii="仿宋_GB2312" w:eastAsia="仿宋_GB2312"/>
          <w:color w:val="000000" w:themeColor="text1"/>
          <w:sz w:val="32"/>
          <w:szCs w:val="32"/>
          <w:lang w:val="en-US" w:eastAsia="zh-CN"/>
        </w:rPr>
        <w:t>Q98912</w:t>
      </w:r>
      <w:r>
        <w:rPr>
          <w:rFonts w:hint="eastAsia" w:ascii="仿宋_GB2312" w:eastAsia="仿宋_GB2312"/>
          <w:color w:val="000000" w:themeColor="text1"/>
          <w:sz w:val="32"/>
          <w:szCs w:val="32"/>
          <w:lang w:eastAsia="zh-CN"/>
        </w:rPr>
        <w:t>一辆，主要用于单位一般日常外出</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，下乡检查视察工作使用，</w:t>
      </w:r>
      <w:r>
        <w:rPr>
          <w:rFonts w:hint="eastAsia" w:ascii="仿宋_GB2312" w:eastAsia="仿宋_GB2312"/>
          <w:color w:val="000000" w:themeColor="text1"/>
          <w:sz w:val="32"/>
          <w:szCs w:val="32"/>
          <w:lang w:val="en-US" w:eastAsia="zh-CN"/>
        </w:rPr>
        <w:t>4、</w:t>
      </w:r>
      <w:r>
        <w:rPr>
          <w:rFonts w:hint="eastAsia" w:ascii="仿宋_GB2312" w:eastAsia="仿宋_GB2312"/>
          <w:color w:val="000000" w:themeColor="text1"/>
          <w:sz w:val="32"/>
          <w:szCs w:val="32"/>
          <w:lang w:eastAsia="zh-CN"/>
        </w:rPr>
        <w:t>尼桑其他车辆一辆，主要用于单位一般日常外出</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lang w:eastAsia="zh-CN"/>
        </w:rPr>
        <w:t>，下乡检查视察工作使用</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1、绩效评价的目的主要是通过开展部门整体支出绩效评价，促进部门从整体上提升预算绩效管理工作水平，强化部门支出责任，规范资金管理行为，提高财政资金使用效益，保障部门更好地履行职责。2、绩效目标自评开展情况：本次绩效评价共分三个阶段,一是绩效评价准备。召开学习准备会，通过对财政预算绩效评价相关文件的学习，制定实施方案，成立评价小组。二是绩效评价实施。严格按照规定组织实施绩效评价，查阅和收集有关数据资料，并进行认真分析，初步计算出各评价指标分值。三是绩效评价报告形成。通过对各项资料进行归纳整理，形成绩效评价报告。3、绩效目标的自评包含两个项目，一是县政协十四届三次全委会议，项目的预期目标；一是总结一年来县乡村三级政协委员积极履行政治协商、民主监督、参政议政职能情况，二是围绕自治区党委、地委及县委工作安排，针对扶贫攻坚重点项目、旅游生态环境保护整改、三新工程建设、异地教学等开展调研视察形成的提案汇报，三是充分发挥人民政协作为协商民主重要渠道和专门协商机构作用，针对群众反映共性问题的落实情况，深入了解情况、分析研究问题、认真协商讨论，组织协商议政。二是2018年基层政协建设补助支出主要用于补助基层政协办公、委员活动等经费不足的情况，涉及范围包括开展委员视察、专题调研、办复提案、课题研究、反映社情民意等相关工作，举办委员学习班，召开工作会议，发挥人民政协参政议政职能，此项经费解决各级政协委员调研视察餐费、交通费、误工费等办公各项费用。</w:t>
      </w:r>
    </w:p>
    <w:p>
      <w:pPr>
        <w:spacing w:line="540" w:lineRule="exact"/>
        <w:ind w:left="-1" w:right="-1" w:firstLine="646"/>
        <w:jc w:val="left"/>
      </w:pPr>
      <w:r>
        <w:rPr>
          <w:rFonts w:ascii="仿宋_GB2312" w:hAnsi="仿宋_GB2312" w:eastAsia="仿宋_GB2312" w:cs="仿宋_GB2312"/>
          <w:b w:val="0"/>
          <w:color w:val="auto"/>
          <w:sz w:val="32"/>
          <w:u w:val="none"/>
        </w:rPr>
        <w:t>1、2018年基层政协建设补助支出项目绩效自评综述：根据年初设定的绩效目标，该项目绩效自评得分为85分。项目全年预算数为14万元，执行数为14万元，完成预算的100%。主要产出和效果：1、本项目实际支付资金14万元，预算执行率100%，项目资金主要用于委员活动经费80800元，委员慰问23200元，车辆维修30000元，车辆租赁6000元。2、本项目支出符合基层补助经费支出中相关财务管理制度，包括会计人员集中核算工作管理制度、财务收支审批制度、财务稽核制度、财务牵制制度、会计主管岗位职责等制度规定，资金的拨付有完整的审批程序和手续，不存在截留、挤占、挪用等情况。3、该项目属于经常性零星项目,没有达到招投标限额,由本单位自行组织实施。实施过程均按照本单位制定的管理制度执行。本项目不存在调整情况。本项目不存在检查验收程序。4、在项目实施过程中全力保障县政协委员调研视察等工作的落实。一是结全工作实际情况，责任到人，将经费按月列出支出时间表，使各项支出有计划的开展，提高了预算执行率。二是加强督促检查。对于重大项目支出召开主席会研究决定。项目的实施遵守相关法律法规和业务管理规定，项目资料齐全并及时归档</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发现的问题及原因：1、每年1月份做绩效目标申报，实施方案及实施范围于1月份开会确定，资金于4月份到位，第一季度基本无支出，影响预算执行均衡性。2、绩效评价注重事中、事后，绩效评价制度不健全</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下一步改进措施：一是科学地做好支出进度安排，并在实施过程加强监督，加快支出进度，争取每月支出达到相对均衡。二是进一步完美绩效评价制度及管理办法</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2、县政协第十四届三次全委会议项目绩效自评综述：根据年初设定的绩效目标，该项目绩效自评得分为85分。项目全年预算数为12.1</w:t>
      </w:r>
      <w:r>
        <w:rPr>
          <w:rFonts w:hint="eastAsia" w:ascii="仿宋_GB2312" w:hAnsi="仿宋_GB2312" w:eastAsia="仿宋_GB2312" w:cs="仿宋_GB2312"/>
          <w:b w:val="0"/>
          <w:color w:val="auto"/>
          <w:sz w:val="32"/>
          <w:u w:val="none"/>
          <w:lang w:val="en-US" w:eastAsia="zh-CN"/>
        </w:rPr>
        <w:t>1</w:t>
      </w:r>
      <w:r>
        <w:rPr>
          <w:rFonts w:ascii="仿宋_GB2312" w:hAnsi="仿宋_GB2312" w:eastAsia="仿宋_GB2312" w:cs="仿宋_GB2312"/>
          <w:b w:val="0"/>
          <w:color w:val="auto"/>
          <w:sz w:val="32"/>
          <w:u w:val="none"/>
        </w:rPr>
        <w:t>万元，执行数为12.1</w:t>
      </w:r>
      <w:r>
        <w:rPr>
          <w:rFonts w:hint="eastAsia" w:ascii="仿宋_GB2312" w:hAnsi="仿宋_GB2312" w:eastAsia="仿宋_GB2312" w:cs="仿宋_GB2312"/>
          <w:b w:val="0"/>
          <w:color w:val="auto"/>
          <w:sz w:val="32"/>
          <w:u w:val="none"/>
          <w:lang w:val="en-US" w:eastAsia="zh-CN"/>
        </w:rPr>
        <w:t>1</w:t>
      </w:r>
      <w:r>
        <w:rPr>
          <w:rFonts w:ascii="仿宋_GB2312" w:hAnsi="仿宋_GB2312" w:eastAsia="仿宋_GB2312" w:cs="仿宋_GB2312"/>
          <w:b w:val="0"/>
          <w:color w:val="auto"/>
          <w:sz w:val="32"/>
          <w:u w:val="none"/>
        </w:rPr>
        <w:t>万元，完成预算的100%。主要产出和效果：1、本项目实际支付资金12.1</w:t>
      </w:r>
      <w:r>
        <w:rPr>
          <w:rFonts w:hint="eastAsia" w:ascii="仿宋_GB2312" w:hAnsi="仿宋_GB2312" w:eastAsia="仿宋_GB2312" w:cs="仿宋_GB2312"/>
          <w:b w:val="0"/>
          <w:color w:val="auto"/>
          <w:sz w:val="32"/>
          <w:u w:val="none"/>
          <w:lang w:val="en-US" w:eastAsia="zh-CN"/>
        </w:rPr>
        <w:t>1</w:t>
      </w:r>
      <w:r>
        <w:rPr>
          <w:rFonts w:ascii="仿宋_GB2312" w:hAnsi="仿宋_GB2312" w:eastAsia="仿宋_GB2312" w:cs="仿宋_GB2312"/>
          <w:b w:val="0"/>
          <w:color w:val="auto"/>
          <w:sz w:val="32"/>
          <w:u w:val="none"/>
        </w:rPr>
        <w:t>万元，预算执行率100%，项目资金主要用于委员误工、交通费7.16万，委员差费2.05万元，其他交通费用1万元，办公费1.</w:t>
      </w:r>
      <w:r>
        <w:rPr>
          <w:rFonts w:hint="eastAsia" w:ascii="仿宋_GB2312" w:hAnsi="仿宋_GB2312" w:eastAsia="仿宋_GB2312" w:cs="仿宋_GB2312"/>
          <w:b w:val="0"/>
          <w:color w:val="auto"/>
          <w:sz w:val="32"/>
          <w:u w:val="none"/>
          <w:lang w:val="en-US" w:eastAsia="zh-CN"/>
        </w:rPr>
        <w:t>90</w:t>
      </w:r>
      <w:r>
        <w:rPr>
          <w:rFonts w:ascii="仿宋_GB2312" w:hAnsi="仿宋_GB2312" w:eastAsia="仿宋_GB2312" w:cs="仿宋_GB2312"/>
          <w:b w:val="0"/>
          <w:color w:val="auto"/>
          <w:sz w:val="32"/>
          <w:u w:val="none"/>
        </w:rPr>
        <w:t>万元。2、本项目支出符合基层补助经费支出中相关财务管理制度，包括会计人员集中核算工作管理制度、财务收支审批制度、财务稽核制度、财务牵制制度、会计主管岗位职责等制度规定，资金的拨付有完整的审批程序和手续，不存在截留、挤占、挪用等情况。3、该项目属于经常性零星项目,没有达到招投标限额,由本单位自行组织实施。实施过程均按照本单位制定的管理制度执行。本项目不存在调整情况。本项目不存在检查验收程序。4、在项目实施过程中全力保障县政协十四届三次会议的顺利召开。一是结全工作实际情况，责任到人，将经费按月列出支出时间表，使各项支出有计划的开展，提高了预算执行率。二是加强督促检查。对于重大项目支出召开主席会研究决定</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发现的问题及：1、每年1月份做绩效目标申报，实施方案及实施范围于1月份开会确定，资金于4月份到位，第一季度基本无支出，影响预算执行均衡性。2、绩效评价注重事中、事后，绩效评价制度不健全</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下一步改进措施：一是科学地做好支出进度安排，并在实施过程加强监督，加快支出进度，争取每月支出达到相对均衡。二是进一步完美绩效评价制度及管理办法</w:t>
      </w:r>
      <w:r>
        <w:rPr>
          <w:rFonts w:hint="eastAsia" w:ascii="仿宋_GB2312" w:hAnsi="仿宋_GB2312" w:eastAsia="仿宋_GB2312" w:cs="仿宋_GB2312"/>
          <w:b w:val="0"/>
          <w:color w:val="auto"/>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02（款）04（项）指：政协会议。221（类）02（款）01（项）指：住房公积金。201（类）02（款）99（项）指：其他政协事务支出。201（类）02（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FE1A68"/>
    <w:rsid w:val="03AA79F6"/>
    <w:rsid w:val="04741FE5"/>
    <w:rsid w:val="048531F1"/>
    <w:rsid w:val="04DB02C7"/>
    <w:rsid w:val="06B856EE"/>
    <w:rsid w:val="07FE5938"/>
    <w:rsid w:val="08001467"/>
    <w:rsid w:val="084604BC"/>
    <w:rsid w:val="08883825"/>
    <w:rsid w:val="09725983"/>
    <w:rsid w:val="0A382BB5"/>
    <w:rsid w:val="0AA4543A"/>
    <w:rsid w:val="0BE61132"/>
    <w:rsid w:val="0C9B0DD6"/>
    <w:rsid w:val="0CE4791C"/>
    <w:rsid w:val="0E063C64"/>
    <w:rsid w:val="0E17165C"/>
    <w:rsid w:val="0F4C7B96"/>
    <w:rsid w:val="0FFB575E"/>
    <w:rsid w:val="10845F1B"/>
    <w:rsid w:val="11463A00"/>
    <w:rsid w:val="11600918"/>
    <w:rsid w:val="11B0398F"/>
    <w:rsid w:val="13B960C5"/>
    <w:rsid w:val="152777F4"/>
    <w:rsid w:val="15C674B6"/>
    <w:rsid w:val="18D54A0D"/>
    <w:rsid w:val="197E3B6A"/>
    <w:rsid w:val="1A4106A0"/>
    <w:rsid w:val="1A4F5437"/>
    <w:rsid w:val="1AB77CD0"/>
    <w:rsid w:val="1AE50A50"/>
    <w:rsid w:val="1C9B607C"/>
    <w:rsid w:val="1E807156"/>
    <w:rsid w:val="1EA657F6"/>
    <w:rsid w:val="1F097CB6"/>
    <w:rsid w:val="2166156B"/>
    <w:rsid w:val="217F7B52"/>
    <w:rsid w:val="21B02D83"/>
    <w:rsid w:val="22607B09"/>
    <w:rsid w:val="22A236F5"/>
    <w:rsid w:val="231D7A17"/>
    <w:rsid w:val="235109AD"/>
    <w:rsid w:val="23995975"/>
    <w:rsid w:val="2432220E"/>
    <w:rsid w:val="248303BA"/>
    <w:rsid w:val="24837E47"/>
    <w:rsid w:val="252E01AA"/>
    <w:rsid w:val="2680023E"/>
    <w:rsid w:val="28FC1CDF"/>
    <w:rsid w:val="29680352"/>
    <w:rsid w:val="2A020F75"/>
    <w:rsid w:val="2A33348D"/>
    <w:rsid w:val="2A746E36"/>
    <w:rsid w:val="2AD12AC8"/>
    <w:rsid w:val="2B007AEE"/>
    <w:rsid w:val="2BC14C56"/>
    <w:rsid w:val="2C1B026F"/>
    <w:rsid w:val="2CC24E10"/>
    <w:rsid w:val="2CC61F55"/>
    <w:rsid w:val="2EF7452F"/>
    <w:rsid w:val="2F1D13B4"/>
    <w:rsid w:val="2FAA3DA6"/>
    <w:rsid w:val="30682E1F"/>
    <w:rsid w:val="30E210D2"/>
    <w:rsid w:val="311371D6"/>
    <w:rsid w:val="31903600"/>
    <w:rsid w:val="31EB64C9"/>
    <w:rsid w:val="336D0D6F"/>
    <w:rsid w:val="352E4BEC"/>
    <w:rsid w:val="37174EDA"/>
    <w:rsid w:val="37DD5594"/>
    <w:rsid w:val="38F24FA8"/>
    <w:rsid w:val="3A98342A"/>
    <w:rsid w:val="3AB6780E"/>
    <w:rsid w:val="3AD56D70"/>
    <w:rsid w:val="3B2920C2"/>
    <w:rsid w:val="3BE41ABD"/>
    <w:rsid w:val="3C5421A9"/>
    <w:rsid w:val="3D903B21"/>
    <w:rsid w:val="3DC73A19"/>
    <w:rsid w:val="3F440741"/>
    <w:rsid w:val="3F876B36"/>
    <w:rsid w:val="40AB62D2"/>
    <w:rsid w:val="41FC306C"/>
    <w:rsid w:val="44BE5554"/>
    <w:rsid w:val="451E0908"/>
    <w:rsid w:val="452C2D31"/>
    <w:rsid w:val="45D26E14"/>
    <w:rsid w:val="46A541B1"/>
    <w:rsid w:val="48C57772"/>
    <w:rsid w:val="49782886"/>
    <w:rsid w:val="4A661EF7"/>
    <w:rsid w:val="4A6F0D28"/>
    <w:rsid w:val="4AAF085C"/>
    <w:rsid w:val="4AEB7E60"/>
    <w:rsid w:val="4B4B135B"/>
    <w:rsid w:val="4B733D5F"/>
    <w:rsid w:val="4BC7055F"/>
    <w:rsid w:val="4CFC7DB2"/>
    <w:rsid w:val="4E2C6291"/>
    <w:rsid w:val="4E7C187D"/>
    <w:rsid w:val="508941AD"/>
    <w:rsid w:val="50E65530"/>
    <w:rsid w:val="51457139"/>
    <w:rsid w:val="51574DBD"/>
    <w:rsid w:val="51EC1DA8"/>
    <w:rsid w:val="52FC5524"/>
    <w:rsid w:val="532D7A17"/>
    <w:rsid w:val="54AF4562"/>
    <w:rsid w:val="54C9674B"/>
    <w:rsid w:val="556318EA"/>
    <w:rsid w:val="55A60AA1"/>
    <w:rsid w:val="56451615"/>
    <w:rsid w:val="57F2149E"/>
    <w:rsid w:val="57FC5774"/>
    <w:rsid w:val="58CE701B"/>
    <w:rsid w:val="59B332C9"/>
    <w:rsid w:val="5A44758A"/>
    <w:rsid w:val="5AA96A52"/>
    <w:rsid w:val="5B655A9B"/>
    <w:rsid w:val="5BEC4BB3"/>
    <w:rsid w:val="5C070B55"/>
    <w:rsid w:val="5CB96DCE"/>
    <w:rsid w:val="5CE61580"/>
    <w:rsid w:val="5D175666"/>
    <w:rsid w:val="5D556A3C"/>
    <w:rsid w:val="5D7B25C9"/>
    <w:rsid w:val="5D8D6F21"/>
    <w:rsid w:val="5ECB44B4"/>
    <w:rsid w:val="5EE2043C"/>
    <w:rsid w:val="602D2E37"/>
    <w:rsid w:val="610A06AE"/>
    <w:rsid w:val="61460FBE"/>
    <w:rsid w:val="62775810"/>
    <w:rsid w:val="62D83744"/>
    <w:rsid w:val="630F4048"/>
    <w:rsid w:val="63AA02E5"/>
    <w:rsid w:val="64700DE9"/>
    <w:rsid w:val="65C613BD"/>
    <w:rsid w:val="65FD118C"/>
    <w:rsid w:val="671F7E68"/>
    <w:rsid w:val="67CB03D2"/>
    <w:rsid w:val="682C3D89"/>
    <w:rsid w:val="68611305"/>
    <w:rsid w:val="6A162DE0"/>
    <w:rsid w:val="6A2C6FC1"/>
    <w:rsid w:val="6A331428"/>
    <w:rsid w:val="6B2E5CB6"/>
    <w:rsid w:val="6B3D4886"/>
    <w:rsid w:val="6DF8675E"/>
    <w:rsid w:val="6E784AED"/>
    <w:rsid w:val="6EA80098"/>
    <w:rsid w:val="6F8D70FF"/>
    <w:rsid w:val="6FFE5011"/>
    <w:rsid w:val="7178734D"/>
    <w:rsid w:val="71791096"/>
    <w:rsid w:val="717B0C34"/>
    <w:rsid w:val="71FB78FD"/>
    <w:rsid w:val="7219773F"/>
    <w:rsid w:val="722617D7"/>
    <w:rsid w:val="724E14F1"/>
    <w:rsid w:val="7275064A"/>
    <w:rsid w:val="733F750B"/>
    <w:rsid w:val="735702E2"/>
    <w:rsid w:val="765F635A"/>
    <w:rsid w:val="76737557"/>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2020-04-05T04:38:43Z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