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附件1：</w:t>
      </w:r>
    </w:p>
    <w:p>
      <w:pPr>
        <w:spacing w:line="540" w:lineRule="exact"/>
        <w:rPr>
          <w:rFonts w:ascii="方正小标宋_GBK" w:hAnsi="宋体" w:eastAsia="方正小标宋_GBK"/>
          <w:sz w:val="44"/>
          <w:szCs w:val="44"/>
        </w:rPr>
      </w:pPr>
    </w:p>
    <w:p>
      <w:pPr>
        <w:spacing w:line="540" w:lineRule="exact"/>
        <w:jc w:val="center"/>
        <w:rPr>
          <w:rFonts w:hint="eastAsia" w:ascii="方正小标宋_GBK" w:hAnsi="宋体" w:eastAsia="方正小标宋_GBK"/>
          <w:b/>
          <w:bCs/>
          <w:sz w:val="44"/>
          <w:szCs w:val="44"/>
        </w:rPr>
      </w:pPr>
      <w:r>
        <w:rPr>
          <w:rFonts w:hint="eastAsia" w:ascii="方正小标宋_GBK" w:hAnsi="宋体" w:eastAsia="方正小标宋_GBK"/>
          <w:b/>
          <w:bCs/>
          <w:sz w:val="44"/>
          <w:szCs w:val="44"/>
        </w:rPr>
        <w:t>2018年度新疆喀什地区塔什库尔干县公安局部门决算公开说明</w:t>
      </w:r>
    </w:p>
    <w:p>
      <w:pPr>
        <w:spacing w:line="540" w:lineRule="exact"/>
        <w:rPr>
          <w:rFonts w:ascii="仿宋_GB2312" w:hAnsi="宋体" w:eastAsia="仿宋_GB2312"/>
          <w:b w:val="0"/>
          <w:bCs w:val="0"/>
          <w:sz w:val="44"/>
          <w:szCs w:val="44"/>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w:t>
      </w:r>
      <w:r>
        <w:rPr>
          <w:rFonts w:hint="eastAsia" w:ascii="黑体" w:hAnsi="黑体" w:eastAsia="黑体"/>
          <w:bCs/>
          <w:kern w:val="0"/>
          <w:sz w:val="32"/>
          <w:szCs w:val="32"/>
          <w:lang w:val="en-US" w:eastAsia="zh-CN"/>
        </w:rPr>
        <w:t xml:space="preserve"> </w:t>
      </w:r>
      <w:r>
        <w:rPr>
          <w:rFonts w:hint="eastAsia" w:ascii="黑体" w:hAnsi="黑体" w:eastAsia="黑体"/>
          <w:bCs/>
          <w:kern w:val="0"/>
          <w:sz w:val="32"/>
          <w:szCs w:val="32"/>
        </w:rPr>
        <w:t>录</w:t>
      </w:r>
    </w:p>
    <w:p>
      <w:pPr>
        <w:spacing w:line="540" w:lineRule="exact"/>
        <w:rPr>
          <w:rFonts w:ascii="仿宋_GB2312" w:hAnsi="宋体" w:eastAsia="仿宋_GB2312"/>
          <w:b/>
          <w:kern w:val="0"/>
          <w:sz w:val="32"/>
          <w:szCs w:val="32"/>
        </w:rPr>
      </w:pPr>
    </w:p>
    <w:p>
      <w:pPr>
        <w:spacing w:line="540" w:lineRule="exact"/>
        <w:ind w:firstLine="640" w:firstLineChars="200"/>
        <w:rPr>
          <w:rFonts w:hint="eastAsia" w:ascii="黑体" w:hAnsi="黑体" w:eastAsia="黑体"/>
          <w:kern w:val="0"/>
          <w:sz w:val="44"/>
          <w:szCs w:val="44"/>
          <w:lang w:val="en-US" w:eastAsia="zh-CN"/>
        </w:rPr>
      </w:pPr>
      <w:r>
        <w:rPr>
          <w:rFonts w:hint="eastAsia" w:ascii="黑体" w:hAnsi="黑体" w:eastAsia="黑体"/>
          <w:kern w:val="0"/>
          <w:sz w:val="32"/>
          <w:szCs w:val="32"/>
        </w:rPr>
        <w:t>第一部分部门单位概况</w:t>
      </w:r>
      <w:r>
        <w:rPr>
          <w:rFonts w:hint="eastAsia" w:ascii="黑体" w:hAnsi="黑体" w:eastAsia="黑体"/>
          <w:kern w:val="0"/>
          <w:sz w:val="32"/>
          <w:szCs w:val="32"/>
          <w:lang w:eastAsia="zh-CN"/>
        </w:rPr>
        <w:t>公安局部门</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黑体" w:hAnsi="黑体" w:eastAsia="仿宋_GB2312" w:cs="宋体"/>
          <w:bCs/>
          <w:kern w:val="0"/>
          <w:sz w:val="32"/>
          <w:szCs w:val="32"/>
          <w:lang w:eastAsia="zh-CN"/>
        </w:rPr>
      </w:pPr>
      <w:r>
        <w:rPr>
          <w:rFonts w:hint="eastAsia" w:ascii="仿宋_GB2312" w:eastAsia="仿宋_GB2312"/>
          <w:sz w:val="32"/>
          <w:szCs w:val="32"/>
        </w:rPr>
        <w:t>塔什库尔干塔吉克自治县公安局是主管全县公安工作的政府工作部门，是不同于一般行政机关的具有武装性质的国家治安行政管理和刑事执法部门。主要有以下职责。</w:t>
      </w:r>
      <w:r>
        <w:rPr>
          <w:rFonts w:hint="eastAsia" w:ascii="仿宋_GB2312" w:eastAsia="仿宋_GB2312"/>
          <w:sz w:val="32"/>
          <w:szCs w:val="32"/>
        </w:rPr>
        <w:br w:type="textWrapping"/>
      </w:r>
      <w:r>
        <w:rPr>
          <w:rFonts w:hint="eastAsia" w:ascii="仿宋_GB2312" w:eastAsia="仿宋_GB2312"/>
          <w:sz w:val="32"/>
          <w:szCs w:val="32"/>
        </w:rPr>
        <w:t>1、贯彻执行党中央、国务院和各级党委、政府关于公安工作的路线、方针、政策和法律法规，组织、指导、检查、监督全县公安工作。</w:t>
      </w:r>
      <w:r>
        <w:rPr>
          <w:rFonts w:hint="eastAsia" w:ascii="仿宋_GB2312" w:eastAsia="仿宋_GB2312"/>
          <w:sz w:val="32"/>
          <w:szCs w:val="32"/>
        </w:rPr>
        <w:br w:type="textWrapping"/>
      </w:r>
      <w:r>
        <w:rPr>
          <w:rFonts w:hint="eastAsia" w:ascii="仿宋_GB2312" w:eastAsia="仿宋_GB2312"/>
          <w:sz w:val="32"/>
          <w:szCs w:val="32"/>
        </w:rPr>
        <w:t>2、负责接报警和指挥处警工作。</w:t>
      </w:r>
      <w:r>
        <w:rPr>
          <w:rFonts w:hint="eastAsia" w:ascii="仿宋_GB2312" w:eastAsia="仿宋_GB2312"/>
          <w:sz w:val="32"/>
          <w:szCs w:val="32"/>
        </w:rPr>
        <w:br w:type="textWrapping"/>
      </w:r>
      <w:r>
        <w:rPr>
          <w:rFonts w:hint="eastAsia" w:ascii="仿宋_GB2312" w:eastAsia="仿宋_GB2312"/>
          <w:sz w:val="32"/>
          <w:szCs w:val="32"/>
        </w:rPr>
        <w:t>3、负责国内安全保卫、反邪教等工作，出入境管理和辖区内境外人员日常管理工作。</w:t>
      </w:r>
      <w:r>
        <w:rPr>
          <w:rFonts w:hint="eastAsia" w:ascii="仿宋_GB2312" w:eastAsia="仿宋_GB2312"/>
          <w:sz w:val="32"/>
          <w:szCs w:val="32"/>
        </w:rPr>
        <w:br w:type="textWrapping"/>
      </w:r>
      <w:r>
        <w:rPr>
          <w:rFonts w:hint="eastAsia" w:ascii="仿宋_GB2312" w:eastAsia="仿宋_GB2312"/>
          <w:sz w:val="32"/>
          <w:szCs w:val="32"/>
        </w:rPr>
        <w:t>4、负责刑事侦查、经济犯罪侦查工作。</w:t>
      </w:r>
      <w:r>
        <w:rPr>
          <w:rFonts w:hint="eastAsia" w:ascii="仿宋_GB2312" w:eastAsia="仿宋_GB2312"/>
          <w:sz w:val="32"/>
          <w:szCs w:val="32"/>
        </w:rPr>
        <w:br w:type="textWrapping"/>
      </w:r>
      <w:r>
        <w:rPr>
          <w:rFonts w:hint="eastAsia" w:ascii="仿宋_GB2312" w:eastAsia="仿宋_GB2312"/>
          <w:sz w:val="32"/>
          <w:szCs w:val="32"/>
        </w:rPr>
        <w:t>5、负责禁种、禁贩、禁吸毒品工作和涉及毒品案件侦查工作，承担县级禁毒委员会的日常工作。</w:t>
      </w:r>
      <w:r>
        <w:rPr>
          <w:rFonts w:hint="eastAsia" w:ascii="仿宋_GB2312" w:eastAsia="仿宋_GB2312"/>
          <w:sz w:val="32"/>
          <w:szCs w:val="32"/>
        </w:rPr>
        <w:br w:type="textWrapping"/>
      </w:r>
      <w:r>
        <w:rPr>
          <w:rFonts w:hint="eastAsia" w:ascii="仿宋_GB2312" w:eastAsia="仿宋_GB2312"/>
          <w:sz w:val="32"/>
          <w:szCs w:val="32"/>
        </w:rPr>
        <w:t>6、负责公安机关贯彻执行道路交通安全管理法规，负责公安机关依法查处道路交通违法行为和交通事故，维护交通秩序和公路治安秩序、机动车辆安全检验、牌证发放和驾驶员考核。</w:t>
      </w:r>
      <w:r>
        <w:rPr>
          <w:rFonts w:hint="eastAsia" w:ascii="仿宋_GB2312" w:eastAsia="仿宋_GB2312"/>
          <w:sz w:val="32"/>
          <w:szCs w:val="32"/>
        </w:rPr>
        <w:br w:type="textWrapping"/>
      </w:r>
      <w:r>
        <w:rPr>
          <w:rFonts w:hint="eastAsia" w:ascii="仿宋_GB2312" w:eastAsia="仿宋_GB2312"/>
          <w:sz w:val="32"/>
          <w:szCs w:val="32"/>
        </w:rPr>
        <w:t>7、组织、实施消防工作，实行消防监督。</w:t>
      </w:r>
      <w:r>
        <w:rPr>
          <w:rFonts w:hint="eastAsia" w:ascii="仿宋_GB2312" w:eastAsia="仿宋_GB2312"/>
          <w:sz w:val="32"/>
          <w:szCs w:val="32"/>
        </w:rPr>
        <w:br w:type="textWrapping"/>
      </w:r>
      <w:r>
        <w:rPr>
          <w:rFonts w:hint="eastAsia" w:ascii="仿宋_GB2312" w:eastAsia="仿宋_GB2312"/>
          <w:sz w:val="32"/>
          <w:szCs w:val="32"/>
        </w:rPr>
        <w:t>8、管理户政、国籍、入境出境事务和外国人在中国境内居留、旅行的有关事务。</w:t>
      </w:r>
      <w:r>
        <w:rPr>
          <w:rFonts w:hint="eastAsia" w:ascii="仿宋_GB2312" w:eastAsia="仿宋_GB2312"/>
          <w:sz w:val="32"/>
          <w:szCs w:val="32"/>
        </w:rPr>
        <w:br w:type="textWrapping"/>
      </w:r>
      <w:r>
        <w:rPr>
          <w:rFonts w:hint="eastAsia" w:ascii="仿宋_GB2312" w:eastAsia="仿宋_GB2312"/>
          <w:sz w:val="32"/>
          <w:szCs w:val="32"/>
        </w:rPr>
        <w:t>9、维护社会治安秩序，制止危害社会治安秩序的行为。</w:t>
      </w:r>
      <w:r>
        <w:rPr>
          <w:rFonts w:hint="eastAsia" w:ascii="仿宋_GB2312" w:eastAsia="仿宋_GB2312"/>
          <w:sz w:val="32"/>
          <w:szCs w:val="32"/>
        </w:rPr>
        <w:br w:type="textWrapping"/>
      </w:r>
      <w:r>
        <w:rPr>
          <w:rFonts w:hint="eastAsia" w:ascii="仿宋_GB2312" w:eastAsia="仿宋_GB2312"/>
          <w:sz w:val="32"/>
          <w:szCs w:val="32"/>
        </w:rPr>
        <w:t>10、负责对公共场所、特种行业的管理，依法对社会上吸毒、卖淫嫖娼、赌博等违法活动进行治理。</w:t>
      </w:r>
      <w:r>
        <w:rPr>
          <w:rFonts w:hint="eastAsia" w:ascii="仿宋_GB2312" w:eastAsia="仿宋_GB2312"/>
          <w:sz w:val="32"/>
          <w:szCs w:val="32"/>
        </w:rPr>
        <w:br w:type="textWrapping"/>
      </w:r>
      <w:r>
        <w:rPr>
          <w:rFonts w:hint="eastAsia" w:ascii="仿宋_GB2312" w:eastAsia="仿宋_GB2312"/>
          <w:sz w:val="32"/>
          <w:szCs w:val="32"/>
        </w:rPr>
        <w:t>11、管理枪支弹药、管制刀具和易燃易爆、剧毒、放射性等危险物品。</w:t>
      </w:r>
      <w:r>
        <w:rPr>
          <w:rFonts w:hint="eastAsia" w:ascii="仿宋_GB2312" w:eastAsia="仿宋_GB2312"/>
          <w:sz w:val="32"/>
          <w:szCs w:val="32"/>
        </w:rPr>
        <w:br w:type="textWrapping"/>
      </w:r>
      <w:r>
        <w:rPr>
          <w:rFonts w:hint="eastAsia" w:ascii="仿宋_GB2312" w:eastAsia="仿宋_GB2312"/>
          <w:sz w:val="32"/>
          <w:szCs w:val="32"/>
        </w:rPr>
        <w:t>12、负责车站、广场、街道及校园周边等社会面的巡逻防控和突发事件应急处置工作。</w:t>
      </w:r>
      <w:r>
        <w:rPr>
          <w:rFonts w:hint="eastAsia" w:ascii="仿宋_GB2312" w:eastAsia="仿宋_GB2312"/>
          <w:sz w:val="32"/>
          <w:szCs w:val="32"/>
        </w:rPr>
        <w:br w:type="textWrapping"/>
      </w:r>
      <w:r>
        <w:rPr>
          <w:rFonts w:hint="eastAsia" w:ascii="仿宋_GB2312" w:eastAsia="仿宋_GB2312"/>
          <w:sz w:val="32"/>
          <w:szCs w:val="32"/>
        </w:rPr>
        <w:t>13、负责服务群众和警务支援工作。</w:t>
      </w:r>
      <w:r>
        <w:rPr>
          <w:rFonts w:hint="eastAsia" w:ascii="仿宋_GB2312" w:eastAsia="仿宋_GB2312"/>
          <w:sz w:val="32"/>
          <w:szCs w:val="32"/>
        </w:rPr>
        <w:br w:type="textWrapping"/>
      </w:r>
      <w:r>
        <w:rPr>
          <w:rFonts w:hint="eastAsia" w:ascii="仿宋_GB2312" w:eastAsia="仿宋_GB2312"/>
          <w:sz w:val="32"/>
          <w:szCs w:val="32"/>
        </w:rPr>
        <w:t>14、负责组织实施信息网络和互联网的安全保卫管理工作。</w:t>
      </w:r>
      <w:r>
        <w:rPr>
          <w:rFonts w:hint="eastAsia" w:ascii="仿宋_GB2312" w:eastAsia="仿宋_GB2312"/>
          <w:sz w:val="32"/>
          <w:szCs w:val="32"/>
        </w:rPr>
        <w:br w:type="textWrapping"/>
      </w:r>
      <w:r>
        <w:rPr>
          <w:rFonts w:hint="eastAsia" w:ascii="仿宋_GB2312" w:eastAsia="仿宋_GB2312"/>
          <w:sz w:val="32"/>
          <w:szCs w:val="32"/>
        </w:rPr>
        <w:t>15、及时制止、查处街面各类犯罪活动。</w:t>
      </w:r>
      <w:r>
        <w:rPr>
          <w:rFonts w:hint="eastAsia" w:ascii="仿宋_GB2312" w:eastAsia="仿宋_GB2312"/>
          <w:sz w:val="32"/>
          <w:szCs w:val="32"/>
        </w:rPr>
        <w:br w:type="textWrapping"/>
      </w:r>
      <w:r>
        <w:rPr>
          <w:rFonts w:hint="eastAsia" w:ascii="仿宋_GB2312" w:eastAsia="仿宋_GB2312"/>
          <w:sz w:val="32"/>
          <w:szCs w:val="32"/>
        </w:rPr>
        <w:t>16、负责辖区内法律法规宣传工作，及时调节辖区内群众纠纷。</w:t>
      </w:r>
      <w:r>
        <w:rPr>
          <w:rFonts w:hint="eastAsia" w:ascii="仿宋_GB2312" w:eastAsia="仿宋_GB2312"/>
          <w:sz w:val="32"/>
          <w:szCs w:val="32"/>
        </w:rPr>
        <w:br w:type="textWrapping"/>
      </w:r>
      <w:r>
        <w:rPr>
          <w:rFonts w:hint="eastAsia" w:ascii="仿宋_GB2312" w:eastAsia="仿宋_GB2312"/>
          <w:sz w:val="32"/>
          <w:szCs w:val="32"/>
        </w:rPr>
        <w:t>17、管理集会、游行、示威活动。</w:t>
      </w:r>
      <w:r>
        <w:rPr>
          <w:rFonts w:hint="eastAsia" w:ascii="仿宋_GB2312" w:eastAsia="仿宋_GB2312"/>
          <w:sz w:val="32"/>
          <w:szCs w:val="32"/>
        </w:rPr>
        <w:br w:type="textWrapping"/>
      </w:r>
      <w:r>
        <w:rPr>
          <w:rFonts w:hint="eastAsia" w:ascii="仿宋_GB2312" w:eastAsia="仿宋_GB2312"/>
          <w:sz w:val="32"/>
          <w:szCs w:val="32"/>
        </w:rPr>
        <w:t>18、警卫国家规定的特定人员，守卫重要的场所和设施。</w:t>
      </w:r>
      <w:r>
        <w:rPr>
          <w:rFonts w:hint="eastAsia" w:ascii="仿宋_GB2312" w:eastAsia="仿宋_GB2312"/>
          <w:sz w:val="32"/>
          <w:szCs w:val="32"/>
        </w:rPr>
        <w:br w:type="textWrapping"/>
      </w:r>
      <w:r>
        <w:rPr>
          <w:rFonts w:hint="eastAsia" w:ascii="仿宋_GB2312" w:eastAsia="仿宋_GB2312"/>
          <w:sz w:val="32"/>
          <w:szCs w:val="32"/>
        </w:rPr>
        <w:t>19、负责承担被判处拘役、有期徒刑、缓刑、管制、剥夺政治权利和被假释犯的监督考察任务。</w:t>
      </w:r>
      <w:r>
        <w:rPr>
          <w:rFonts w:hint="eastAsia" w:ascii="仿宋_GB2312" w:eastAsia="仿宋_GB2312"/>
          <w:sz w:val="32"/>
          <w:szCs w:val="32"/>
        </w:rPr>
        <w:br w:type="textWrapping"/>
      </w:r>
      <w:r>
        <w:rPr>
          <w:rFonts w:hint="eastAsia" w:ascii="仿宋_GB2312" w:eastAsia="仿宋_GB2312"/>
          <w:sz w:val="32"/>
          <w:szCs w:val="32"/>
        </w:rPr>
        <w:t>20、法律、法规规定的其他职责。</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新疆喀什地区塔什库尔干县公安局</w:t>
      </w:r>
      <w:r>
        <w:rPr>
          <w:rFonts w:hint="eastAsia" w:ascii="仿宋_GB2312" w:eastAsia="仿宋_GB2312"/>
          <w:sz w:val="32"/>
          <w:szCs w:val="32"/>
        </w:rPr>
        <w:t>部门决算包括：</w:t>
      </w:r>
      <w:r>
        <w:rPr>
          <w:rFonts w:ascii="仿宋_GB2312" w:eastAsia="仿宋_GB2312"/>
          <w:sz w:val="32"/>
          <w:szCs w:val="32"/>
        </w:rPr>
        <w:t>新疆喀什地区塔什库尔干县公安局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新疆喀什地区塔什库尔干县公安局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6"/>
        <w:gridCol w:w="6994"/>
        <w:gridCol w:w="14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1016" w:type="dxa"/>
            <w:vAlign w:val="center"/>
          </w:tcPr>
          <w:p>
            <w:pPr>
              <w:spacing w:line="500" w:lineRule="exact"/>
              <w:rPr>
                <w:rFonts w:hint="eastAsia" w:ascii="仿宋_GB2312" w:eastAsia="仿宋_GB2312"/>
                <w:color w:val="000000" w:themeColor="text1"/>
                <w:sz w:val="32"/>
                <w:szCs w:val="32"/>
                <w:lang w:val="en-US" w:eastAsia="zh-CN"/>
              </w:rPr>
            </w:pPr>
            <w:r>
              <w:rPr>
                <w:rFonts w:hint="eastAsia" w:ascii="仿宋_GB2312" w:eastAsia="仿宋_GB2312"/>
                <w:color w:val="000000" w:themeColor="text1"/>
                <w:sz w:val="32"/>
                <w:szCs w:val="32"/>
                <w:lang w:val="en-US" w:eastAsia="zh-CN"/>
              </w:rPr>
              <w:t>序号</w:t>
            </w:r>
          </w:p>
        </w:tc>
        <w:tc>
          <w:tcPr>
            <w:tcW w:w="6994" w:type="dxa"/>
            <w:vAlign w:val="center"/>
          </w:tcPr>
          <w:p>
            <w:pPr>
              <w:spacing w:line="500" w:lineRule="exact"/>
              <w:ind w:firstLine="1280" w:firstLineChars="4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1454" w:type="dxa"/>
            <w:vAlign w:val="center"/>
          </w:tcPr>
          <w:p>
            <w:pPr>
              <w:spacing w:line="500" w:lineRule="exact"/>
              <w:ind w:firstLine="320" w:firstLineChars="1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6" w:type="dxa"/>
          </w:tcPr>
          <w:p>
            <w:pPr>
              <w:pageBreakBefore w:val="0"/>
              <w:spacing w:line="500" w:lineRule="exact"/>
              <w:ind w:firstLine="420" w:firstLineChars="200"/>
              <w:jc w:val="left"/>
              <w:textAlignment w:val="auto"/>
              <w:rPr>
                <w:rFonts w:hint="eastAsia" w:eastAsia="宋体"/>
                <w:lang w:val="en-US" w:eastAsia="zh-CN"/>
              </w:rPr>
            </w:pPr>
            <w:r>
              <w:rPr>
                <w:rFonts w:hint="eastAsia"/>
                <w:lang w:val="en-US" w:eastAsia="zh-CN"/>
              </w:rPr>
              <w:t>1</w:t>
            </w:r>
          </w:p>
        </w:tc>
        <w:tc>
          <w:tcPr>
            <w:tcW w:w="6994" w:type="dxa"/>
          </w:tcPr>
          <w:p>
            <w:pPr>
              <w:pageBreakBefore w:val="0"/>
              <w:spacing w:line="500" w:lineRule="exact"/>
              <w:jc w:val="left"/>
              <w:textAlignment w:val="auto"/>
            </w:pPr>
            <w:r>
              <w:rPr>
                <w:rFonts w:ascii="Times New Roman" w:hAnsi="Times New Roman" w:eastAsia="Times New Roman" w:cs="Times New Roman"/>
                <w:b w:val="0"/>
                <w:i w:val="0"/>
                <w:strike w:val="0"/>
                <w:color w:val="auto"/>
                <w:position w:val="-1"/>
                <w:sz w:val="32"/>
                <w:u w:val="none"/>
              </w:rPr>
              <w:t>新疆喀什地区塔什库尔干县公安局</w:t>
            </w:r>
          </w:p>
        </w:tc>
        <w:tc>
          <w:tcPr>
            <w:tcW w:w="1454" w:type="dxa"/>
            <w:vAlign w:val="center"/>
          </w:tcPr>
          <w:p>
            <w:pPr>
              <w:pageBreakBefore w:val="0"/>
              <w:spacing w:line="500" w:lineRule="exact"/>
              <w:ind w:firstLine="420" w:firstLineChars="200"/>
              <w:jc w:val="left"/>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6" w:type="dxa"/>
          </w:tcPr>
          <w:p>
            <w:pPr>
              <w:pageBreakBefore w:val="0"/>
              <w:spacing w:line="500" w:lineRule="exact"/>
              <w:ind w:firstLine="420" w:firstLineChars="200"/>
              <w:jc w:val="left"/>
              <w:textAlignment w:val="auto"/>
              <w:rPr>
                <w:rFonts w:hint="eastAsia" w:eastAsia="宋体"/>
                <w:lang w:val="en-US" w:eastAsia="zh-CN"/>
              </w:rPr>
            </w:pPr>
            <w:r>
              <w:rPr>
                <w:rFonts w:hint="eastAsia"/>
                <w:lang w:val="en-US" w:eastAsia="zh-CN"/>
              </w:rPr>
              <w:t>2</w:t>
            </w:r>
          </w:p>
        </w:tc>
        <w:tc>
          <w:tcPr>
            <w:tcW w:w="6994" w:type="dxa"/>
          </w:tcPr>
          <w:p>
            <w:pPr>
              <w:pageBreakBefore w:val="0"/>
              <w:spacing w:line="500" w:lineRule="exact"/>
              <w:jc w:val="left"/>
              <w:textAlignment w:val="auto"/>
            </w:pPr>
            <w:r>
              <w:rPr>
                <w:rFonts w:ascii="Times New Roman" w:hAnsi="Times New Roman" w:eastAsia="Times New Roman" w:cs="Times New Roman"/>
                <w:b w:val="0"/>
                <w:i w:val="0"/>
                <w:strike w:val="0"/>
                <w:color w:val="auto"/>
                <w:position w:val="-1"/>
                <w:sz w:val="32"/>
                <w:u w:val="none"/>
              </w:rPr>
              <w:t>塔什库尔干塔吉克自治县公安局塔什库尔干镇派出所</w:t>
            </w:r>
          </w:p>
        </w:tc>
        <w:tc>
          <w:tcPr>
            <w:tcW w:w="1454" w:type="dxa"/>
            <w:vAlign w:val="center"/>
          </w:tcPr>
          <w:p>
            <w:pPr>
              <w:pageBreakBefore w:val="0"/>
              <w:spacing w:line="500" w:lineRule="exact"/>
              <w:ind w:firstLine="420" w:firstLineChars="200"/>
              <w:jc w:val="left"/>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6" w:type="dxa"/>
          </w:tcPr>
          <w:p>
            <w:pPr>
              <w:pageBreakBefore w:val="0"/>
              <w:spacing w:line="500" w:lineRule="exact"/>
              <w:jc w:val="left"/>
              <w:textAlignment w:val="auto"/>
              <w:rPr>
                <w:rFonts w:hint="default" w:eastAsia="宋体"/>
                <w:lang w:val="en-US" w:eastAsia="zh-CN"/>
              </w:rPr>
            </w:pPr>
            <w:r>
              <w:rPr>
                <w:rFonts w:hint="eastAsia"/>
                <w:lang w:val="en-US" w:eastAsia="zh-CN"/>
              </w:rPr>
              <w:t>3</w:t>
            </w:r>
          </w:p>
        </w:tc>
        <w:tc>
          <w:tcPr>
            <w:tcW w:w="6994" w:type="dxa"/>
          </w:tcPr>
          <w:p>
            <w:pPr>
              <w:pageBreakBefore w:val="0"/>
              <w:spacing w:line="500" w:lineRule="exact"/>
              <w:jc w:val="left"/>
              <w:textAlignment w:val="auto"/>
            </w:pPr>
            <w:r>
              <w:rPr>
                <w:rFonts w:ascii="Times New Roman" w:hAnsi="Times New Roman" w:eastAsia="Times New Roman" w:cs="Times New Roman"/>
                <w:b w:val="0"/>
                <w:i w:val="0"/>
                <w:strike w:val="0"/>
                <w:color w:val="auto"/>
                <w:position w:val="-1"/>
                <w:sz w:val="32"/>
                <w:u w:val="none"/>
              </w:rPr>
              <w:t>塔什库尔干塔吉克自治县公安局塔吉克阿巴提派出所</w:t>
            </w:r>
          </w:p>
        </w:tc>
        <w:tc>
          <w:tcPr>
            <w:tcW w:w="1454" w:type="dxa"/>
            <w:vAlign w:val="center"/>
          </w:tcPr>
          <w:p>
            <w:pPr>
              <w:pageBreakBefore w:val="0"/>
              <w:spacing w:line="500" w:lineRule="exact"/>
              <w:ind w:firstLine="420" w:firstLineChars="200"/>
              <w:jc w:val="left"/>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6" w:type="dxa"/>
          </w:tcPr>
          <w:p>
            <w:pPr>
              <w:pageBreakBefore w:val="0"/>
              <w:spacing w:line="500" w:lineRule="exact"/>
              <w:ind w:firstLine="420" w:firstLineChars="200"/>
              <w:jc w:val="left"/>
              <w:textAlignment w:val="auto"/>
              <w:rPr>
                <w:rFonts w:hint="eastAsia" w:eastAsia="宋体"/>
                <w:lang w:val="en-US" w:eastAsia="zh-CN"/>
              </w:rPr>
            </w:pPr>
            <w:r>
              <w:rPr>
                <w:rFonts w:hint="eastAsia"/>
                <w:lang w:val="en-US" w:eastAsia="zh-CN"/>
              </w:rPr>
              <w:t>4</w:t>
            </w:r>
          </w:p>
        </w:tc>
        <w:tc>
          <w:tcPr>
            <w:tcW w:w="6994" w:type="dxa"/>
          </w:tcPr>
          <w:p>
            <w:pPr>
              <w:pageBreakBefore w:val="0"/>
              <w:spacing w:line="500" w:lineRule="exact"/>
              <w:jc w:val="left"/>
              <w:textAlignment w:val="auto"/>
            </w:pPr>
            <w:r>
              <w:rPr>
                <w:rFonts w:ascii="Times New Roman" w:hAnsi="Times New Roman" w:eastAsia="Times New Roman" w:cs="Times New Roman"/>
                <w:b w:val="0"/>
                <w:i w:val="0"/>
                <w:strike w:val="0"/>
                <w:color w:val="auto"/>
                <w:position w:val="-1"/>
                <w:sz w:val="32"/>
                <w:u w:val="none"/>
              </w:rPr>
              <w:t>塔什库尔干塔吉克自治县公安局库科西鲁格派出所</w:t>
            </w:r>
          </w:p>
        </w:tc>
        <w:tc>
          <w:tcPr>
            <w:tcW w:w="1454" w:type="dxa"/>
            <w:vAlign w:val="center"/>
          </w:tcPr>
          <w:p>
            <w:pPr>
              <w:pageBreakBefore w:val="0"/>
              <w:spacing w:line="500" w:lineRule="exact"/>
              <w:ind w:firstLine="420" w:firstLineChars="200"/>
              <w:jc w:val="left"/>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6" w:type="dxa"/>
          </w:tcPr>
          <w:p>
            <w:pPr>
              <w:pageBreakBefore w:val="0"/>
              <w:spacing w:line="500" w:lineRule="exact"/>
              <w:jc w:val="left"/>
              <w:textAlignment w:val="auto"/>
              <w:rPr>
                <w:rFonts w:hint="default" w:eastAsia="宋体"/>
                <w:lang w:val="en-US" w:eastAsia="zh-CN"/>
              </w:rPr>
            </w:pPr>
            <w:r>
              <w:rPr>
                <w:rFonts w:hint="eastAsia"/>
                <w:lang w:val="en-US" w:eastAsia="zh-CN"/>
              </w:rPr>
              <w:t>5</w:t>
            </w:r>
          </w:p>
        </w:tc>
        <w:tc>
          <w:tcPr>
            <w:tcW w:w="6994" w:type="dxa"/>
          </w:tcPr>
          <w:p>
            <w:pPr>
              <w:pageBreakBefore w:val="0"/>
              <w:spacing w:line="500" w:lineRule="exact"/>
              <w:jc w:val="left"/>
              <w:textAlignment w:val="auto"/>
            </w:pPr>
            <w:r>
              <w:rPr>
                <w:rFonts w:ascii="Times New Roman" w:hAnsi="Times New Roman" w:eastAsia="Times New Roman" w:cs="Times New Roman"/>
                <w:b w:val="0"/>
                <w:i w:val="0"/>
                <w:strike w:val="0"/>
                <w:color w:val="auto"/>
                <w:position w:val="-1"/>
                <w:sz w:val="32"/>
                <w:u w:val="none"/>
              </w:rPr>
              <w:t>塔什库尔干塔吉克自治县公安局班迪尔派出所</w:t>
            </w:r>
          </w:p>
        </w:tc>
        <w:tc>
          <w:tcPr>
            <w:tcW w:w="1454" w:type="dxa"/>
            <w:vAlign w:val="center"/>
          </w:tcPr>
          <w:p>
            <w:pPr>
              <w:pageBreakBefore w:val="0"/>
              <w:spacing w:line="500" w:lineRule="exact"/>
              <w:ind w:firstLine="420" w:firstLineChars="200"/>
              <w:jc w:val="left"/>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6" w:type="dxa"/>
          </w:tcPr>
          <w:p>
            <w:pPr>
              <w:pageBreakBefore w:val="0"/>
              <w:spacing w:line="500" w:lineRule="exact"/>
              <w:jc w:val="left"/>
              <w:textAlignment w:val="auto"/>
              <w:rPr>
                <w:rFonts w:hint="default" w:eastAsia="宋体"/>
                <w:lang w:val="en-US" w:eastAsia="zh-CN"/>
              </w:rPr>
            </w:pPr>
            <w:r>
              <w:rPr>
                <w:rFonts w:hint="eastAsia"/>
                <w:lang w:val="en-US" w:eastAsia="zh-CN"/>
              </w:rPr>
              <w:t>6</w:t>
            </w:r>
          </w:p>
        </w:tc>
        <w:tc>
          <w:tcPr>
            <w:tcW w:w="6994" w:type="dxa"/>
          </w:tcPr>
          <w:p>
            <w:pPr>
              <w:pageBreakBefore w:val="0"/>
              <w:spacing w:line="500" w:lineRule="exact"/>
              <w:jc w:val="left"/>
              <w:textAlignment w:val="auto"/>
            </w:pPr>
            <w:r>
              <w:rPr>
                <w:rFonts w:ascii="Times New Roman" w:hAnsi="Times New Roman" w:eastAsia="Times New Roman" w:cs="Times New Roman"/>
                <w:b w:val="0"/>
                <w:i w:val="0"/>
                <w:strike w:val="0"/>
                <w:color w:val="auto"/>
                <w:position w:val="-1"/>
                <w:sz w:val="32"/>
                <w:u w:val="none"/>
              </w:rPr>
              <w:t>塔什库尔干塔吉克自治县公安局马尔洋派出所</w:t>
            </w:r>
          </w:p>
        </w:tc>
        <w:tc>
          <w:tcPr>
            <w:tcW w:w="1454" w:type="dxa"/>
            <w:vAlign w:val="center"/>
          </w:tcPr>
          <w:p>
            <w:pPr>
              <w:pageBreakBefore w:val="0"/>
              <w:spacing w:line="500" w:lineRule="exact"/>
              <w:ind w:firstLine="420" w:firstLineChars="200"/>
              <w:jc w:val="left"/>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6" w:type="dxa"/>
          </w:tcPr>
          <w:p>
            <w:pPr>
              <w:pageBreakBefore w:val="0"/>
              <w:spacing w:line="500" w:lineRule="exact"/>
              <w:ind w:firstLine="420" w:firstLineChars="200"/>
              <w:jc w:val="left"/>
              <w:textAlignment w:val="auto"/>
              <w:rPr>
                <w:rFonts w:hint="eastAsia" w:eastAsia="宋体"/>
                <w:lang w:val="en-US" w:eastAsia="zh-CN"/>
              </w:rPr>
            </w:pPr>
            <w:r>
              <w:rPr>
                <w:rFonts w:hint="eastAsia"/>
                <w:lang w:val="en-US" w:eastAsia="zh-CN"/>
              </w:rPr>
              <w:t>7</w:t>
            </w:r>
          </w:p>
        </w:tc>
        <w:tc>
          <w:tcPr>
            <w:tcW w:w="6994" w:type="dxa"/>
          </w:tcPr>
          <w:p>
            <w:pPr>
              <w:pageBreakBefore w:val="0"/>
              <w:spacing w:line="500" w:lineRule="exact"/>
              <w:jc w:val="left"/>
              <w:textAlignment w:val="auto"/>
            </w:pPr>
            <w:r>
              <w:rPr>
                <w:rFonts w:ascii="Times New Roman" w:hAnsi="Times New Roman" w:eastAsia="Times New Roman" w:cs="Times New Roman"/>
                <w:b w:val="0"/>
                <w:i w:val="0"/>
                <w:strike w:val="0"/>
                <w:color w:val="auto"/>
                <w:position w:val="-1"/>
                <w:sz w:val="32"/>
                <w:u w:val="none"/>
              </w:rPr>
              <w:t>塔什库尔干塔吉克自治县看守所</w:t>
            </w:r>
          </w:p>
        </w:tc>
        <w:tc>
          <w:tcPr>
            <w:tcW w:w="1454" w:type="dxa"/>
            <w:vAlign w:val="center"/>
          </w:tcPr>
          <w:p>
            <w:pPr>
              <w:pageBreakBefore w:val="0"/>
              <w:spacing w:line="500" w:lineRule="exact"/>
              <w:ind w:firstLine="420" w:firstLineChars="200"/>
              <w:jc w:val="left"/>
              <w:textAlignment w:val="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16" w:type="dxa"/>
          </w:tcPr>
          <w:p>
            <w:pPr>
              <w:pageBreakBefore w:val="0"/>
              <w:spacing w:line="500" w:lineRule="exact"/>
              <w:ind w:firstLine="420" w:firstLineChars="200"/>
              <w:jc w:val="left"/>
              <w:textAlignment w:val="auto"/>
              <w:rPr>
                <w:rFonts w:hint="eastAsia" w:eastAsia="宋体"/>
                <w:lang w:val="en-US" w:eastAsia="zh-CN"/>
              </w:rPr>
            </w:pPr>
            <w:r>
              <w:rPr>
                <w:rFonts w:hint="eastAsia"/>
                <w:lang w:val="en-US" w:eastAsia="zh-CN"/>
              </w:rPr>
              <w:t>8</w:t>
            </w:r>
          </w:p>
        </w:tc>
        <w:tc>
          <w:tcPr>
            <w:tcW w:w="6994" w:type="dxa"/>
          </w:tcPr>
          <w:p>
            <w:pPr>
              <w:pageBreakBefore w:val="0"/>
              <w:spacing w:line="500" w:lineRule="exact"/>
              <w:jc w:val="left"/>
              <w:textAlignment w:val="auto"/>
            </w:pPr>
            <w:r>
              <w:rPr>
                <w:rFonts w:ascii="Times New Roman" w:hAnsi="Times New Roman" w:eastAsia="Times New Roman" w:cs="Times New Roman"/>
                <w:b w:val="0"/>
                <w:i w:val="0"/>
                <w:strike w:val="0"/>
                <w:color w:val="auto"/>
                <w:position w:val="-1"/>
                <w:sz w:val="32"/>
                <w:u w:val="none"/>
              </w:rPr>
              <w:t>塔什库尔干塔吉克自治县拘留所</w:t>
            </w:r>
          </w:p>
        </w:tc>
        <w:tc>
          <w:tcPr>
            <w:tcW w:w="1454"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4,291.72</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，与上年相比，减少1,604.08万元，下降27.21%，减少的主要原因是：</w:t>
      </w:r>
      <w:r>
        <w:rPr>
          <w:rFonts w:hint="eastAsia" w:ascii="仿宋_GB2312" w:eastAsia="仿宋_GB2312"/>
          <w:color w:val="000000" w:themeColor="text1"/>
          <w:sz w:val="32"/>
          <w:szCs w:val="32"/>
        </w:rPr>
        <w:t>2018年减少指挥部经费，消防大队、武警中队办公经费以及专项设备购置经费，导致2018年收入比上年大幅度减少；</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4,291.72</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，与上年相比，减少1,604.08万元，下降27.21%，减少的主要原因是：</w:t>
      </w:r>
      <w:r>
        <w:rPr>
          <w:rFonts w:hint="eastAsia" w:ascii="仿宋_GB2312" w:eastAsia="仿宋_GB2312"/>
          <w:color w:val="000000" w:themeColor="text1"/>
          <w:sz w:val="32"/>
          <w:szCs w:val="32"/>
        </w:rPr>
        <w:t>2018年减少指挥部经费，消防大队、武警中队办公经费以及专项设备购置经费，导致2018年支出比上年大幅度减少；</w:t>
      </w:r>
      <w:bookmarkEnd w:id="7"/>
      <w:bookmarkStart w:id="8" w:name="OLE_LINK54"/>
      <w:r>
        <w:rPr>
          <w:rFonts w:hint="eastAsia" w:ascii="仿宋_GB2312" w:eastAsia="仿宋_GB2312"/>
          <w:color w:val="000000"/>
          <w:sz w:val="32"/>
          <w:szCs w:val="32"/>
        </w:rPr>
        <w:t>结余</w:t>
      </w:r>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w:t>
      </w:r>
      <w:r>
        <w:rPr>
          <w:rFonts w:hint="eastAsia" w:ascii="仿宋_GB2312" w:eastAsia="仿宋_GB2312"/>
          <w:sz w:val="32"/>
          <w:szCs w:val="32"/>
        </w:rPr>
        <w:t>增加0万元，增长0%，</w:t>
      </w:r>
      <w:r>
        <w:rPr>
          <w:rFonts w:hint="eastAsia" w:ascii="仿宋_GB2312" w:eastAsia="仿宋_GB2312"/>
          <w:sz w:val="32"/>
          <w:szCs w:val="32"/>
          <w:lang w:eastAsia="zh-CN"/>
        </w:rPr>
        <w:t>增减变化的</w:t>
      </w:r>
      <w:r>
        <w:rPr>
          <w:rFonts w:hint="eastAsia" w:ascii="仿宋_GB2312" w:eastAsia="仿宋_GB2312"/>
          <w:sz w:val="32"/>
          <w:szCs w:val="32"/>
        </w:rPr>
        <w:t>主要原因是：</w:t>
      </w:r>
      <w:r>
        <w:rPr>
          <w:rFonts w:hint="eastAsia" w:ascii="仿宋_GB2312" w:eastAsia="仿宋_GB2312"/>
          <w:sz w:val="32"/>
          <w:szCs w:val="32"/>
          <w:lang w:val="en-US" w:eastAsia="zh-CN"/>
        </w:rPr>
        <w:t>本年与上年均</w:t>
      </w:r>
      <w:r>
        <w:rPr>
          <w:rFonts w:ascii="仿宋_GB2312" w:eastAsia="仿宋_GB2312"/>
          <w:color w:val="000000"/>
          <w:sz w:val="32"/>
          <w:szCs w:val="32"/>
        </w:rPr>
        <w:t>无</w:t>
      </w:r>
      <w:r>
        <w:rPr>
          <w:rFonts w:hint="eastAsia" w:ascii="仿宋_GB2312" w:eastAsia="仿宋_GB2312"/>
          <w:color w:val="000000"/>
          <w:sz w:val="32"/>
          <w:szCs w:val="32"/>
          <w:lang w:eastAsia="zh-CN"/>
        </w:rPr>
        <w:t>结余资金</w:t>
      </w:r>
      <w:r>
        <w:rPr>
          <w:rFonts w:ascii="仿宋_GB2312" w:eastAsia="仿宋_GB2312"/>
          <w:color w:val="000000"/>
          <w:sz w:val="32"/>
          <w:szCs w:val="32"/>
        </w:rPr>
        <w:t>。</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4,291.72</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4,291.72</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况：本年收入年初预算数3,727.08万元</w:t>
      </w:r>
      <w:r>
        <w:rPr>
          <w:rFonts w:hint="eastAsia" w:ascii="仿宋_GB2312" w:eastAsia="仿宋_GB2312"/>
          <w:sz w:val="32"/>
          <w:szCs w:val="32"/>
        </w:rPr>
        <w:t>，决算数4,291.72万元</w:t>
      </w:r>
      <w:r>
        <w:rPr>
          <w:rFonts w:ascii="仿宋_GB2312" w:eastAsia="仿宋_GB2312"/>
          <w:sz w:val="32"/>
          <w:szCs w:val="32"/>
        </w:rPr>
        <w:t>，预决算差异率15.15%，差异主要原因是2018年增加中央政法转移支付资金，打报告增加居住证制证设备购置款、非法采矿案鉴定费，各类政策性调资等年初未</w:t>
      </w:r>
      <w:r>
        <w:rPr>
          <w:rFonts w:hint="eastAsia" w:ascii="仿宋_GB2312" w:eastAsia="仿宋_GB2312"/>
          <w:sz w:val="32"/>
          <w:szCs w:val="32"/>
          <w:lang w:val="en-US" w:eastAsia="zh-CN"/>
        </w:rPr>
        <w:t>纳入</w:t>
      </w:r>
      <w:r>
        <w:rPr>
          <w:rFonts w:ascii="仿宋_GB2312" w:eastAsia="仿宋_GB2312"/>
          <w:sz w:val="32"/>
          <w:szCs w:val="32"/>
        </w:rPr>
        <w:t>预算导致本年决算数比预算数增加。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4,291.72</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3,167.22</w:t>
      </w:r>
      <w:r>
        <w:rPr>
          <w:rFonts w:hint="eastAsia" w:ascii="仿宋_GB2312" w:eastAsia="仿宋_GB2312"/>
          <w:color w:val="000000" w:themeColor="text1"/>
          <w:sz w:val="32"/>
          <w:szCs w:val="32"/>
        </w:rPr>
        <w:t>万元，占</w:t>
      </w:r>
      <w:r>
        <w:rPr>
          <w:rFonts w:hint="eastAsia" w:ascii="仿宋_GB2312" w:eastAsia="仿宋_GB2312"/>
          <w:sz w:val="32"/>
          <w:szCs w:val="32"/>
        </w:rPr>
        <w:t>73.8%</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1,124.5</w:t>
      </w:r>
      <w:r>
        <w:rPr>
          <w:rFonts w:hint="eastAsia" w:ascii="仿宋_GB2312" w:eastAsia="仿宋_GB2312"/>
          <w:color w:val="000000" w:themeColor="text1"/>
          <w:sz w:val="32"/>
          <w:szCs w:val="32"/>
        </w:rPr>
        <w:t>万元，占</w:t>
      </w:r>
      <w:r>
        <w:rPr>
          <w:rFonts w:hint="eastAsia" w:ascii="仿宋_GB2312" w:eastAsia="仿宋_GB2312"/>
          <w:sz w:val="32"/>
          <w:szCs w:val="32"/>
        </w:rPr>
        <w:t>26.2%</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与年初预算数相比情况：本年支出年初预算数3,727.08万元，</w:t>
      </w:r>
      <w:r>
        <w:rPr>
          <w:rFonts w:hint="eastAsia" w:ascii="仿宋_GB2312" w:eastAsia="仿宋_GB2312"/>
          <w:sz w:val="32"/>
          <w:szCs w:val="32"/>
        </w:rPr>
        <w:t>决算数4,291.72万元</w:t>
      </w:r>
      <w:r>
        <w:rPr>
          <w:rFonts w:ascii="仿宋_GB2312" w:eastAsia="仿宋_GB2312"/>
          <w:sz w:val="32"/>
          <w:szCs w:val="32"/>
        </w:rPr>
        <w:t>，预决算差异率15.15%，差异主要原因是</w:t>
      </w:r>
      <w:bookmarkEnd w:id="22"/>
      <w:r>
        <w:rPr>
          <w:rFonts w:ascii="仿宋_GB2312" w:eastAsia="仿宋_GB2312"/>
          <w:sz w:val="32"/>
          <w:szCs w:val="32"/>
        </w:rPr>
        <w:t>2018年增加中央政法转移支付资金，打报告增加居住证制证设备购置款、非法采矿案鉴定费，各类政策性调资等年初未</w:t>
      </w:r>
      <w:r>
        <w:rPr>
          <w:rFonts w:hint="eastAsia" w:ascii="仿宋_GB2312" w:eastAsia="仿宋_GB2312"/>
          <w:sz w:val="32"/>
          <w:szCs w:val="32"/>
          <w:lang w:val="en-US" w:eastAsia="zh-CN"/>
        </w:rPr>
        <w:t>纳入</w:t>
      </w:r>
      <w:r>
        <w:rPr>
          <w:rFonts w:ascii="仿宋_GB2312" w:eastAsia="仿宋_GB2312"/>
          <w:sz w:val="32"/>
          <w:szCs w:val="32"/>
        </w:rPr>
        <w:t>预算导致本年决算数比预算数增加。</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hint="eastAsia" w:ascii="仿宋_GB2312" w:eastAsia="仿宋_GB2312"/>
          <w:sz w:val="32"/>
          <w:szCs w:val="32"/>
          <w:lang w:val="en-US" w:eastAsia="zh-CN"/>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4,291.72</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，与上年相比，减少1,604.08万元，下降27.21%，减少的主要原因是：2018年减少指挥部经费，专项设备购置经费及各类政策性调资，导致2018年财政拨款收入比上年大幅度减少。</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4,291.72</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，与上年相比，减少1,604.08万元，下降27.21%，减少的主要原因是：</w:t>
      </w:r>
      <w:r>
        <w:rPr>
          <w:rFonts w:ascii="仿宋_GB2312" w:eastAsia="仿宋_GB2312"/>
          <w:sz w:val="32"/>
          <w:szCs w:val="32"/>
        </w:rPr>
        <w:t>2018年减少指挥部经费，专项设备购置经费及各类政策性调资，导致2018年财政拨款支出比上年大幅度减少。</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3,167.22</w:t>
      </w:r>
      <w:r>
        <w:rPr>
          <w:rFonts w:hint="eastAsia" w:ascii="仿宋_GB2312" w:eastAsia="仿宋_GB2312"/>
          <w:color w:val="000000" w:themeColor="text1"/>
          <w:sz w:val="32"/>
          <w:szCs w:val="32"/>
        </w:rPr>
        <w:t>万元，项目支出</w:t>
      </w:r>
      <w:r>
        <w:rPr>
          <w:rFonts w:hint="eastAsia" w:ascii="仿宋_GB2312" w:eastAsia="仿宋_GB2312"/>
          <w:sz w:val="32"/>
          <w:szCs w:val="32"/>
        </w:rPr>
        <w:t>1,124.5</w:t>
      </w:r>
      <w:r>
        <w:rPr>
          <w:rFonts w:hint="eastAsia" w:ascii="仿宋_GB2312" w:eastAsia="仿宋_GB2312"/>
          <w:color w:val="000000" w:themeColor="text1"/>
          <w:sz w:val="32"/>
          <w:szCs w:val="32"/>
        </w:rPr>
        <w:t>万元。</w:t>
      </w:r>
      <w:bookmarkEnd w:id="29"/>
      <w:bookmarkStart w:id="31" w:name="OLE_LINK16"/>
      <w:bookmarkStart w:id="32" w:name="OLE_LINK62"/>
      <w:r>
        <w:rPr>
          <w:rFonts w:hint="eastAsia" w:ascii="仿宋_GB2312" w:eastAsia="仿宋_GB2312"/>
          <w:color w:val="000000"/>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，与上年相比</w:t>
      </w:r>
      <w:r>
        <w:rPr>
          <w:rFonts w:hint="eastAsia" w:ascii="仿宋_GB2312" w:eastAsia="仿宋_GB2312"/>
          <w:sz w:val="32"/>
          <w:szCs w:val="32"/>
          <w:lang w:val="en-US" w:eastAsia="zh-CN"/>
        </w:rPr>
        <w:t>,增加0万元，增长0%，增加的主要原因是：本年与上年均无结转结余资金。</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3,727.08</w:t>
      </w:r>
      <w:r>
        <w:rPr>
          <w:rFonts w:hint="eastAsia" w:ascii="仿宋_GB2312" w:eastAsia="仿宋_GB2312"/>
          <w:color w:val="000000" w:themeColor="text1"/>
          <w:sz w:val="32"/>
          <w:szCs w:val="32"/>
        </w:rPr>
        <w:t>万元，决算数</w:t>
      </w:r>
      <w:r>
        <w:rPr>
          <w:rFonts w:hint="eastAsia" w:ascii="仿宋_GB2312" w:eastAsia="仿宋_GB2312"/>
          <w:sz w:val="32"/>
          <w:szCs w:val="32"/>
        </w:rPr>
        <w:t>4,291.72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，预决算差异率15.15%，差异主要原因是</w:t>
      </w:r>
      <w:r>
        <w:rPr>
          <w:rFonts w:ascii="仿宋_GB2312" w:eastAsia="仿宋_GB2312"/>
          <w:sz w:val="32"/>
          <w:szCs w:val="32"/>
        </w:rPr>
        <w:t>2018年增加中央政法转移支付资金，打报告增加居住证制证设备购置款、非法采矿案鉴定费，各类政策性调资等年初未</w:t>
      </w:r>
      <w:r>
        <w:rPr>
          <w:rFonts w:hint="eastAsia" w:ascii="仿宋_GB2312" w:eastAsia="仿宋_GB2312"/>
          <w:sz w:val="32"/>
          <w:szCs w:val="32"/>
          <w:lang w:val="en-US" w:eastAsia="zh-CN"/>
        </w:rPr>
        <w:t>纳入</w:t>
      </w:r>
      <w:r>
        <w:rPr>
          <w:rFonts w:ascii="仿宋_GB2312" w:eastAsia="仿宋_GB2312"/>
          <w:sz w:val="32"/>
          <w:szCs w:val="32"/>
        </w:rPr>
        <w:t>预算导致本年决算数比预算数增加</w:t>
      </w:r>
      <w:r>
        <w:rPr>
          <w:rFonts w:ascii="仿宋_GB2312" w:eastAsia="仿宋_GB2312"/>
          <w:color w:val="000000" w:themeColor="text1"/>
          <w:sz w:val="32"/>
          <w:szCs w:val="32"/>
        </w:rPr>
        <w:t>。</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3,727.08</w:t>
      </w:r>
      <w:r>
        <w:rPr>
          <w:rFonts w:hint="eastAsia" w:ascii="仿宋_GB2312" w:eastAsia="仿宋_GB2312"/>
          <w:color w:val="000000" w:themeColor="text1"/>
          <w:sz w:val="32"/>
          <w:szCs w:val="32"/>
        </w:rPr>
        <w:t>万元，决算数</w:t>
      </w:r>
      <w:r>
        <w:rPr>
          <w:rFonts w:hint="eastAsia" w:ascii="仿宋_GB2312" w:eastAsia="仿宋_GB2312"/>
          <w:sz w:val="32"/>
          <w:szCs w:val="32"/>
        </w:rPr>
        <w:t>4,291.72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，预决算差异率15.15%，差异主要原因是</w:t>
      </w:r>
      <w:bookmarkEnd w:id="33"/>
      <w:r>
        <w:rPr>
          <w:rFonts w:ascii="仿宋_GB2312" w:eastAsia="仿宋_GB2312"/>
          <w:sz w:val="32"/>
          <w:szCs w:val="32"/>
        </w:rPr>
        <w:t>2018年增加中央政法转移支付资金，打报告增加居住证制证设备购置款、非法采矿案鉴定费，各类政策性调资等年初未</w:t>
      </w:r>
      <w:r>
        <w:rPr>
          <w:rFonts w:hint="eastAsia" w:ascii="仿宋_GB2312" w:eastAsia="仿宋_GB2312"/>
          <w:sz w:val="32"/>
          <w:szCs w:val="32"/>
          <w:lang w:val="en-US" w:eastAsia="zh-CN"/>
        </w:rPr>
        <w:t>纳入</w:t>
      </w:r>
      <w:r>
        <w:rPr>
          <w:rFonts w:ascii="仿宋_GB2312" w:eastAsia="仿宋_GB2312"/>
          <w:sz w:val="32"/>
          <w:szCs w:val="32"/>
        </w:rPr>
        <w:t>预算导致本年决算数比预算数增加。</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4,291.72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，与上年相比，减少1,604.08万元，下降27.21%，减少的主要原因是：2018年减少指挥部经费，消防大队、武警中队办公经费及专用设备经费。</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4,291.72</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，与上年相比，减少1,604.08万元，下降27.21%，减少的主要原因是：2018年减少指挥部经费，消防大队、武警中队办公经费及专用设备经费。</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住房保障支出174.84万元,公共安全支出3,896.98万元,社会保障和就业支出219.89万元。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工资福利支出2,731.08万元,商品和服务支出450.66万元,对个人和家庭的补助368.23万元,资本性支出741.74万元。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3,727.08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4,291.72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，预决算差异率15.15%，差异主要原因是2018年增加中央政法转移支付资金，武警中队保障性经费、居住证制证设备购置以及各类政策性调资补发年初未做预算导致2018年财政拨款收入比年初预算数大幅度增加。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3,727.08</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4,291.72</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，预决算差异率15.15%，差异主要原因是2018年增加中央政法转移支付资金，武警中队保障性经费、居住证制证设备购置以及各类政策性调资补发年初未做预算导致2018年财政拨款收入比年初预算数大幅度增加。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2"/>
      <w:bookmarkStart w:id="50" w:name="OLE_LINK71"/>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，预决算差异率0%，差异主要原因是无变化。</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hint="eastAsia" w:ascii="仿宋_GB2312" w:eastAsia="仿宋_GB2312"/>
          <w:color w:val="000000"/>
          <w:sz w:val="32"/>
          <w:szCs w:val="32"/>
        </w:rPr>
      </w:pPr>
      <w:r>
        <w:rPr>
          <w:rFonts w:hint="eastAsia" w:ascii="仿宋_GB2312" w:eastAsia="仿宋_GB2312"/>
          <w:color w:val="000000"/>
          <w:sz w:val="32"/>
          <w:szCs w:val="32"/>
        </w:rPr>
        <w:t>年末结转结余0万元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eastAsia="zh-CN"/>
        </w:rPr>
        <w:t>，</w:t>
      </w:r>
      <w:r>
        <w:rPr>
          <w:rFonts w:hint="eastAsia" w:ascii="仿宋_GB2312" w:eastAsia="仿宋_GB2312"/>
          <w:color w:val="000000"/>
          <w:sz w:val="32"/>
          <w:szCs w:val="32"/>
        </w:rPr>
        <w:t>增加0万元，增长0%。</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sz w:val="32"/>
          <w:szCs w:val="32"/>
        </w:rPr>
      </w:pPr>
      <w:r>
        <w:rPr>
          <w:rFonts w:hint="eastAsia" w:ascii="仿宋_GB2312" w:eastAsia="仿宋_GB2312"/>
          <w:color w:val="000000"/>
          <w:sz w:val="32"/>
          <w:szCs w:val="32"/>
        </w:rPr>
        <w:t>其中财政拨款结转结余0万元</w:t>
      </w:r>
      <w:r>
        <w:rPr>
          <w:rFonts w:hint="eastAsia" w:ascii="仿宋_GB2312" w:eastAsia="仿宋_GB2312"/>
          <w:color w:val="000000"/>
          <w:sz w:val="32"/>
          <w:szCs w:val="32"/>
          <w:lang w:eastAsia="zh-CN"/>
        </w:rPr>
        <w:t>。</w:t>
      </w:r>
      <w:r>
        <w:rPr>
          <w:rFonts w:hint="eastAsia" w:ascii="仿宋_GB2312" w:eastAsia="仿宋_GB2312"/>
          <w:color w:val="000000"/>
          <w:sz w:val="32"/>
          <w:szCs w:val="32"/>
        </w:rPr>
        <w:t>与上年相比</w:t>
      </w:r>
      <w:r>
        <w:rPr>
          <w:rFonts w:hint="eastAsia" w:ascii="仿宋_GB2312" w:eastAsia="仿宋_GB2312"/>
          <w:color w:val="000000"/>
          <w:sz w:val="32"/>
          <w:szCs w:val="32"/>
          <w:lang w:val="en-US" w:eastAsia="zh-CN"/>
        </w:rPr>
        <w:t>,</w:t>
      </w:r>
      <w:r>
        <w:rPr>
          <w:rFonts w:hint="eastAsia" w:ascii="仿宋_GB2312" w:eastAsia="仿宋_GB2312"/>
          <w:color w:val="000000"/>
          <w:sz w:val="32"/>
          <w:szCs w:val="32"/>
        </w:rPr>
        <w:t>增加0万元，增长0%。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bookmarkStart w:id="52" w:name="OLE_LINK74"/>
      <w:r>
        <w:rPr>
          <w:rFonts w:hint="eastAsia" w:ascii="仿宋_GB2312" w:eastAsia="仿宋_GB2312"/>
          <w:color w:val="000000" w:themeColor="text1"/>
          <w:sz w:val="32"/>
          <w:szCs w:val="32"/>
        </w:rPr>
        <w:t>2018年度</w:t>
      </w:r>
      <w:bookmarkStart w:id="53" w:name="OLE_LINK29"/>
      <w:r>
        <w:rPr>
          <w:rFonts w:hint="eastAsia" w:ascii="仿宋_GB2312" w:eastAsia="仿宋_GB2312"/>
          <w:color w:val="000000" w:themeColor="text1"/>
          <w:sz w:val="32"/>
          <w:szCs w:val="32"/>
        </w:rPr>
        <w:t>一般公共预算“三公”经费支出决算</w:t>
      </w:r>
      <w:bookmarkEnd w:id="53"/>
      <w:r>
        <w:rPr>
          <w:rFonts w:hint="eastAsia" w:ascii="仿宋_GB2312" w:eastAsia="仿宋_GB2312"/>
          <w:sz w:val="32"/>
          <w:szCs w:val="32"/>
        </w:rPr>
        <w:t>2.13</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，与上年相比，减少0.01万元，下降0.47%，减少的主要原因是：</w:t>
      </w:r>
      <w:r>
        <w:rPr>
          <w:rFonts w:hint="eastAsia" w:ascii="仿宋_GB2312" w:eastAsia="仿宋_GB2312"/>
          <w:color w:val="000000" w:themeColor="text1"/>
          <w:sz w:val="32"/>
          <w:szCs w:val="32"/>
        </w:rPr>
        <w:t>按照</w:t>
      </w:r>
      <w:r>
        <w:rPr>
          <w:rFonts w:hint="eastAsia" w:ascii="仿宋_GB2312" w:eastAsia="仿宋_GB2312"/>
          <w:color w:val="000000" w:themeColor="text1"/>
          <w:sz w:val="32"/>
          <w:szCs w:val="32"/>
          <w:lang w:eastAsia="zh-CN"/>
        </w:rPr>
        <w:t>“三公”经费管理办法（试行）规定，确保“三公”经费“零增长”目标的实现</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压缩公务用车外出频率，减少车辆损耗，降低车辆运行维护费等支出</w:t>
      </w:r>
      <w:r>
        <w:rPr>
          <w:rFonts w:hint="eastAsia" w:ascii="仿宋_GB2312" w:eastAsia="仿宋_GB2312"/>
          <w:sz w:val="32"/>
          <w:szCs w:val="32"/>
        </w:rPr>
        <w:t>。</w:t>
      </w:r>
      <w:bookmarkEnd w:id="52"/>
      <w:bookmarkStart w:id="54" w:name="OLE_LINK75"/>
      <w:r>
        <w:rPr>
          <w:rFonts w:hint="eastAsia" w:ascii="仿宋_GB2312" w:eastAsia="仿宋_GB2312"/>
          <w:color w:val="000000" w:themeColor="text1"/>
          <w:sz w:val="32"/>
          <w:szCs w:val="32"/>
        </w:rPr>
        <w:t>其中，</w:t>
      </w:r>
      <w:bookmarkStart w:id="55" w:name="OLE_LINK30"/>
      <w:r>
        <w:rPr>
          <w:rFonts w:hint="eastAsia" w:ascii="仿宋_GB2312" w:eastAsia="仿宋_GB2312"/>
          <w:color w:val="000000" w:themeColor="text1"/>
          <w:sz w:val="32"/>
          <w:szCs w:val="32"/>
        </w:rPr>
        <w:t>因公出国（境）费支出</w:t>
      </w:r>
      <w:bookmarkEnd w:id="55"/>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w:t>
      </w:r>
      <w:r>
        <w:rPr>
          <w:rFonts w:hint="eastAsia" w:ascii="仿宋_GB2312" w:eastAsia="仿宋_GB2312"/>
          <w:sz w:val="32"/>
          <w:szCs w:val="32"/>
          <w:highlight w:val="none"/>
          <w:lang w:val="en-US" w:eastAsia="zh-CN"/>
        </w:rPr>
        <w:t>0万元，</w:t>
      </w:r>
      <w:r>
        <w:rPr>
          <w:rFonts w:hint="eastAsia" w:ascii="仿宋_GB2312" w:eastAsia="仿宋_GB2312"/>
          <w:sz w:val="32"/>
          <w:szCs w:val="32"/>
        </w:rPr>
        <w:t>下降</w:t>
      </w:r>
      <w:r>
        <w:rPr>
          <w:rFonts w:hint="eastAsia" w:ascii="仿宋_GB2312" w:eastAsia="仿宋_GB2312"/>
          <w:sz w:val="32"/>
          <w:szCs w:val="32"/>
          <w:highlight w:val="none"/>
          <w:lang w:val="en-US" w:eastAsia="zh-CN"/>
        </w:rPr>
        <w:t>0%，</w:t>
      </w:r>
      <w:r>
        <w:rPr>
          <w:rFonts w:hint="eastAsia" w:ascii="仿宋_GB2312" w:eastAsia="仿宋_GB2312"/>
          <w:sz w:val="32"/>
          <w:szCs w:val="32"/>
        </w:rPr>
        <w:t>减少的主要原因是：</w:t>
      </w:r>
      <w:r>
        <w:rPr>
          <w:rFonts w:ascii="仿宋_GB2312" w:eastAsia="仿宋_GB2312"/>
          <w:color w:val="000000"/>
          <w:sz w:val="32"/>
          <w:szCs w:val="32"/>
        </w:rPr>
        <w:t>本单位无因公出国（境）费支出</w:t>
      </w:r>
      <w:r>
        <w:rPr>
          <w:rFonts w:hint="eastAsia" w:ascii="仿宋_GB2312" w:eastAsia="仿宋_GB2312"/>
          <w:sz w:val="32"/>
          <w:szCs w:val="32"/>
        </w:rPr>
        <w:t>；</w:t>
      </w:r>
      <w:bookmarkEnd w:id="54"/>
      <w:bookmarkStart w:id="56" w:name="OLE_LINK31"/>
      <w:bookmarkStart w:id="57" w:name="OLE_LINK76"/>
      <w:r>
        <w:rPr>
          <w:rFonts w:hint="eastAsia" w:ascii="仿宋_GB2312" w:eastAsia="仿宋_GB2312"/>
          <w:color w:val="000000" w:themeColor="text1"/>
          <w:sz w:val="32"/>
          <w:szCs w:val="32"/>
        </w:rPr>
        <w:t>公务用车购置及运行维护费支出</w:t>
      </w:r>
      <w:bookmarkEnd w:id="56"/>
      <w:r>
        <w:rPr>
          <w:rFonts w:hint="eastAsia" w:ascii="仿宋_GB2312" w:eastAsia="仿宋_GB2312"/>
          <w:sz w:val="32"/>
          <w:szCs w:val="32"/>
        </w:rPr>
        <w:t>2.13</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100%，与上年相比，减少0.01万元，下降0.47%，减少的主要原因是：</w:t>
      </w:r>
      <w:r>
        <w:rPr>
          <w:rFonts w:hint="eastAsia" w:ascii="仿宋_GB2312" w:eastAsia="仿宋_GB2312"/>
          <w:color w:val="000000" w:themeColor="text1"/>
          <w:sz w:val="32"/>
          <w:szCs w:val="32"/>
        </w:rPr>
        <w:t>按照</w:t>
      </w:r>
      <w:r>
        <w:rPr>
          <w:rFonts w:hint="eastAsia" w:ascii="仿宋_GB2312" w:eastAsia="仿宋_GB2312"/>
          <w:color w:val="000000" w:themeColor="text1"/>
          <w:sz w:val="32"/>
          <w:szCs w:val="32"/>
          <w:lang w:eastAsia="zh-CN"/>
        </w:rPr>
        <w:t>“三公”经费管理办法（试行）规定，确保“三公”经费“零增长”目标的实现</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压缩公务用车外出频率，减少车辆损耗，降低车辆运行维护费等支出</w:t>
      </w:r>
      <w:r>
        <w:rPr>
          <w:rFonts w:hint="eastAsia" w:ascii="仿宋_GB2312" w:eastAsia="仿宋_GB2312"/>
          <w:sz w:val="32"/>
          <w:szCs w:val="32"/>
        </w:rPr>
        <w:t>；</w:t>
      </w:r>
      <w:bookmarkEnd w:id="57"/>
      <w:bookmarkStart w:id="58" w:name="OLE_LINK32"/>
      <w:bookmarkStart w:id="59" w:name="OLE_LINK78"/>
      <w:bookmarkStart w:id="60" w:name="OLE_LINK77"/>
      <w:r>
        <w:rPr>
          <w:rFonts w:hint="eastAsia" w:ascii="仿宋_GB2312" w:eastAsia="仿宋_GB2312"/>
          <w:color w:val="000000" w:themeColor="text1"/>
          <w:sz w:val="32"/>
          <w:szCs w:val="32"/>
        </w:rPr>
        <w:t>公务接待费支出</w:t>
      </w:r>
      <w:bookmarkEnd w:id="58"/>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w:t>
      </w:r>
      <w:r>
        <w:rPr>
          <w:rFonts w:hint="eastAsia" w:ascii="仿宋_GB2312" w:eastAsia="仿宋_GB2312"/>
          <w:sz w:val="32"/>
          <w:szCs w:val="32"/>
          <w:highlight w:val="none"/>
          <w:lang w:val="en-US" w:eastAsia="zh-CN"/>
        </w:rPr>
        <w:t>0万元，</w:t>
      </w:r>
      <w:r>
        <w:rPr>
          <w:rFonts w:hint="eastAsia" w:ascii="仿宋_GB2312" w:eastAsia="仿宋_GB2312"/>
          <w:sz w:val="32"/>
          <w:szCs w:val="32"/>
        </w:rPr>
        <w:t>下降</w:t>
      </w:r>
      <w:r>
        <w:rPr>
          <w:rFonts w:hint="eastAsia" w:ascii="仿宋_GB2312" w:eastAsia="仿宋_GB2312"/>
          <w:sz w:val="32"/>
          <w:szCs w:val="32"/>
          <w:highlight w:val="none"/>
          <w:lang w:val="en-US" w:eastAsia="zh-CN"/>
        </w:rPr>
        <w:t>0%，</w:t>
      </w:r>
      <w:r>
        <w:rPr>
          <w:rFonts w:hint="eastAsia" w:ascii="仿宋_GB2312" w:eastAsia="仿宋_GB2312"/>
          <w:sz w:val="32"/>
          <w:szCs w:val="32"/>
        </w:rPr>
        <w:t>减少的主要原因是：本单位无公务接待费支出。</w:t>
      </w:r>
      <w:bookmarkEnd w:id="59"/>
      <w:bookmarkEnd w:id="60"/>
      <w:r>
        <w:rPr>
          <w:rFonts w:hint="eastAsia" w:ascii="仿宋_GB2312" w:eastAsia="仿宋_GB2312"/>
          <w:color w:val="000000" w:themeColor="text1"/>
          <w:sz w:val="32"/>
          <w:szCs w:val="32"/>
        </w:rPr>
        <w:t>具体情况如下：</w:t>
      </w:r>
    </w:p>
    <w:p>
      <w:pPr>
        <w:keepNext w:val="0"/>
        <w:keepLines w:val="0"/>
        <w:pageBreakBefore w:val="0"/>
        <w:widowControl w:val="0"/>
        <w:kinsoku/>
        <w:wordWrap/>
        <w:overflowPunct/>
        <w:topLinePunct w:val="0"/>
        <w:autoSpaceDE/>
        <w:autoSpaceDN/>
        <w:bidi w:val="0"/>
        <w:adjustRightInd/>
        <w:snapToGrid/>
        <w:spacing w:line="540" w:lineRule="exact"/>
        <w:ind w:left="0" w:leftChars="0" w:right="0" w:rightChars="0" w:firstLine="640" w:firstLineChars="200"/>
        <w:jc w:val="both"/>
        <w:textAlignment w:val="auto"/>
        <w:outlineLvl w:val="9"/>
        <w:rPr>
          <w:rFonts w:ascii="仿宋_GB2312" w:eastAsia="仿宋_GB2312"/>
          <w:color w:val="000000" w:themeColor="text1"/>
          <w:sz w:val="32"/>
          <w:szCs w:val="32"/>
        </w:rPr>
      </w:pPr>
      <w:bookmarkStart w:id="61" w:name="OLE_LINK80"/>
      <w:bookmarkStart w:id="62"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新疆喀什地区塔什库尔干县公安局</w:t>
      </w:r>
      <w:r>
        <w:rPr>
          <w:rFonts w:hint="eastAsia" w:ascii="仿宋_GB2312" w:eastAsia="仿宋_GB2312"/>
          <w:color w:val="000000" w:themeColor="text1"/>
          <w:sz w:val="32"/>
          <w:szCs w:val="32"/>
        </w:rPr>
        <w:t>单位</w:t>
      </w:r>
      <w:bookmarkStart w:id="63" w:name="OLE_LINK33"/>
      <w:r>
        <w:rPr>
          <w:rFonts w:hint="eastAsia" w:ascii="仿宋_GB2312" w:eastAsia="仿宋_GB2312"/>
          <w:color w:val="000000" w:themeColor="text1"/>
          <w:sz w:val="32"/>
          <w:szCs w:val="32"/>
        </w:rPr>
        <w:t>全年</w:t>
      </w:r>
      <w:bookmarkStart w:id="64" w:name="OLE_LINK34"/>
      <w:bookmarkStart w:id="65" w:name="OLE_LINK35"/>
      <w:bookmarkStart w:id="66" w:name="OLE_LINK36"/>
      <w:r>
        <w:rPr>
          <w:rFonts w:hint="eastAsia" w:ascii="仿宋_GB2312" w:eastAsia="仿宋_GB2312"/>
          <w:color w:val="000000" w:themeColor="text1"/>
          <w:sz w:val="32"/>
          <w:szCs w:val="32"/>
        </w:rPr>
        <w:t>使用一般公共预算财政拨款安排的出国（境）团组</w:t>
      </w:r>
      <w:bookmarkEnd w:id="63"/>
      <w:bookmarkEnd w:id="64"/>
      <w:bookmarkEnd w:id="65"/>
      <w:r>
        <w:rPr>
          <w:rFonts w:hint="eastAsia" w:ascii="仿宋_GB2312" w:eastAsia="仿宋_GB2312"/>
          <w:sz w:val="32"/>
          <w:szCs w:val="32"/>
        </w:rPr>
        <w:t>0</w:t>
      </w:r>
      <w:r>
        <w:rPr>
          <w:rFonts w:hint="eastAsia" w:ascii="仿宋_GB2312" w:eastAsia="仿宋_GB2312"/>
          <w:color w:val="000000" w:themeColor="text1"/>
          <w:sz w:val="32"/>
          <w:szCs w:val="32"/>
        </w:rPr>
        <w:t>个</w:t>
      </w:r>
      <w:bookmarkEnd w:id="66"/>
      <w:r>
        <w:rPr>
          <w:rFonts w:hint="eastAsia" w:ascii="仿宋_GB2312" w:eastAsia="仿宋_GB2312"/>
          <w:color w:val="000000" w:themeColor="text1"/>
          <w:sz w:val="32"/>
          <w:szCs w:val="32"/>
        </w:rPr>
        <w:t>，</w:t>
      </w:r>
      <w:bookmarkStart w:id="67"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67"/>
      <w:r>
        <w:rPr>
          <w:rFonts w:hint="eastAsia" w:ascii="仿宋_GB2312" w:eastAsia="仿宋_GB2312"/>
          <w:color w:val="000000" w:themeColor="text1"/>
          <w:sz w:val="32"/>
          <w:szCs w:val="32"/>
        </w:rPr>
        <w:t>。</w:t>
      </w:r>
      <w:bookmarkStart w:id="68"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2018年无</w:t>
      </w:r>
      <w:r>
        <w:rPr>
          <w:rFonts w:hint="eastAsia" w:ascii="仿宋_GB2312" w:eastAsia="仿宋_GB2312"/>
          <w:color w:val="000000" w:themeColor="text1"/>
          <w:sz w:val="32"/>
          <w:szCs w:val="32"/>
        </w:rPr>
        <w:t>因公出国（境）费</w:t>
      </w:r>
      <w:r>
        <w:rPr>
          <w:rFonts w:ascii="仿宋_GB2312" w:eastAsia="仿宋_GB2312"/>
          <w:color w:val="000000" w:themeColor="text1"/>
          <w:sz w:val="32"/>
          <w:szCs w:val="32"/>
        </w:rPr>
        <w:t>支出。</w:t>
      </w:r>
      <w:bookmarkEnd w:id="61"/>
      <w:bookmarkEnd w:id="62"/>
      <w:bookmarkEnd w:id="68"/>
    </w:p>
    <w:p>
      <w:pPr>
        <w:spacing w:line="540" w:lineRule="exact"/>
        <w:ind w:firstLine="640" w:firstLineChars="200"/>
        <w:rPr>
          <w:rFonts w:ascii="仿宋_GB2312" w:eastAsia="仿宋_GB2312"/>
          <w:color w:val="000000" w:themeColor="text1"/>
          <w:sz w:val="32"/>
          <w:szCs w:val="32"/>
        </w:rPr>
      </w:pPr>
      <w:bookmarkStart w:id="69"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2.13</w:t>
      </w:r>
      <w:r>
        <w:rPr>
          <w:rFonts w:hint="eastAsia" w:ascii="仿宋_GB2312" w:eastAsia="仿宋_GB2312"/>
          <w:color w:val="000000" w:themeColor="text1"/>
          <w:sz w:val="32"/>
          <w:szCs w:val="32"/>
        </w:rPr>
        <w:t>万元,其中，</w:t>
      </w:r>
      <w:bookmarkStart w:id="70"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0"/>
      <w:r>
        <w:rPr>
          <w:rFonts w:hint="eastAsia" w:ascii="仿宋_GB2312" w:eastAsia="仿宋_GB2312"/>
          <w:color w:val="000000" w:themeColor="text1"/>
          <w:sz w:val="32"/>
          <w:szCs w:val="32"/>
        </w:rPr>
        <w:t>，</w:t>
      </w:r>
      <w:bookmarkStart w:id="71" w:name="OLE_LINK41"/>
      <w:bookmarkStart w:id="72" w:name="OLE_LINK40"/>
      <w:r>
        <w:rPr>
          <w:rFonts w:hint="eastAsia" w:ascii="仿宋_GB2312" w:eastAsia="仿宋_GB2312"/>
          <w:color w:val="000000" w:themeColor="text1"/>
          <w:sz w:val="32"/>
          <w:szCs w:val="32"/>
        </w:rPr>
        <w:t>公务用车运行维护费</w:t>
      </w:r>
      <w:r>
        <w:rPr>
          <w:rFonts w:hint="eastAsia" w:ascii="仿宋_GB2312" w:eastAsia="仿宋_GB2312"/>
          <w:sz w:val="32"/>
          <w:szCs w:val="32"/>
        </w:rPr>
        <w:t>2.13</w:t>
      </w:r>
      <w:r>
        <w:rPr>
          <w:rFonts w:hint="eastAsia" w:ascii="仿宋_GB2312" w:eastAsia="仿宋_GB2312"/>
          <w:color w:val="000000" w:themeColor="text1"/>
          <w:sz w:val="32"/>
          <w:szCs w:val="32"/>
        </w:rPr>
        <w:t>万元</w:t>
      </w:r>
      <w:bookmarkEnd w:id="71"/>
      <w:bookmarkEnd w:id="72"/>
      <w:r>
        <w:rPr>
          <w:rFonts w:hint="eastAsia" w:ascii="仿宋_GB2312" w:eastAsia="仿宋_GB2312"/>
          <w:color w:val="000000" w:themeColor="text1"/>
          <w:sz w:val="32"/>
          <w:szCs w:val="32"/>
        </w:rPr>
        <w:t>。主要用于</w:t>
      </w:r>
      <w:r>
        <w:rPr>
          <w:rFonts w:hint="eastAsia" w:ascii="仿宋_GB2312" w:eastAsia="仿宋_GB2312"/>
          <w:sz w:val="32"/>
          <w:szCs w:val="32"/>
        </w:rPr>
        <w:t>车辆油料费、维修费、保险费支出</w:t>
      </w:r>
      <w:r>
        <w:rPr>
          <w:rFonts w:hint="eastAsia" w:ascii="仿宋_GB2312" w:eastAsia="仿宋_GB2312"/>
          <w:color w:val="000000" w:themeColor="text1"/>
          <w:sz w:val="32"/>
          <w:szCs w:val="32"/>
        </w:rPr>
        <w:t>等。</w:t>
      </w:r>
      <w:bookmarkEnd w:id="69"/>
      <w:bookmarkStart w:id="73"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lang w:val="en-US" w:eastAsia="zh-CN"/>
        </w:rPr>
        <w:t>60</w:t>
      </w:r>
      <w:r>
        <w:rPr>
          <w:rFonts w:hint="eastAsia" w:ascii="仿宋_GB2312" w:eastAsia="仿宋_GB2312"/>
          <w:color w:val="000000" w:themeColor="text1"/>
          <w:sz w:val="32"/>
          <w:szCs w:val="32"/>
        </w:rPr>
        <w:t>辆。</w:t>
      </w:r>
      <w:bookmarkEnd w:id="73"/>
    </w:p>
    <w:p>
      <w:pPr>
        <w:spacing w:line="540" w:lineRule="exact"/>
        <w:ind w:firstLine="640" w:firstLineChars="200"/>
        <w:rPr>
          <w:rFonts w:ascii="仿宋_GB2312" w:eastAsia="仿宋_GB2312"/>
          <w:color w:val="000000" w:themeColor="text1"/>
          <w:sz w:val="32"/>
          <w:szCs w:val="32"/>
        </w:rPr>
      </w:pPr>
      <w:bookmarkStart w:id="74"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2018年无</w:t>
      </w:r>
      <w:r>
        <w:rPr>
          <w:rFonts w:hint="eastAsia" w:ascii="仿宋_GB2312" w:eastAsia="仿宋_GB2312"/>
          <w:color w:val="000000" w:themeColor="text1"/>
          <w:sz w:val="32"/>
          <w:szCs w:val="32"/>
        </w:rPr>
        <w:t>公务接待费</w:t>
      </w:r>
      <w:r>
        <w:rPr>
          <w:rFonts w:hint="eastAsia" w:ascii="仿宋_GB2312" w:eastAsia="仿宋_GB2312"/>
          <w:sz w:val="32"/>
          <w:szCs w:val="32"/>
        </w:rPr>
        <w:t>支出</w:t>
      </w:r>
      <w:r>
        <w:rPr>
          <w:rFonts w:hint="eastAsia" w:ascii="仿宋_GB2312" w:eastAsia="仿宋_GB2312"/>
          <w:color w:val="000000" w:themeColor="text1"/>
          <w:sz w:val="32"/>
          <w:szCs w:val="32"/>
        </w:rPr>
        <w:t>等。</w:t>
      </w:r>
      <w:bookmarkEnd w:id="74"/>
      <w:bookmarkStart w:id="75" w:name="OLE_LINK84"/>
      <w:r>
        <w:rPr>
          <w:rFonts w:hint="eastAsia" w:ascii="仿宋_GB2312" w:eastAsia="仿宋_GB2312"/>
          <w:sz w:val="32"/>
          <w:szCs w:val="32"/>
        </w:rPr>
        <w:t>新疆喀什地区塔什库尔干县公安局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5"/>
    </w:p>
    <w:p>
      <w:pPr>
        <w:spacing w:line="540" w:lineRule="exact"/>
        <w:ind w:firstLine="640" w:firstLineChars="200"/>
        <w:rPr>
          <w:rFonts w:ascii="仿宋_GB2312" w:hAnsi="宋体" w:eastAsia="仿宋_GB2312" w:cs="宋体"/>
          <w:color w:val="000000" w:themeColor="text1"/>
          <w:kern w:val="0"/>
          <w:sz w:val="32"/>
          <w:szCs w:val="32"/>
        </w:rPr>
      </w:pPr>
      <w:bookmarkStart w:id="76"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2.5</w:t>
      </w:r>
      <w:r>
        <w:rPr>
          <w:rFonts w:hint="eastAsia" w:ascii="仿宋_GB2312" w:eastAsia="仿宋_GB2312"/>
          <w:color w:val="000000" w:themeColor="text1"/>
          <w:sz w:val="32"/>
          <w:szCs w:val="32"/>
        </w:rPr>
        <w:t>万元，决算数2.13万元</w:t>
      </w:r>
      <w:r>
        <w:rPr>
          <w:rFonts w:ascii="仿宋_GB2312" w:eastAsia="仿宋_GB2312"/>
          <w:color w:val="000000" w:themeColor="text1"/>
          <w:sz w:val="32"/>
          <w:szCs w:val="32"/>
        </w:rPr>
        <w:t>，预决算差异率-14.8%，差异主要原因是</w:t>
      </w:r>
      <w:r>
        <w:rPr>
          <w:rFonts w:hint="eastAsia" w:ascii="仿宋_GB2312" w:eastAsia="仿宋_GB2312"/>
          <w:color w:val="000000" w:themeColor="text1"/>
          <w:sz w:val="32"/>
          <w:szCs w:val="32"/>
        </w:rPr>
        <w:t>按照</w:t>
      </w:r>
      <w:r>
        <w:rPr>
          <w:rFonts w:hint="eastAsia" w:ascii="仿宋_GB2312" w:eastAsia="仿宋_GB2312"/>
          <w:color w:val="000000" w:themeColor="text1"/>
          <w:sz w:val="32"/>
          <w:szCs w:val="32"/>
          <w:lang w:eastAsia="zh-CN"/>
        </w:rPr>
        <w:t>“三公”经费管理办法（试行）规定，确保“三公”经费“零增长”目标的实现</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压缩公务用车外出频率，减少车辆损耗，降低车辆运行维护费等支出</w:t>
      </w:r>
      <w:r>
        <w:rPr>
          <w:rFonts w:ascii="仿宋_GB2312" w:eastAsia="仿宋_GB2312"/>
          <w:color w:val="000000" w:themeColor="text1"/>
          <w:sz w:val="32"/>
          <w:szCs w:val="32"/>
        </w:rPr>
        <w:t>。</w:t>
      </w:r>
      <w:bookmarkEnd w:id="76"/>
      <w:bookmarkStart w:id="77" w:name="OLE_LINK86"/>
      <w:bookmarkStart w:id="78"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，预决算差异率0%，差异主要原因是无</w:t>
      </w:r>
      <w:r>
        <w:rPr>
          <w:rFonts w:hint="eastAsia" w:ascii="仿宋_GB2312" w:eastAsia="仿宋_GB2312"/>
          <w:color w:val="000000" w:themeColor="text1"/>
          <w:sz w:val="32"/>
          <w:szCs w:val="32"/>
          <w:lang w:eastAsia="zh-CN"/>
        </w:rPr>
        <w:t>差异</w:t>
      </w:r>
      <w:r>
        <w:rPr>
          <w:rFonts w:ascii="仿宋_GB2312" w:eastAsia="仿宋_GB2312"/>
          <w:color w:val="000000" w:themeColor="text1"/>
          <w:sz w:val="32"/>
          <w:szCs w:val="32"/>
        </w:rPr>
        <w:t>；</w:t>
      </w:r>
      <w:bookmarkEnd w:id="77"/>
      <w:bookmarkEnd w:id="78"/>
      <w:bookmarkStart w:id="79" w:name="OLE_LINK88"/>
      <w:bookmarkStart w:id="80"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，预决算差异率0%，差异主要原因是无</w:t>
      </w:r>
      <w:r>
        <w:rPr>
          <w:rFonts w:hint="eastAsia" w:ascii="仿宋_GB2312" w:eastAsia="仿宋_GB2312"/>
          <w:color w:val="000000" w:themeColor="text1"/>
          <w:sz w:val="32"/>
          <w:szCs w:val="32"/>
          <w:lang w:eastAsia="zh-CN"/>
        </w:rPr>
        <w:t>差异</w:t>
      </w:r>
      <w:r>
        <w:rPr>
          <w:rFonts w:ascii="仿宋_GB2312" w:eastAsia="仿宋_GB2312"/>
          <w:color w:val="000000" w:themeColor="text1"/>
          <w:sz w:val="32"/>
          <w:szCs w:val="32"/>
        </w:rPr>
        <w:t>；</w:t>
      </w:r>
      <w:bookmarkEnd w:id="79"/>
      <w:bookmarkEnd w:id="80"/>
      <w:bookmarkStart w:id="81"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2.5</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2.13</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，预决算差异率-14.8%，差异主要原因是</w:t>
      </w:r>
      <w:r>
        <w:rPr>
          <w:rFonts w:hint="eastAsia" w:ascii="仿宋_GB2312" w:eastAsia="仿宋_GB2312"/>
          <w:color w:val="000000" w:themeColor="text1"/>
          <w:sz w:val="32"/>
          <w:szCs w:val="32"/>
        </w:rPr>
        <w:t>按照</w:t>
      </w:r>
      <w:r>
        <w:rPr>
          <w:rFonts w:hint="eastAsia" w:ascii="仿宋_GB2312" w:eastAsia="仿宋_GB2312"/>
          <w:color w:val="000000" w:themeColor="text1"/>
          <w:sz w:val="32"/>
          <w:szCs w:val="32"/>
          <w:lang w:eastAsia="zh-CN"/>
        </w:rPr>
        <w:t>“三公”经费管理办法（试行）规定，确保“三公”经费“零增长”目标的实现</w:t>
      </w:r>
      <w:r>
        <w:rPr>
          <w:rFonts w:hint="eastAsia" w:ascii="仿宋_GB2312" w:eastAsia="仿宋_GB2312"/>
          <w:color w:val="000000" w:themeColor="text1"/>
          <w:sz w:val="32"/>
          <w:szCs w:val="32"/>
          <w:lang w:val="en-US" w:eastAsia="zh-CN"/>
        </w:rPr>
        <w:t>,</w:t>
      </w:r>
      <w:r>
        <w:rPr>
          <w:rFonts w:hint="eastAsia" w:ascii="仿宋_GB2312" w:eastAsia="仿宋_GB2312"/>
          <w:color w:val="000000" w:themeColor="text1"/>
          <w:sz w:val="32"/>
          <w:szCs w:val="32"/>
        </w:rPr>
        <w:t>压缩公务用车外出频率，减少车辆损耗，降低车辆运行维护费等支出</w:t>
      </w:r>
      <w:r>
        <w:rPr>
          <w:rFonts w:ascii="仿宋_GB2312" w:eastAsia="仿宋_GB2312"/>
          <w:color w:val="000000" w:themeColor="text1"/>
          <w:sz w:val="32"/>
          <w:szCs w:val="32"/>
        </w:rPr>
        <w:t>；</w:t>
      </w:r>
      <w:bookmarkEnd w:id="81"/>
      <w:bookmarkStart w:id="82"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2"/>
      <w:r>
        <w:rPr>
          <w:rFonts w:ascii="仿宋_GB2312" w:eastAsia="仿宋_GB2312"/>
          <w:color w:val="000000" w:themeColor="text1"/>
          <w:sz w:val="32"/>
          <w:szCs w:val="32"/>
        </w:rPr>
        <w:t>无</w:t>
      </w:r>
      <w:r>
        <w:rPr>
          <w:rFonts w:hint="eastAsia" w:ascii="仿宋_GB2312" w:eastAsia="仿宋_GB2312"/>
          <w:color w:val="000000" w:themeColor="text1"/>
          <w:sz w:val="32"/>
          <w:szCs w:val="32"/>
          <w:lang w:eastAsia="zh-CN"/>
        </w:rPr>
        <w:t>差异</w:t>
      </w:r>
      <w:r>
        <w:rPr>
          <w:rFonts w:ascii="仿宋_GB2312" w:eastAsia="仿宋_GB2312"/>
          <w:color w:val="000000" w:themeColor="text1"/>
          <w:sz w:val="32"/>
          <w:szCs w:val="32"/>
        </w:rPr>
        <w:t>。</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2018年度新疆喀什地区塔什库尔干县公安局机关运行经费支出67.91万元，与上年相比，增加3.05万元，增长4.7%，增加的主要原因是：2018年增加消防大队公用取暖费支出。</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3" w:name="OLE_LINK45"/>
      <w:r>
        <w:rPr>
          <w:rFonts w:hint="eastAsia" w:ascii="仿宋_GB2312" w:eastAsia="仿宋_GB2312"/>
          <w:color w:val="000000" w:themeColor="text1"/>
          <w:sz w:val="32"/>
          <w:szCs w:val="32"/>
        </w:rPr>
        <w:t>政府采购支出总额</w:t>
      </w:r>
      <w:bookmarkEnd w:id="83"/>
      <w:r>
        <w:rPr>
          <w:rFonts w:hint="eastAsia" w:ascii="仿宋_GB2312" w:eastAsia="仿宋_GB2312"/>
          <w:sz w:val="32"/>
          <w:szCs w:val="32"/>
        </w:rPr>
        <w:t>162.36</w:t>
      </w:r>
      <w:r>
        <w:rPr>
          <w:rFonts w:hint="eastAsia" w:ascii="仿宋_GB2312" w:eastAsia="仿宋_GB2312"/>
          <w:color w:val="000000" w:themeColor="text1"/>
          <w:sz w:val="32"/>
          <w:szCs w:val="32"/>
        </w:rPr>
        <w:t>万元，其中：</w:t>
      </w:r>
      <w:bookmarkStart w:id="84" w:name="OLE_LINK46"/>
      <w:r>
        <w:rPr>
          <w:rFonts w:hint="eastAsia" w:ascii="仿宋_GB2312" w:eastAsia="仿宋_GB2312"/>
          <w:color w:val="000000" w:themeColor="text1"/>
          <w:sz w:val="32"/>
          <w:szCs w:val="32"/>
        </w:rPr>
        <w:t>政府采购货物支出</w:t>
      </w:r>
      <w:bookmarkEnd w:id="84"/>
      <w:r>
        <w:rPr>
          <w:rFonts w:hint="eastAsia" w:ascii="仿宋_GB2312" w:eastAsia="仿宋_GB2312"/>
          <w:sz w:val="32"/>
          <w:szCs w:val="32"/>
        </w:rPr>
        <w:t>117.36</w:t>
      </w:r>
      <w:r>
        <w:rPr>
          <w:rFonts w:hint="eastAsia" w:ascii="仿宋_GB2312" w:eastAsia="仿宋_GB2312"/>
          <w:color w:val="000000" w:themeColor="text1"/>
          <w:sz w:val="32"/>
          <w:szCs w:val="32"/>
        </w:rPr>
        <w:t>万元、</w:t>
      </w:r>
      <w:bookmarkStart w:id="85" w:name="OLE_LINK47"/>
      <w:r>
        <w:rPr>
          <w:rFonts w:hint="eastAsia" w:ascii="仿宋_GB2312" w:eastAsia="仿宋_GB2312"/>
          <w:color w:val="000000" w:themeColor="text1"/>
          <w:sz w:val="32"/>
          <w:szCs w:val="32"/>
        </w:rPr>
        <w:t>政府采购工程支出</w:t>
      </w:r>
      <w:bookmarkEnd w:id="85"/>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86" w:name="OLE_LINK48"/>
      <w:r>
        <w:rPr>
          <w:rFonts w:hint="eastAsia" w:ascii="仿宋_GB2312" w:eastAsia="仿宋_GB2312"/>
          <w:color w:val="000000" w:themeColor="text1"/>
          <w:sz w:val="32"/>
          <w:szCs w:val="32"/>
        </w:rPr>
        <w:t>政府采购服务支出</w:t>
      </w:r>
      <w:bookmarkEnd w:id="86"/>
      <w:r>
        <w:rPr>
          <w:rFonts w:hint="eastAsia" w:ascii="仿宋_GB2312" w:eastAsia="仿宋_GB2312"/>
          <w:sz w:val="32"/>
          <w:szCs w:val="32"/>
        </w:rPr>
        <w:t>45</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87"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60</w:t>
      </w:r>
      <w:r>
        <w:rPr>
          <w:rFonts w:hint="eastAsia" w:ascii="仿宋_GB2312" w:eastAsia="仿宋_GB2312"/>
          <w:color w:val="000000" w:themeColor="text1"/>
          <w:sz w:val="32"/>
          <w:szCs w:val="32"/>
        </w:rPr>
        <w:t>辆，价值</w:t>
      </w:r>
      <w:r>
        <w:rPr>
          <w:rFonts w:hint="eastAsia" w:ascii="仿宋_GB2312" w:eastAsia="仿宋_GB2312"/>
          <w:sz w:val="32"/>
          <w:szCs w:val="32"/>
        </w:rPr>
        <w:t>893.37</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1</w:t>
      </w:r>
      <w:r>
        <w:rPr>
          <w:rFonts w:hint="eastAsia" w:ascii="仿宋_GB2312" w:eastAsia="仿宋_GB2312"/>
          <w:color w:val="000000" w:themeColor="text1"/>
          <w:sz w:val="32"/>
          <w:szCs w:val="32"/>
        </w:rPr>
        <w:t>辆、执法执勤用车</w:t>
      </w:r>
      <w:r>
        <w:rPr>
          <w:rFonts w:hint="eastAsia" w:ascii="仿宋_GB2312" w:eastAsia="仿宋_GB2312"/>
          <w:sz w:val="32"/>
          <w:szCs w:val="32"/>
        </w:rPr>
        <w:t>53</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1</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4</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现场勘察车、囚车、运兵车、运犬车；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3</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2</w:t>
      </w:r>
      <w:r>
        <w:rPr>
          <w:rFonts w:hint="eastAsia" w:ascii="仿宋_GB2312" w:eastAsia="仿宋_GB2312"/>
          <w:color w:val="000000" w:themeColor="text1"/>
          <w:sz w:val="32"/>
          <w:szCs w:val="32"/>
        </w:rPr>
        <w:t>台（套）。</w:t>
      </w:r>
      <w:bookmarkEnd w:id="87"/>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纳入2018年度预算绩效项目7个，年初根据单位实际情况设定项目绩效目标。一是资金到位后，立即开会确定实施方案，并形成报告上报县财经领导小组批准使用。二是资金使用严格开支管理，做到了专款专用，不存在挤占、挪用、截留的情况。我局的项目资金属于专项经费，主要用于预防、制止和侦查违法犯罪活动；维护社会治安秩序；管理户政、出入境等业务工作、禁毒工作、交警业务工作、拘留所改扩建项目、执法勤务装备购置等。三是我局进一步规范采购程序，根据《新疆维吾尔自治区2016-2018年度政府采购集中采购目录和分散采购限额标准的通知》（新财购〔2016〕32号）等有关规定，采购均按照招投标进行采购。四是年终单位对绩效项目组织实施自评，根据自评结果总结经验，发现问题及时整改。绩效管理工作中的措施：一是我局以绩效目标为导向，实现了所有财政经费项目支出绩效目标全覆盖。二是我单位以绩效评价为手段，及时采取纠偏措施，强化政府财政资源配置。三是在强调部门开展绩效自评工作的同时财政部门再评价，确保提升绩效评价工作质量。通过上述一系列措施，我单位不断加强对部门全过程绩效管理的探索，初步构建了事前、事中、事后三位一体的整体绩效管理机制，绩效管理工作质量和部门履职用财能力明显提高。绩效目标编审水平明显提升，树立了“花钱必问效，无效必问责”的理念。通过实施全过程预算绩效管理，树立了绩效优先的理念，提升了部门管理水平和资金使用效益，为全面实施绩效管理打下了坚实基础。</w:t>
      </w:r>
    </w:p>
    <w:p>
      <w:pPr>
        <w:spacing w:line="540" w:lineRule="exact"/>
        <w:ind w:left="-1" w:right="-1" w:firstLine="646"/>
        <w:jc w:val="left"/>
      </w:pPr>
      <w:r>
        <w:rPr>
          <w:rFonts w:ascii="仿宋_GB2312" w:hAnsi="仿宋_GB2312" w:eastAsia="仿宋_GB2312" w:cs="仿宋_GB2312"/>
          <w:b w:val="0"/>
          <w:color w:val="auto"/>
          <w:sz w:val="32"/>
          <w:u w:val="none"/>
        </w:rPr>
        <w:t>1、非法采矿案鉴定费项目绩效自评综述：根据年初设定的绩效目标，该项目绩效自评得分为85分。项目全年预算数为30万元，执行数为30万元，完成预算的100%。主要产出和效果：对“山盛鑫源矿业涉嫌非法采矿案、祥和矿业涉嫌非法采矿案、沪新矿业涉嫌非法采矿案”进行实地测量评估，出具非法开采铁矿造成资源破坏价值鉴定报告。非法采矿案违法行为得到有效遏制，实现矿产资源开发管理秩序良好。发现的问题及原因：项目未按照预算绩效目标在本年度内完工</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下一步改进措施：非法采矿案鉴定报告出具后，完成项目验收及剩余资金拨付</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pPr>
      <w:r>
        <w:rPr>
          <w:rFonts w:ascii="仿宋_GB2312" w:hAnsi="仿宋_GB2312" w:eastAsia="仿宋_GB2312" w:cs="仿宋_GB2312"/>
          <w:b w:val="0"/>
          <w:color w:val="auto"/>
          <w:sz w:val="32"/>
          <w:u w:val="none"/>
        </w:rPr>
        <w:t>2、维护资金项目绩效自评综述：根据年初设定的绩效目标，该项目绩效自评得分为91分。项目全年预算数为30万元，执行数为30万元，完成预算的100%。主要产出和效果：持续聚焦总目标，坚决贯彻自治区各项决策部署，提升社会面管控能力。主要用于解决派出所设施设备购置</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下一步改进措施：无</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pPr>
      <w:r>
        <w:rPr>
          <w:rFonts w:ascii="仿宋_GB2312" w:hAnsi="仿宋_GB2312" w:eastAsia="仿宋_GB2312" w:cs="仿宋_GB2312"/>
          <w:b w:val="0"/>
          <w:color w:val="auto"/>
          <w:sz w:val="32"/>
          <w:u w:val="none"/>
        </w:rPr>
        <w:t>3、2018年禁毒补助经费项目绩效自评综述：根据年初设定的绩效目标，该项目绩效自评得分为90分。项目全年预算数为8万元，执行数为8万元，完成预算的100%。主要产出和效果：加强公安禁毒队伍正规化建设，提升公安禁毒队伍战斗力，确保圆满完成各项禁毒工作。主要包括禁毒宣传、毒品案件办理、社区康复社区戒毒、执法执勤用交通工具的维护保养</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发现的问题及原因：一是资金使用进度较慢；二是项目缺少绩效监控</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下一步改进措施：一是严格按照项目资金使用范围加快资金使用进度；二是加强绩效管理，健全相关制度，加强绩效跟踪监控，提高资金使用效益</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pPr>
      <w:r>
        <w:rPr>
          <w:rFonts w:ascii="仿宋_GB2312" w:hAnsi="仿宋_GB2312" w:eastAsia="仿宋_GB2312" w:cs="仿宋_GB2312"/>
          <w:b w:val="0"/>
          <w:color w:val="auto"/>
          <w:sz w:val="32"/>
          <w:u w:val="none"/>
        </w:rPr>
        <w:t>4、拘留所改扩建工程及监控安装项目绩效自评综述：根据年初设定的绩效目标，该项目绩效自评得分为88分。项目全年预算数为601.5万元，执行数为601.5万元，完成预算的100%。主要产出和效果：塔什库尔干县拘留所改扩建项目的建设，有效提升了拘留所的工作效率和安全防范，使拘留所管理更加规范，保障被监管人的合法权益，不断推进公安监管执法规范化建设。拘留所改扩建项目经费主要用于拘留所改扩建建筑面积2285.47平方米，共两层，局部一层。附属设施建设：铺设上下水管道、暖气管道、电缆管道、信息化系统、安防设施等建设内容</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发现的问题及原因：项目资金拨付进度较工程进度慢</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下一步改进措施：我局将严格按照财政各项规定，合理科学的使用拘留所改扩建项目经费，全力保障该项目建设完工，加快资金的拨付进度</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pPr>
      <w:r>
        <w:rPr>
          <w:rFonts w:ascii="仿宋_GB2312" w:hAnsi="仿宋_GB2312" w:eastAsia="仿宋_GB2312" w:cs="仿宋_GB2312"/>
          <w:b w:val="0"/>
          <w:color w:val="auto"/>
          <w:sz w:val="32"/>
          <w:u w:val="none"/>
        </w:rPr>
        <w:t>5、2018年政法转移支付资金办案（业务）经费项目绩效自评综述：根据年初设定的绩效目标，该项目绩效自评得分为93分。项目全年预算数为344万元，执行数为344万元，完成预算的100%。主要产出和效果：此项经费主要用于办案差旅费、培训费、交通费、维修费、租赁费等支出，保证各项工作正常开展。发现的问题及原因：无</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下一步改进措施：无</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pPr>
      <w:r>
        <w:rPr>
          <w:rFonts w:ascii="仿宋_GB2312" w:hAnsi="仿宋_GB2312" w:eastAsia="仿宋_GB2312" w:cs="仿宋_GB2312"/>
          <w:b w:val="0"/>
          <w:color w:val="auto"/>
          <w:sz w:val="32"/>
          <w:u w:val="none"/>
        </w:rPr>
        <w:t>6、2018年交警业务经费项目绩效自评综述：根据年初设定的绩效目标，该项目绩效自评得分为92分。项目全年预算数为14万元，执行数为14万元，完成预算的100%。主要产出和效果：交警业务经费主要用于全县的维护道路交通管理工作开支，包括交警办公经费、车辆燃油费、维修费等支出，保证全县不出现重大群体性事件和重特大交通事故</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发现的问题及原因：现有经费仍不足以应对日益复杂的交通状况，进一步提高交警执法质量和执法效率存在难度</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下一步改进措施：我局将严格按照预算要求，按照财政各项规定，合理科学的使用交警业务经费，全力保障全县道路交通安全畅通有序</w:t>
      </w:r>
      <w:r>
        <w:rPr>
          <w:rFonts w:hint="eastAsia" w:ascii="仿宋_GB2312" w:hAnsi="仿宋_GB2312" w:eastAsia="仿宋_GB2312" w:cs="仿宋_GB2312"/>
          <w:b w:val="0"/>
          <w:color w:val="auto"/>
          <w:sz w:val="32"/>
          <w:u w:val="none"/>
          <w:lang w:eastAsia="zh-CN"/>
        </w:rPr>
        <w:t>。</w:t>
      </w:r>
    </w:p>
    <w:p>
      <w:pPr>
        <w:spacing w:line="540" w:lineRule="exact"/>
        <w:ind w:left="-1" w:right="-1" w:firstLine="646"/>
        <w:jc w:val="left"/>
      </w:pPr>
      <w:r>
        <w:rPr>
          <w:rFonts w:ascii="仿宋_GB2312" w:hAnsi="仿宋_GB2312" w:eastAsia="仿宋_GB2312" w:cs="仿宋_GB2312"/>
          <w:b w:val="0"/>
          <w:color w:val="auto"/>
          <w:sz w:val="32"/>
          <w:u w:val="none"/>
        </w:rPr>
        <w:t>7、2018年政法转移支付资金业务装备经费项目绩效自评综述：根据年初设定的绩效目标，该项目绩效自评得分为90分。项目全年预算数为97万元，执行数为97万元，完成预算的100%。主要产出和效果：此项经费解决了办公设备购置、辅警服装购置、执法记录仪、指纹仪、战术马甲、脚镣、验枪桶等执法勤务装备购置、看守所对讲系统建设、</w:t>
      </w:r>
      <w:r>
        <w:rPr>
          <w:rFonts w:hint="eastAsia" w:ascii="仿宋_GB2312" w:hAnsi="仿宋_GB2312" w:eastAsia="仿宋_GB2312" w:cs="仿宋_GB2312"/>
          <w:b w:val="0"/>
          <w:color w:val="auto"/>
          <w:sz w:val="32"/>
          <w:u w:val="none"/>
          <w:lang w:val="en-US" w:eastAsia="zh-CN"/>
        </w:rPr>
        <w:t>信息化</w:t>
      </w:r>
      <w:r>
        <w:rPr>
          <w:rFonts w:ascii="仿宋_GB2312" w:hAnsi="仿宋_GB2312" w:eastAsia="仿宋_GB2312" w:cs="仿宋_GB2312"/>
          <w:b w:val="0"/>
          <w:color w:val="auto"/>
          <w:sz w:val="32"/>
          <w:u w:val="none"/>
        </w:rPr>
        <w:t>三期建设所需的装备采购</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使我局装备水平得到了极大改善</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发现的问题及原因：随着社会的发展、</w:t>
      </w:r>
      <w:bookmarkStart w:id="88" w:name="_GoBack"/>
      <w:r>
        <w:rPr>
          <w:rFonts w:ascii="仿宋_GB2312" w:hAnsi="仿宋_GB2312" w:eastAsia="仿宋_GB2312" w:cs="仿宋_GB2312"/>
          <w:b w:val="0"/>
          <w:color w:val="auto"/>
          <w:sz w:val="32"/>
          <w:u w:val="none"/>
        </w:rPr>
        <w:t>经济水平的提高以及公安业务发展的需要，用于装备经费的开支呈刚性增长，实际资金缺口较大。由于该部分资金缺口由我局自筹解决，造成了我局财力相对紧张的情况</w:t>
      </w:r>
      <w:r>
        <w:rPr>
          <w:rFonts w:hint="eastAsia" w:ascii="仿宋_GB2312" w:hAnsi="仿宋_GB2312" w:eastAsia="仿宋_GB2312" w:cs="仿宋_GB2312"/>
          <w:b w:val="0"/>
          <w:color w:val="auto"/>
          <w:sz w:val="32"/>
          <w:u w:val="none"/>
          <w:lang w:eastAsia="zh-CN"/>
        </w:rPr>
        <w:t>。</w:t>
      </w:r>
      <w:r>
        <w:rPr>
          <w:rFonts w:ascii="仿宋_GB2312" w:hAnsi="仿宋_GB2312" w:eastAsia="仿宋_GB2312" w:cs="仿宋_GB2312"/>
          <w:b w:val="0"/>
          <w:color w:val="auto"/>
          <w:sz w:val="32"/>
          <w:u w:val="none"/>
        </w:rPr>
        <w:t>下一步改进措施：一是严格按照项目资金使用范围加快资金使用进度；二是加强绩效管理，健全相关制度，加强绩效跟踪监控，提高资金使用效益</w:t>
      </w:r>
      <w:r>
        <w:rPr>
          <w:rFonts w:hint="eastAsia" w:ascii="仿宋_GB2312" w:hAnsi="仿宋_GB2312" w:eastAsia="仿宋_GB2312" w:cs="仿宋_GB2312"/>
          <w:b w:val="0"/>
          <w:color w:val="auto"/>
          <w:sz w:val="32"/>
          <w:u w:val="none"/>
          <w:lang w:eastAsia="zh-CN"/>
        </w:rPr>
        <w:t>。</w:t>
      </w:r>
    </w:p>
    <w:bookmarkEnd w:id="88"/>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204（类）02（款）50（项）指：事业运行。204（类）99（款）01（项）指：其他公共安全支出。221（类）02（款）01（项）指：住房公积金。204（类）01（款）03（项）指：消防。204（类）02（款）01（项）指：行政运行。204（类）02（款）12（项）指：道路交通管理。204（类）01（款）01（项）指：内卫。204（类）02（款）11（项）指：禁毒管理。204（类）02（款）99（项）指：其他公安支出。204（类）02（款）06（项）指：刑事侦查。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宋体"/>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hint="eastAsia" w:ascii="宋体" w:hAnsi="宋体" w:eastAsia="宋体"/>
        <w:sz w:val="28"/>
        <w:lang w:eastAsia="zh-CN"/>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-12-</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13B1"/>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0D52CC"/>
    <w:rsid w:val="027F6264"/>
    <w:rsid w:val="028847F9"/>
    <w:rsid w:val="02891181"/>
    <w:rsid w:val="031D59B2"/>
    <w:rsid w:val="03687DC6"/>
    <w:rsid w:val="03AA79F6"/>
    <w:rsid w:val="03D266E7"/>
    <w:rsid w:val="03D76CB9"/>
    <w:rsid w:val="045E17BD"/>
    <w:rsid w:val="04741FE5"/>
    <w:rsid w:val="04A20D30"/>
    <w:rsid w:val="04DB02C7"/>
    <w:rsid w:val="05743F6B"/>
    <w:rsid w:val="05811464"/>
    <w:rsid w:val="05D93FB5"/>
    <w:rsid w:val="063358F3"/>
    <w:rsid w:val="06B856EE"/>
    <w:rsid w:val="06D279EC"/>
    <w:rsid w:val="07FE5938"/>
    <w:rsid w:val="084604BC"/>
    <w:rsid w:val="08883825"/>
    <w:rsid w:val="09725983"/>
    <w:rsid w:val="0A382BB5"/>
    <w:rsid w:val="0AA4543A"/>
    <w:rsid w:val="0AB5779B"/>
    <w:rsid w:val="0AD555EE"/>
    <w:rsid w:val="0BBB0E07"/>
    <w:rsid w:val="0BE61132"/>
    <w:rsid w:val="0C234DF1"/>
    <w:rsid w:val="0C9B0DD6"/>
    <w:rsid w:val="0CDD4899"/>
    <w:rsid w:val="0CE4791C"/>
    <w:rsid w:val="0D51528F"/>
    <w:rsid w:val="0D922C0E"/>
    <w:rsid w:val="0E063C64"/>
    <w:rsid w:val="0F4C7B96"/>
    <w:rsid w:val="0FFB575E"/>
    <w:rsid w:val="10845F1B"/>
    <w:rsid w:val="11463A00"/>
    <w:rsid w:val="11600918"/>
    <w:rsid w:val="11B0398F"/>
    <w:rsid w:val="130B3608"/>
    <w:rsid w:val="1333011B"/>
    <w:rsid w:val="139D2172"/>
    <w:rsid w:val="13B960C5"/>
    <w:rsid w:val="14F02E33"/>
    <w:rsid w:val="152777F4"/>
    <w:rsid w:val="152C5826"/>
    <w:rsid w:val="15C674B6"/>
    <w:rsid w:val="16A57EEC"/>
    <w:rsid w:val="17530438"/>
    <w:rsid w:val="182E20CB"/>
    <w:rsid w:val="18D54A0D"/>
    <w:rsid w:val="18FC446E"/>
    <w:rsid w:val="191C3575"/>
    <w:rsid w:val="192E13A6"/>
    <w:rsid w:val="193E1D24"/>
    <w:rsid w:val="1A4106A0"/>
    <w:rsid w:val="1A4F5437"/>
    <w:rsid w:val="1AB77CD0"/>
    <w:rsid w:val="1CFC3E72"/>
    <w:rsid w:val="1E807156"/>
    <w:rsid w:val="1EA657F6"/>
    <w:rsid w:val="1F097CB6"/>
    <w:rsid w:val="20F950DA"/>
    <w:rsid w:val="2166156B"/>
    <w:rsid w:val="21B02D83"/>
    <w:rsid w:val="226B6ED4"/>
    <w:rsid w:val="22A236F5"/>
    <w:rsid w:val="22C42411"/>
    <w:rsid w:val="2367275B"/>
    <w:rsid w:val="23995975"/>
    <w:rsid w:val="2432220E"/>
    <w:rsid w:val="248303BA"/>
    <w:rsid w:val="24837E47"/>
    <w:rsid w:val="251174F6"/>
    <w:rsid w:val="252E01AA"/>
    <w:rsid w:val="259F37C4"/>
    <w:rsid w:val="25B71927"/>
    <w:rsid w:val="2680023E"/>
    <w:rsid w:val="26FA093D"/>
    <w:rsid w:val="2966503E"/>
    <w:rsid w:val="29680352"/>
    <w:rsid w:val="29B9156B"/>
    <w:rsid w:val="2A020F75"/>
    <w:rsid w:val="2A24164C"/>
    <w:rsid w:val="2A6C190A"/>
    <w:rsid w:val="2B007AEE"/>
    <w:rsid w:val="2B2F6AC7"/>
    <w:rsid w:val="2BC14C56"/>
    <w:rsid w:val="2C1B026F"/>
    <w:rsid w:val="2CC61F55"/>
    <w:rsid w:val="2EF7452F"/>
    <w:rsid w:val="2F1D13B4"/>
    <w:rsid w:val="2F2603CA"/>
    <w:rsid w:val="2F430858"/>
    <w:rsid w:val="2FAA3DA6"/>
    <w:rsid w:val="2FE90AAB"/>
    <w:rsid w:val="30682E1F"/>
    <w:rsid w:val="308D190B"/>
    <w:rsid w:val="30E210D2"/>
    <w:rsid w:val="311371D6"/>
    <w:rsid w:val="31194DB2"/>
    <w:rsid w:val="31EB64C9"/>
    <w:rsid w:val="321047DF"/>
    <w:rsid w:val="336D0D6F"/>
    <w:rsid w:val="34CC444F"/>
    <w:rsid w:val="352E4BEC"/>
    <w:rsid w:val="35C1487A"/>
    <w:rsid w:val="37DD5594"/>
    <w:rsid w:val="38F24FA8"/>
    <w:rsid w:val="3A98342A"/>
    <w:rsid w:val="3AB6780E"/>
    <w:rsid w:val="3AD56D70"/>
    <w:rsid w:val="3B2920C2"/>
    <w:rsid w:val="3BE41ABD"/>
    <w:rsid w:val="3C5421A9"/>
    <w:rsid w:val="3D903B21"/>
    <w:rsid w:val="3DF023DD"/>
    <w:rsid w:val="3E675E57"/>
    <w:rsid w:val="3E7F6191"/>
    <w:rsid w:val="3EAD06B8"/>
    <w:rsid w:val="3F440741"/>
    <w:rsid w:val="41DD6610"/>
    <w:rsid w:val="41FC306C"/>
    <w:rsid w:val="42BC7B45"/>
    <w:rsid w:val="447B740F"/>
    <w:rsid w:val="44BE5554"/>
    <w:rsid w:val="451E0908"/>
    <w:rsid w:val="452C2D31"/>
    <w:rsid w:val="45D26E14"/>
    <w:rsid w:val="46A541B1"/>
    <w:rsid w:val="47110A61"/>
    <w:rsid w:val="47C87F73"/>
    <w:rsid w:val="482A3C23"/>
    <w:rsid w:val="48C57772"/>
    <w:rsid w:val="49782886"/>
    <w:rsid w:val="49E046F9"/>
    <w:rsid w:val="4A6F0D28"/>
    <w:rsid w:val="4AAF085C"/>
    <w:rsid w:val="4AEB7E60"/>
    <w:rsid w:val="4AFE5F4E"/>
    <w:rsid w:val="4B4B135B"/>
    <w:rsid w:val="4BC7055F"/>
    <w:rsid w:val="4BE53214"/>
    <w:rsid w:val="4C33479D"/>
    <w:rsid w:val="4CFC7DB2"/>
    <w:rsid w:val="4E69433A"/>
    <w:rsid w:val="4E7C187D"/>
    <w:rsid w:val="508941AD"/>
    <w:rsid w:val="50E65530"/>
    <w:rsid w:val="51454027"/>
    <w:rsid w:val="51457139"/>
    <w:rsid w:val="51574DBD"/>
    <w:rsid w:val="51EC1DA8"/>
    <w:rsid w:val="52FC5524"/>
    <w:rsid w:val="532D7A17"/>
    <w:rsid w:val="54AF4562"/>
    <w:rsid w:val="54C9674B"/>
    <w:rsid w:val="556318EA"/>
    <w:rsid w:val="55A60AA1"/>
    <w:rsid w:val="560A53B5"/>
    <w:rsid w:val="56451615"/>
    <w:rsid w:val="57FC5774"/>
    <w:rsid w:val="59B332C9"/>
    <w:rsid w:val="5A224F50"/>
    <w:rsid w:val="5A44758A"/>
    <w:rsid w:val="5AE26914"/>
    <w:rsid w:val="5BEC4BB3"/>
    <w:rsid w:val="5C070B55"/>
    <w:rsid w:val="5CB96DCE"/>
    <w:rsid w:val="5CE61580"/>
    <w:rsid w:val="5D175666"/>
    <w:rsid w:val="5D332FF3"/>
    <w:rsid w:val="5D556A3C"/>
    <w:rsid w:val="5D7B25C9"/>
    <w:rsid w:val="5DD80490"/>
    <w:rsid w:val="5ECB44B4"/>
    <w:rsid w:val="5EE2043C"/>
    <w:rsid w:val="600A2A54"/>
    <w:rsid w:val="602D2E37"/>
    <w:rsid w:val="61460FBE"/>
    <w:rsid w:val="62775810"/>
    <w:rsid w:val="62D83744"/>
    <w:rsid w:val="630F4048"/>
    <w:rsid w:val="63AA02E5"/>
    <w:rsid w:val="642173FA"/>
    <w:rsid w:val="64700DE9"/>
    <w:rsid w:val="65C613BD"/>
    <w:rsid w:val="65FD118C"/>
    <w:rsid w:val="66425D84"/>
    <w:rsid w:val="677A45BC"/>
    <w:rsid w:val="682C3D89"/>
    <w:rsid w:val="68611305"/>
    <w:rsid w:val="68C5465B"/>
    <w:rsid w:val="6A162DE0"/>
    <w:rsid w:val="6A331428"/>
    <w:rsid w:val="6A4D4E5D"/>
    <w:rsid w:val="6B2E5CB6"/>
    <w:rsid w:val="6B3D4886"/>
    <w:rsid w:val="6CDA7DA6"/>
    <w:rsid w:val="6D2F2367"/>
    <w:rsid w:val="6DF55BD3"/>
    <w:rsid w:val="6DF8675E"/>
    <w:rsid w:val="6EA80098"/>
    <w:rsid w:val="6F8D70FF"/>
    <w:rsid w:val="6FFE5011"/>
    <w:rsid w:val="704646F3"/>
    <w:rsid w:val="7178734D"/>
    <w:rsid w:val="71791096"/>
    <w:rsid w:val="717B0C34"/>
    <w:rsid w:val="71FB78FD"/>
    <w:rsid w:val="7275064A"/>
    <w:rsid w:val="733F750B"/>
    <w:rsid w:val="735702E2"/>
    <w:rsid w:val="765F635A"/>
    <w:rsid w:val="76B73454"/>
    <w:rsid w:val="76D254BD"/>
    <w:rsid w:val="77727ACD"/>
    <w:rsid w:val="78071142"/>
    <w:rsid w:val="785C334F"/>
    <w:rsid w:val="787D72D8"/>
    <w:rsid w:val="79296B37"/>
    <w:rsid w:val="794732E7"/>
    <w:rsid w:val="79D82615"/>
    <w:rsid w:val="79F4104F"/>
    <w:rsid w:val="7A4C4C40"/>
    <w:rsid w:val="7AA0518E"/>
    <w:rsid w:val="7B041636"/>
    <w:rsid w:val="7CA86749"/>
    <w:rsid w:val="7D5B7095"/>
    <w:rsid w:val="7EC92370"/>
    <w:rsid w:val="7ECB4715"/>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字符"/>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字符"/>
    <w:basedOn w:val="7"/>
    <w:link w:val="3"/>
    <w:semiHidden/>
    <w:qFormat/>
    <w:uiPriority w:val="99"/>
    <w:rPr>
      <w:rFonts w:ascii="Times New Roman" w:hAnsi="Times New Roman" w:eastAsia="宋体" w:cs="Times New Roman"/>
      <w:szCs w:val="24"/>
    </w:rPr>
  </w:style>
  <w:style w:type="character" w:customStyle="1" w:styleId="13">
    <w:name w:val="批注主题 字符"/>
    <w:basedOn w:val="12"/>
    <w:link w:val="2"/>
    <w:semiHidden/>
    <w:qFormat/>
    <w:uiPriority w:val="99"/>
    <w:rPr>
      <w:rFonts w:ascii="Times New Roman" w:hAnsi="Times New Roman" w:eastAsia="宋体" w:cs="Times New Roman"/>
      <w:b/>
      <w:bCs/>
      <w:szCs w:val="24"/>
    </w:rPr>
  </w:style>
  <w:style w:type="character" w:customStyle="1" w:styleId="14">
    <w:name w:val="批注框文本 字符"/>
    <w:basedOn w:val="7"/>
    <w:link w:val="4"/>
    <w:semiHidden/>
    <w:qFormat/>
    <w:uiPriority w:val="99"/>
    <w:rPr>
      <w:rFonts w:ascii="Times New Roman" w:hAnsi="Times New Roman" w:eastAsia="宋体" w:cs="Times New Roman"/>
      <w:sz w:val="18"/>
      <w:szCs w:val="18"/>
    </w:rPr>
  </w:style>
  <w:style w:type="character" w:customStyle="1" w:styleId="15">
    <w:name w:val="页眉 字符"/>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6560</Characters>
  <Lines>54</Lines>
  <Paragraphs>15</Paragraphs>
  <TotalTime>0</TotalTime>
  <ScaleCrop>false</ScaleCrop>
  <LinksUpToDate>false</LinksUpToDate>
  <CharactersWithSpaces>7695</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Lenovo</cp:lastModifiedBy>
  <dcterms:modified xsi:type="dcterms:W3CDTF">2020-04-05T04:49:47Z</dcterms:modified>
  <cp:revision>810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