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附件1：</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2018年度新疆喀什地区塔什库尔干县人民检察院部门决算公开说明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w:t>
      </w:r>
      <w:r>
        <w:rPr>
          <w:rFonts w:hint="eastAsia" w:ascii="黑体" w:hAnsi="黑体" w:eastAsia="黑体"/>
          <w:bCs/>
          <w:kern w:val="0"/>
          <w:sz w:val="32"/>
          <w:szCs w:val="32"/>
          <w:lang w:val="en-US" w:eastAsia="zh-CN"/>
        </w:rPr>
        <w:t xml:space="preserve"> </w:t>
      </w:r>
      <w:r>
        <w:rPr>
          <w:rFonts w:hint="eastAsia" w:ascii="黑体" w:hAnsi="黑体" w:eastAsia="黑体"/>
          <w:bCs/>
          <w:kern w:val="0"/>
          <w:sz w:val="32"/>
          <w:szCs w:val="32"/>
        </w:rPr>
        <w:t>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hint="eastAsia" w:ascii="黑体" w:hAnsi="黑体" w:eastAsia="仿宋_GB2312" w:cs="宋体"/>
          <w:bCs/>
          <w:kern w:val="0"/>
          <w:sz w:val="32"/>
          <w:szCs w:val="32"/>
          <w:lang w:eastAsia="zh-CN"/>
        </w:rPr>
      </w:pPr>
      <w:r>
        <w:rPr>
          <w:rFonts w:hint="eastAsia" w:ascii="仿宋_GB2312" w:eastAsia="仿宋_GB2312"/>
          <w:sz w:val="32"/>
          <w:szCs w:val="32"/>
        </w:rPr>
        <w:t>1、深入贯彻习近平新时代中国特色社会主义思想，深入贯彻党的路线方针政策和决策部署，聚焦社会</w:t>
      </w:r>
      <w:r>
        <w:rPr>
          <w:rFonts w:hint="eastAsia" w:ascii="仿宋_GB2312" w:eastAsia="仿宋_GB2312"/>
          <w:sz w:val="32"/>
          <w:szCs w:val="32"/>
          <w:lang w:val="en-US" w:eastAsia="zh-CN"/>
        </w:rPr>
        <w:t>和谐</w:t>
      </w:r>
      <w:r>
        <w:rPr>
          <w:rFonts w:hint="eastAsia" w:ascii="仿宋_GB2312" w:eastAsia="仿宋_GB2312"/>
          <w:sz w:val="32"/>
          <w:szCs w:val="32"/>
        </w:rPr>
        <w:t>和长治久安总目标，统一全院检察人员思想和行动，坚持党对检察工作的绝对领导，坚决维护习近平总书记的核心地位，坚决维护党中央权威和集中统一领导。</w:t>
      </w:r>
      <w:r>
        <w:rPr>
          <w:rFonts w:hint="eastAsia" w:ascii="仿宋_GB2312" w:eastAsia="仿宋_GB2312"/>
          <w:sz w:val="32"/>
          <w:szCs w:val="32"/>
        </w:rPr>
        <w:br w:type="textWrapping"/>
      </w:r>
      <w:r>
        <w:rPr>
          <w:rFonts w:hint="eastAsia" w:ascii="仿宋_GB2312" w:eastAsia="仿宋_GB2312"/>
          <w:sz w:val="32"/>
          <w:szCs w:val="32"/>
        </w:rPr>
        <w:t>2、依法向塔什库尔干塔吉克自治县人民代表大会及其常务委员会提出议案。</w:t>
      </w:r>
      <w:r>
        <w:rPr>
          <w:rFonts w:hint="eastAsia" w:ascii="仿宋_GB2312" w:eastAsia="仿宋_GB2312"/>
          <w:sz w:val="32"/>
          <w:szCs w:val="32"/>
        </w:rPr>
        <w:br w:type="textWrapping"/>
      </w:r>
      <w:r>
        <w:rPr>
          <w:rFonts w:hint="eastAsia" w:ascii="仿宋_GB2312" w:eastAsia="仿宋_GB2312"/>
          <w:sz w:val="32"/>
          <w:szCs w:val="32"/>
        </w:rPr>
        <w:t>3、贯彻落实检察工作方针、总体规划，完成检察工作任务。</w:t>
      </w:r>
      <w:r>
        <w:rPr>
          <w:rFonts w:hint="eastAsia" w:ascii="仿宋_GB2312" w:eastAsia="仿宋_GB2312"/>
          <w:sz w:val="32"/>
          <w:szCs w:val="32"/>
        </w:rPr>
        <w:br w:type="textWrapping"/>
      </w:r>
      <w:r>
        <w:rPr>
          <w:rFonts w:hint="eastAsia" w:ascii="仿宋_GB2312" w:eastAsia="仿宋_GB2312"/>
          <w:sz w:val="32"/>
          <w:szCs w:val="32"/>
        </w:rPr>
        <w:t>4、依法开展对刑事犯罪案件的审查批准逮捕、决定逮捕、审查起诉工作。</w:t>
      </w:r>
      <w:r>
        <w:rPr>
          <w:rFonts w:hint="eastAsia" w:ascii="仿宋_GB2312" w:eastAsia="仿宋_GB2312"/>
          <w:sz w:val="32"/>
          <w:szCs w:val="32"/>
        </w:rPr>
        <w:br w:type="textWrapping"/>
      </w:r>
      <w:r>
        <w:rPr>
          <w:rFonts w:hint="eastAsia" w:ascii="仿宋_GB2312" w:eastAsia="仿宋_GB2312"/>
          <w:sz w:val="32"/>
          <w:szCs w:val="32"/>
        </w:rPr>
        <w:t>5、负责应由塔什库尔干塔吉克自治县人民检察院承办的刑事、民事、行政诉讼活动及刑事、民事、行政判决和裁定等生效法律文书执行的法律监督工作。</w:t>
      </w:r>
      <w:r>
        <w:rPr>
          <w:rFonts w:hint="eastAsia" w:ascii="仿宋_GB2312" w:eastAsia="仿宋_GB2312"/>
          <w:sz w:val="32"/>
          <w:szCs w:val="32"/>
        </w:rPr>
        <w:br w:type="textWrapping"/>
      </w:r>
      <w:r>
        <w:rPr>
          <w:rFonts w:hint="eastAsia" w:ascii="仿宋_GB2312" w:eastAsia="仿宋_GB2312"/>
          <w:sz w:val="32"/>
          <w:szCs w:val="32"/>
        </w:rPr>
        <w:t>6、负责对塔什库尔干塔吉克自治县人民法院已发生法律效力、确有错误的判决和裁定，依法提请喀什地区人民检察院向喀什地区中级人民法院提出抗诉。</w:t>
      </w:r>
      <w:r>
        <w:rPr>
          <w:rFonts w:hint="eastAsia" w:ascii="仿宋_GB2312" w:eastAsia="仿宋_GB2312"/>
          <w:sz w:val="32"/>
          <w:szCs w:val="32"/>
        </w:rPr>
        <w:br w:type="textWrapping"/>
      </w:r>
      <w:r>
        <w:rPr>
          <w:rFonts w:hint="eastAsia" w:ascii="仿宋_GB2312" w:eastAsia="仿宋_GB2312"/>
          <w:sz w:val="32"/>
          <w:szCs w:val="32"/>
        </w:rPr>
        <w:t>7、负责应由塔什库尔干塔吉克自治县人民检察院承办的提起公益诉讼工作。</w:t>
      </w:r>
      <w:r>
        <w:rPr>
          <w:rFonts w:hint="eastAsia" w:ascii="仿宋_GB2312" w:eastAsia="仿宋_GB2312"/>
          <w:sz w:val="32"/>
          <w:szCs w:val="32"/>
        </w:rPr>
        <w:br w:type="textWrapping"/>
      </w:r>
      <w:r>
        <w:rPr>
          <w:rFonts w:hint="eastAsia" w:ascii="仿宋_GB2312" w:eastAsia="仿宋_GB2312"/>
          <w:sz w:val="32"/>
          <w:szCs w:val="32"/>
        </w:rPr>
        <w:t>8、负责应由塔什库尔干塔吉克自治县人民检察院承办的对安置教育机构、看守所、社区矫正机构等执法活动的法律监督工作。</w:t>
      </w:r>
      <w:r>
        <w:rPr>
          <w:rFonts w:hint="eastAsia" w:ascii="仿宋_GB2312" w:eastAsia="仿宋_GB2312"/>
          <w:sz w:val="32"/>
          <w:szCs w:val="32"/>
        </w:rPr>
        <w:br w:type="textWrapping"/>
      </w:r>
      <w:r>
        <w:rPr>
          <w:rFonts w:hint="eastAsia" w:ascii="仿宋_GB2312" w:eastAsia="仿宋_GB2312"/>
          <w:sz w:val="32"/>
          <w:szCs w:val="32"/>
        </w:rPr>
        <w:t>9、受理向塔什库尔干塔吉克自治县人民检察院的控告申诉，开展控告申诉检察工作。</w:t>
      </w:r>
      <w:r>
        <w:rPr>
          <w:rFonts w:hint="eastAsia" w:ascii="仿宋_GB2312" w:eastAsia="仿宋_GB2312"/>
          <w:sz w:val="32"/>
          <w:szCs w:val="32"/>
        </w:rPr>
        <w:br w:type="textWrapping"/>
      </w:r>
      <w:r>
        <w:rPr>
          <w:rFonts w:hint="eastAsia" w:ascii="仿宋_GB2312" w:eastAsia="仿宋_GB2312"/>
          <w:sz w:val="32"/>
          <w:szCs w:val="32"/>
        </w:rPr>
        <w:t>10、开展检察应用和理论研究工作。</w:t>
      </w:r>
      <w:r>
        <w:rPr>
          <w:rFonts w:hint="eastAsia" w:ascii="仿宋_GB2312" w:eastAsia="仿宋_GB2312"/>
          <w:sz w:val="32"/>
          <w:szCs w:val="32"/>
        </w:rPr>
        <w:br w:type="textWrapping"/>
      </w:r>
      <w:r>
        <w:rPr>
          <w:rFonts w:hint="eastAsia" w:ascii="仿宋_GB2312" w:eastAsia="仿宋_GB2312"/>
          <w:sz w:val="32"/>
          <w:szCs w:val="32"/>
        </w:rPr>
        <w:t>11、负责本院队伍建设和思想政治工作。依法管理检察官及其他检察人员的工作，开展检察机关教育培训工作。</w:t>
      </w:r>
      <w:r>
        <w:rPr>
          <w:rFonts w:hint="eastAsia" w:ascii="仿宋_GB2312" w:eastAsia="仿宋_GB2312"/>
          <w:sz w:val="32"/>
          <w:szCs w:val="32"/>
        </w:rPr>
        <w:br w:type="textWrapping"/>
      </w:r>
      <w:r>
        <w:rPr>
          <w:rFonts w:hint="eastAsia" w:ascii="仿宋_GB2312" w:eastAsia="仿宋_GB2312"/>
          <w:sz w:val="32"/>
          <w:szCs w:val="32"/>
        </w:rPr>
        <w:t>12、开展本院检务督察工作。</w:t>
      </w:r>
      <w:r>
        <w:rPr>
          <w:rFonts w:hint="eastAsia" w:ascii="仿宋_GB2312" w:eastAsia="仿宋_GB2312"/>
          <w:sz w:val="32"/>
          <w:szCs w:val="32"/>
        </w:rPr>
        <w:br w:type="textWrapping"/>
      </w:r>
      <w:r>
        <w:rPr>
          <w:rFonts w:hint="eastAsia" w:ascii="仿宋_GB2312" w:eastAsia="仿宋_GB2312"/>
          <w:sz w:val="32"/>
          <w:szCs w:val="32"/>
        </w:rPr>
        <w:t>13、开展检察机关的财务装备工作，检察技术信息工作。</w:t>
      </w:r>
      <w:r>
        <w:rPr>
          <w:rFonts w:hint="eastAsia" w:ascii="仿宋_GB2312" w:eastAsia="仿宋_GB2312"/>
          <w:sz w:val="32"/>
          <w:szCs w:val="32"/>
        </w:rPr>
        <w:br w:type="textWrapping"/>
      </w:r>
      <w:r>
        <w:rPr>
          <w:rFonts w:hint="eastAsia" w:ascii="仿宋_GB2312" w:eastAsia="仿宋_GB2312"/>
          <w:sz w:val="32"/>
          <w:szCs w:val="32"/>
        </w:rPr>
        <w:t>14、负责其他应当由塔什库尔干塔吉克自治县人民检察院承办的事项。</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新疆喀什地区塔什库尔干县人民检察院</w:t>
      </w:r>
      <w:r>
        <w:rPr>
          <w:rFonts w:hint="eastAsia" w:ascii="仿宋_GB2312" w:eastAsia="仿宋_GB2312"/>
          <w:sz w:val="32"/>
          <w:szCs w:val="32"/>
        </w:rPr>
        <w:t>部门决算包括：</w:t>
      </w:r>
      <w:r>
        <w:rPr>
          <w:rFonts w:ascii="仿宋_GB2312" w:eastAsia="仿宋_GB2312"/>
          <w:sz w:val="32"/>
          <w:szCs w:val="32"/>
        </w:rPr>
        <w:t>新疆喀什地区塔什库尔干县人民检察院</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新疆喀什地区塔什库尔干县人民检察院</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1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新疆喀什地区塔什库尔干县人民检察院</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jc w:val="both"/>
        <w:textAlignment w:val="auto"/>
        <w:outlineLvl w:val="9"/>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lang w:val="en-US" w:eastAsia="zh-CN"/>
        </w:rPr>
        <w:t xml:space="preserve">    </w:t>
      </w:r>
      <w:r>
        <w:rPr>
          <w:rFonts w:hint="eastAsia" w:ascii="仿宋_GB2312" w:eastAsia="仿宋_GB2312"/>
          <w:color w:val="000000" w:themeColor="text1"/>
          <w:sz w:val="32"/>
          <w:szCs w:val="32"/>
        </w:rPr>
        <w:t>2018年度收入</w:t>
      </w:r>
      <w:r>
        <w:rPr>
          <w:rFonts w:hint="eastAsia" w:ascii="仿宋_GB2312" w:eastAsia="仿宋_GB2312"/>
          <w:sz w:val="32"/>
          <w:szCs w:val="32"/>
        </w:rPr>
        <w:t>508.81</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，与上年相比，减少18.15万元，下降3.44%，减少的主要原因是：</w:t>
      </w:r>
      <w:r>
        <w:rPr>
          <w:rFonts w:hint="eastAsia" w:ascii="仿宋_GB2312" w:eastAsia="仿宋_GB2312"/>
          <w:color w:val="000000" w:themeColor="text1"/>
          <w:sz w:val="32"/>
          <w:szCs w:val="32"/>
        </w:rPr>
        <w:t>编办核减编制人数，人员编制数调至督察局；今年比去年少抚恤金支出；办案经费项目支出比去年减少；</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508.81</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，与上年相比，减少18.15万元，下降3.44%，减少的主要原因是：</w:t>
      </w:r>
      <w:r>
        <w:rPr>
          <w:rFonts w:hint="eastAsia" w:ascii="仿宋_GB2312" w:eastAsia="仿宋_GB2312"/>
          <w:color w:val="000000" w:themeColor="text1"/>
          <w:sz w:val="32"/>
          <w:szCs w:val="32"/>
        </w:rPr>
        <w:t>编办核减编制人数，人员编制数调至督察局；今年比去年少抚恤金支出；办案经费项目支出比去年减少；</w:t>
      </w:r>
      <w:bookmarkEnd w:id="7"/>
      <w:bookmarkStart w:id="8" w:name="OLE_LINK54"/>
      <w:r>
        <w:rPr>
          <w:rFonts w:hint="eastAsia" w:ascii="仿宋_GB2312" w:eastAsia="仿宋_GB2312"/>
          <w:color w:val="000000"/>
          <w:sz w:val="32"/>
          <w:szCs w:val="32"/>
        </w:rPr>
        <w:t>结余</w:t>
      </w:r>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w:t>
      </w:r>
      <w:r>
        <w:rPr>
          <w:rFonts w:hint="eastAsia" w:ascii="仿宋_GB2312" w:eastAsia="仿宋_GB2312"/>
          <w:sz w:val="32"/>
          <w:szCs w:val="32"/>
        </w:rPr>
        <w:t>增加0万元，增长0%，</w:t>
      </w:r>
      <w:r>
        <w:rPr>
          <w:rFonts w:hint="eastAsia" w:ascii="仿宋_GB2312" w:eastAsia="仿宋_GB2312"/>
          <w:sz w:val="32"/>
          <w:szCs w:val="32"/>
          <w:lang w:eastAsia="zh-CN"/>
        </w:rPr>
        <w:t>增减变化的</w:t>
      </w:r>
      <w:r>
        <w:rPr>
          <w:rFonts w:hint="eastAsia" w:ascii="仿宋_GB2312" w:eastAsia="仿宋_GB2312"/>
          <w:sz w:val="32"/>
          <w:szCs w:val="32"/>
        </w:rPr>
        <w:t>主要原因是：</w:t>
      </w:r>
      <w:r>
        <w:rPr>
          <w:rFonts w:hint="eastAsia" w:ascii="仿宋_GB2312" w:eastAsia="仿宋_GB2312"/>
          <w:color w:val="000000"/>
          <w:sz w:val="32"/>
          <w:szCs w:val="32"/>
          <w:lang w:val="en-US" w:eastAsia="zh-CN"/>
        </w:rPr>
        <w:t>本年与上年均无结余资金</w:t>
      </w:r>
      <w:r>
        <w:rPr>
          <w:rFonts w:ascii="仿宋_GB2312" w:eastAsia="仿宋_GB2312"/>
          <w:color w:val="000000"/>
          <w:sz w:val="32"/>
          <w:szCs w:val="32"/>
        </w:rPr>
        <w:t>。</w:t>
      </w:r>
      <w:bookmarkEnd w:id="8"/>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both"/>
        <w:textAlignment w:val="auto"/>
        <w:outlineLvl w:val="9"/>
        <w:rPr>
          <w:rFonts w:ascii="楷体_GB2312" w:eastAsia="楷体_GB2312"/>
          <w:b/>
          <w:bCs/>
          <w:sz w:val="32"/>
          <w:szCs w:val="32"/>
        </w:rPr>
      </w:pPr>
      <w:r>
        <w:rPr>
          <w:rFonts w:hint="eastAsia" w:ascii="楷体_GB2312" w:eastAsia="楷体_GB2312"/>
          <w:b/>
          <w:bCs/>
          <w:sz w:val="32"/>
          <w:szCs w:val="32"/>
        </w:rPr>
        <w:t>（二）部门收入总体情况说明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508.81</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508.81</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况：本年收入年初预算数403.05万元</w:t>
      </w:r>
      <w:r>
        <w:rPr>
          <w:rFonts w:hint="eastAsia" w:ascii="仿宋_GB2312" w:eastAsia="仿宋_GB2312"/>
          <w:sz w:val="32"/>
          <w:szCs w:val="32"/>
        </w:rPr>
        <w:t>，决算数508.81万元</w:t>
      </w:r>
      <w:r>
        <w:rPr>
          <w:rFonts w:ascii="仿宋_GB2312" w:eastAsia="仿宋_GB2312"/>
          <w:sz w:val="32"/>
          <w:szCs w:val="32"/>
        </w:rPr>
        <w:t>，预决算差异率26.24%，差异主要原因是一是2018年艰边津贴、基本工资上调，补发2017年至2018年高海拔</w:t>
      </w:r>
      <w:r>
        <w:rPr>
          <w:rFonts w:hint="eastAsia" w:ascii="仿宋_GB2312" w:eastAsia="仿宋_GB2312"/>
          <w:sz w:val="32"/>
          <w:szCs w:val="32"/>
          <w:lang w:val="en-US" w:eastAsia="zh-CN"/>
        </w:rPr>
        <w:t>地区</w:t>
      </w:r>
      <w:r>
        <w:rPr>
          <w:rFonts w:ascii="仿宋_GB2312" w:eastAsia="仿宋_GB2312"/>
          <w:sz w:val="32"/>
          <w:szCs w:val="32"/>
        </w:rPr>
        <w:t>工龄工资；二是项目支出未纳入年初预算，以上原因导致本年决算数较预算数增加。</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508.81</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415.52</w:t>
      </w:r>
      <w:r>
        <w:rPr>
          <w:rFonts w:hint="eastAsia" w:ascii="仿宋_GB2312" w:eastAsia="仿宋_GB2312"/>
          <w:color w:val="000000" w:themeColor="text1"/>
          <w:sz w:val="32"/>
          <w:szCs w:val="32"/>
        </w:rPr>
        <w:t>万元，占</w:t>
      </w:r>
      <w:r>
        <w:rPr>
          <w:rFonts w:hint="eastAsia" w:ascii="仿宋_GB2312" w:eastAsia="仿宋_GB2312"/>
          <w:sz w:val="32"/>
          <w:szCs w:val="32"/>
        </w:rPr>
        <w:t>81.67%</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93.29</w:t>
      </w:r>
      <w:r>
        <w:rPr>
          <w:rFonts w:hint="eastAsia" w:ascii="仿宋_GB2312" w:eastAsia="仿宋_GB2312"/>
          <w:color w:val="000000" w:themeColor="text1"/>
          <w:sz w:val="32"/>
          <w:szCs w:val="32"/>
        </w:rPr>
        <w:t>万元，占</w:t>
      </w:r>
      <w:r>
        <w:rPr>
          <w:rFonts w:hint="eastAsia" w:ascii="仿宋_GB2312" w:eastAsia="仿宋_GB2312"/>
          <w:sz w:val="32"/>
          <w:szCs w:val="32"/>
        </w:rPr>
        <w:t>18.33%</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与年初预算数相比情况：本年支出年初预算数403.05万元，</w:t>
      </w:r>
      <w:r>
        <w:rPr>
          <w:rFonts w:hint="eastAsia" w:ascii="仿宋_GB2312" w:eastAsia="仿宋_GB2312"/>
          <w:sz w:val="32"/>
          <w:szCs w:val="32"/>
        </w:rPr>
        <w:t>决算数508.81万元</w:t>
      </w:r>
      <w:r>
        <w:rPr>
          <w:rFonts w:ascii="仿宋_GB2312" w:eastAsia="仿宋_GB2312"/>
          <w:sz w:val="32"/>
          <w:szCs w:val="32"/>
        </w:rPr>
        <w:t>，预决算差异率26.24%，差异主要原因是一是2018年艰边津贴、基本工资上调，补发2017年至2018年高海拔</w:t>
      </w:r>
      <w:r>
        <w:rPr>
          <w:rFonts w:hint="eastAsia" w:ascii="仿宋_GB2312" w:eastAsia="仿宋_GB2312"/>
          <w:sz w:val="32"/>
          <w:szCs w:val="32"/>
          <w:lang w:val="en-US" w:eastAsia="zh-CN"/>
        </w:rPr>
        <w:t>地区</w:t>
      </w:r>
      <w:r>
        <w:rPr>
          <w:rFonts w:ascii="仿宋_GB2312" w:eastAsia="仿宋_GB2312"/>
          <w:sz w:val="32"/>
          <w:szCs w:val="32"/>
        </w:rPr>
        <w:t>工龄工资；二是项目支出未纳入年初预算，以上原因导致本年决算数较预算数增加。</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hint="eastAsia" w:ascii="仿宋_GB2312" w:eastAsia="仿宋_GB2312"/>
          <w:sz w:val="32"/>
          <w:szCs w:val="32"/>
          <w:lang w:val="en-US" w:eastAsia="zh-CN"/>
        </w:rPr>
      </w:pPr>
      <w:bookmarkStart w:id="23" w:name="OLE_LINK57"/>
      <w:bookmarkStart w:id="24" w:name="OLE_LINK58"/>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508.81</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，与上年相比，减少18.15万元，下降3.44%，减少的主要原因是：编办核减编制人数，人员编制数调至督察局；今年比去年少抚恤金支出；办案经费项目支出比去年减少。</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508.81</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，与上年相比，减少18.15万元，下降3.44%，减少的主要原因是：</w:t>
      </w:r>
      <w:r>
        <w:rPr>
          <w:rFonts w:ascii="仿宋_GB2312" w:eastAsia="仿宋_GB2312"/>
          <w:sz w:val="32"/>
          <w:szCs w:val="32"/>
        </w:rPr>
        <w:t>编办核减编制人数，人员编制数调至督察局；今年比去年少抚恤金支出；办案经费项目支出比去年减少。</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415.52</w:t>
      </w:r>
      <w:r>
        <w:rPr>
          <w:rFonts w:hint="eastAsia" w:ascii="仿宋_GB2312" w:eastAsia="仿宋_GB2312"/>
          <w:color w:val="000000" w:themeColor="text1"/>
          <w:sz w:val="32"/>
          <w:szCs w:val="32"/>
        </w:rPr>
        <w:t>万元，项目支出</w:t>
      </w:r>
      <w:r>
        <w:rPr>
          <w:rFonts w:hint="eastAsia" w:ascii="仿宋_GB2312" w:eastAsia="仿宋_GB2312"/>
          <w:sz w:val="32"/>
          <w:szCs w:val="32"/>
        </w:rPr>
        <w:t>93.29</w:t>
      </w:r>
      <w:r>
        <w:rPr>
          <w:rFonts w:hint="eastAsia" w:ascii="仿宋_GB2312" w:eastAsia="仿宋_GB2312"/>
          <w:color w:val="000000" w:themeColor="text1"/>
          <w:sz w:val="32"/>
          <w:szCs w:val="32"/>
        </w:rPr>
        <w:t>万元。</w:t>
      </w:r>
      <w:bookmarkEnd w:id="29"/>
      <w:bookmarkStart w:id="31" w:name="OLE_LINK16"/>
      <w:bookmarkStart w:id="32" w:name="OLE_LINK62"/>
      <w:r>
        <w:rPr>
          <w:rFonts w:hint="eastAsia" w:ascii="仿宋_GB2312" w:eastAsia="仿宋_GB2312"/>
          <w:color w:val="000000"/>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,增加0万元，增长0%，增加的主要原因是：本年与上年均无结转结余资金。</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403.05</w:t>
      </w:r>
      <w:r>
        <w:rPr>
          <w:rFonts w:hint="eastAsia" w:ascii="仿宋_GB2312" w:eastAsia="仿宋_GB2312"/>
          <w:color w:val="000000" w:themeColor="text1"/>
          <w:sz w:val="32"/>
          <w:szCs w:val="32"/>
        </w:rPr>
        <w:t>万元，决算数</w:t>
      </w:r>
      <w:r>
        <w:rPr>
          <w:rFonts w:hint="eastAsia" w:ascii="仿宋_GB2312" w:eastAsia="仿宋_GB2312"/>
          <w:sz w:val="32"/>
          <w:szCs w:val="32"/>
        </w:rPr>
        <w:t>508.81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，预决算差异率26.24%，差异主要原因是一是2018年艰边津贴、基本工资上调，补发2017年至2018年高海拔</w:t>
      </w:r>
      <w:r>
        <w:rPr>
          <w:rFonts w:hint="eastAsia" w:ascii="仿宋_GB2312" w:eastAsia="仿宋_GB2312"/>
          <w:color w:val="000000" w:themeColor="text1"/>
          <w:sz w:val="32"/>
          <w:szCs w:val="32"/>
          <w:lang w:val="en-US" w:eastAsia="zh-CN"/>
        </w:rPr>
        <w:t>地区</w:t>
      </w:r>
      <w:r>
        <w:rPr>
          <w:rFonts w:ascii="仿宋_GB2312" w:eastAsia="仿宋_GB2312"/>
          <w:color w:val="000000" w:themeColor="text1"/>
          <w:sz w:val="32"/>
          <w:szCs w:val="32"/>
        </w:rPr>
        <w:t>工龄工资；二是项目支出未纳入年初预算，以上原因导致本年决算数较预算数增加。</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403.05</w:t>
      </w:r>
      <w:r>
        <w:rPr>
          <w:rFonts w:hint="eastAsia" w:ascii="仿宋_GB2312" w:eastAsia="仿宋_GB2312"/>
          <w:color w:val="000000" w:themeColor="text1"/>
          <w:sz w:val="32"/>
          <w:szCs w:val="32"/>
        </w:rPr>
        <w:t>万元，决算数</w:t>
      </w:r>
      <w:r>
        <w:rPr>
          <w:rFonts w:hint="eastAsia" w:ascii="仿宋_GB2312" w:eastAsia="仿宋_GB2312"/>
          <w:sz w:val="32"/>
          <w:szCs w:val="32"/>
        </w:rPr>
        <w:t>508.81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，预决算差异率26.24%，差异主要原因是一是2018年艰边津贴、基本工资上调，补发2017年至2018年高海拔</w:t>
      </w:r>
      <w:r>
        <w:rPr>
          <w:rFonts w:hint="eastAsia" w:ascii="仿宋_GB2312" w:eastAsia="仿宋_GB2312"/>
          <w:color w:val="000000" w:themeColor="text1"/>
          <w:sz w:val="32"/>
          <w:szCs w:val="32"/>
          <w:lang w:val="en-US" w:eastAsia="zh-CN"/>
        </w:rPr>
        <w:t>地区</w:t>
      </w:r>
      <w:bookmarkStart w:id="88" w:name="_GoBack"/>
      <w:bookmarkEnd w:id="88"/>
      <w:r>
        <w:rPr>
          <w:rFonts w:ascii="仿宋_GB2312" w:eastAsia="仿宋_GB2312"/>
          <w:color w:val="000000" w:themeColor="text1"/>
          <w:sz w:val="32"/>
          <w:szCs w:val="32"/>
        </w:rPr>
        <w:t>工龄工资；二是项目支出未纳入年初预算，以上原因导致本年决算数较预算数增加。</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508.81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，与上年相比，减少18.15万元，下降3.44%，减少的主要原因是：编办核减编制人数，人员编制数调至督察局；今年比去年少抚恤金支出；办案经费项目支出比去年减少。</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508.81</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，与上年相比，减少18.15万元，下降3.44%，减少的主要原因是：编办核减编制人数，人员编制数调至督察局；今年比去年少抚恤金支出；办案经费项目支出比去年减少。</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住房保障支出25.6万元,公共安全支出446.84万元,社会保障和就业支出36.36万元。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工资福利支出367.76万元,商品和服务支出83.39万元,对个人和家庭的补助18.65万元,资本性支出39万元。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403.05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508.81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，预决算差异率26.24%，差异主要原因是一是2018年艰边津贴、基本工资上调，补发2017年至2018年高海拔</w:t>
      </w:r>
      <w:r>
        <w:rPr>
          <w:rFonts w:hint="eastAsia" w:ascii="仿宋_GB2312" w:eastAsia="仿宋_GB2312"/>
          <w:color w:val="000000" w:themeColor="text1"/>
          <w:sz w:val="32"/>
          <w:szCs w:val="32"/>
          <w:lang w:val="en-US" w:eastAsia="zh-CN"/>
        </w:rPr>
        <w:t>地区</w:t>
      </w:r>
      <w:r>
        <w:rPr>
          <w:rFonts w:ascii="仿宋_GB2312" w:eastAsia="仿宋_GB2312"/>
          <w:color w:val="000000" w:themeColor="text1"/>
          <w:sz w:val="32"/>
          <w:szCs w:val="32"/>
        </w:rPr>
        <w:t>工龄工资；二是项目支出未纳入年初预算，以上原因导致本年决算数较预算数增加。</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403.05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508.81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，预决算差异率26.24%，差异主要原因是一是2018年艰边津贴、基本工资上调，补发2017年至2018年高海拔</w:t>
      </w:r>
      <w:r>
        <w:rPr>
          <w:rFonts w:hint="eastAsia" w:ascii="仿宋_GB2312" w:eastAsia="仿宋_GB2312"/>
          <w:color w:val="000000" w:themeColor="text1"/>
          <w:sz w:val="32"/>
          <w:szCs w:val="32"/>
          <w:lang w:val="en-US" w:eastAsia="zh-CN"/>
        </w:rPr>
        <w:t>地区</w:t>
      </w:r>
      <w:r>
        <w:rPr>
          <w:rFonts w:ascii="仿宋_GB2312" w:eastAsia="仿宋_GB2312"/>
          <w:color w:val="000000" w:themeColor="text1"/>
          <w:sz w:val="32"/>
          <w:szCs w:val="32"/>
        </w:rPr>
        <w:t>工龄工资；二是项目支出未纳入年初预算，以上原因导致本年决算数较预算数增加。</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_GB2312" w:eastAsia="仿宋_GB2312"/>
          <w:color w:val="000000"/>
          <w:sz w:val="32"/>
          <w:szCs w:val="32"/>
        </w:rPr>
      </w:pPr>
      <w:r>
        <w:rPr>
          <w:rFonts w:hint="eastAsia" w:ascii="仿宋_GB2312" w:eastAsia="仿宋_GB2312"/>
          <w:color w:val="000000"/>
          <w:sz w:val="32"/>
          <w:szCs w:val="32"/>
        </w:rPr>
        <w:t>年末结转结余0万元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eastAsia="zh-CN"/>
        </w:rPr>
        <w:t>，</w:t>
      </w:r>
      <w:r>
        <w:rPr>
          <w:rFonts w:hint="eastAsia" w:ascii="仿宋_GB2312" w:eastAsia="仿宋_GB2312"/>
          <w:color w:val="000000"/>
          <w:sz w:val="32"/>
          <w:szCs w:val="32"/>
        </w:rPr>
        <w:t>增加0万元，增长0%。</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jc w:val="both"/>
        <w:textAlignment w:val="auto"/>
        <w:outlineLvl w:val="9"/>
        <w:rPr>
          <w:rFonts w:ascii="仿宋_GB2312" w:eastAsia="仿宋_GB2312"/>
          <w:color w:val="000000"/>
          <w:sz w:val="32"/>
          <w:szCs w:val="32"/>
        </w:rPr>
      </w:pP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其中财政拨款结转结余0万元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val="en-US" w:eastAsia="zh-CN"/>
        </w:rPr>
        <w:t>,</w:t>
      </w:r>
      <w:r>
        <w:rPr>
          <w:rFonts w:hint="eastAsia" w:ascii="仿宋_GB2312" w:eastAsia="仿宋_GB2312"/>
          <w:color w:val="000000"/>
          <w:sz w:val="32"/>
          <w:szCs w:val="32"/>
        </w:rPr>
        <w:t>增加0万元，增长0%。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2" w:name="OLE_LINK74"/>
      <w:r>
        <w:rPr>
          <w:rFonts w:hint="eastAsia" w:ascii="仿宋_GB2312" w:eastAsia="仿宋_GB2312"/>
          <w:color w:val="000000" w:themeColor="text1"/>
          <w:sz w:val="32"/>
          <w:szCs w:val="32"/>
        </w:rPr>
        <w:t>2018年度</w:t>
      </w:r>
      <w:bookmarkStart w:id="53" w:name="OLE_LINK29"/>
      <w:r>
        <w:rPr>
          <w:rFonts w:hint="eastAsia" w:ascii="仿宋_GB2312" w:eastAsia="仿宋_GB2312"/>
          <w:color w:val="000000" w:themeColor="text1"/>
          <w:sz w:val="32"/>
          <w:szCs w:val="32"/>
        </w:rPr>
        <w:t>一般公共预算“三公”经费支出决算</w:t>
      </w:r>
      <w:bookmarkEnd w:id="53"/>
      <w:r>
        <w:rPr>
          <w:rFonts w:hint="eastAsia" w:ascii="仿宋_GB2312" w:eastAsia="仿宋_GB2312"/>
          <w:sz w:val="32"/>
          <w:szCs w:val="32"/>
        </w:rPr>
        <w:t>1.3</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，与上年相比，减少0.06万元，下降4.41%，减少的主要原因是：车辆维修、油料费减少。</w:t>
      </w:r>
      <w:bookmarkEnd w:id="52"/>
      <w:bookmarkStart w:id="54" w:name="OLE_LINK75"/>
      <w:r>
        <w:rPr>
          <w:rFonts w:hint="eastAsia" w:ascii="仿宋_GB2312" w:eastAsia="仿宋_GB2312"/>
          <w:color w:val="000000" w:themeColor="text1"/>
          <w:sz w:val="32"/>
          <w:szCs w:val="32"/>
        </w:rPr>
        <w:t>其中，</w:t>
      </w:r>
      <w:bookmarkStart w:id="55" w:name="OLE_LINK30"/>
      <w:r>
        <w:rPr>
          <w:rFonts w:hint="eastAsia" w:ascii="仿宋_GB2312" w:eastAsia="仿宋_GB2312"/>
          <w:color w:val="000000" w:themeColor="text1"/>
          <w:sz w:val="32"/>
          <w:szCs w:val="32"/>
        </w:rPr>
        <w:t>因公出国（境）费支出</w:t>
      </w:r>
      <w:bookmarkEnd w:id="55"/>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0%，与上年相比，减少</w:t>
      </w:r>
      <w:r>
        <w:rPr>
          <w:rFonts w:hint="eastAsia" w:ascii="仿宋_GB2312" w:eastAsia="仿宋_GB2312"/>
          <w:sz w:val="32"/>
          <w:szCs w:val="32"/>
          <w:lang w:val="en-US" w:eastAsia="zh-CN"/>
        </w:rPr>
        <w:t>0</w:t>
      </w:r>
      <w:r>
        <w:rPr>
          <w:rFonts w:hint="eastAsia" w:ascii="仿宋_GB2312" w:eastAsia="仿宋_GB2312"/>
          <w:sz w:val="32"/>
          <w:szCs w:val="32"/>
        </w:rPr>
        <w:t>万元，下降</w:t>
      </w:r>
      <w:r>
        <w:rPr>
          <w:rFonts w:hint="eastAsia" w:ascii="仿宋_GB2312" w:eastAsia="仿宋_GB2312"/>
          <w:sz w:val="32"/>
          <w:szCs w:val="32"/>
          <w:lang w:val="en-US" w:eastAsia="zh-CN"/>
        </w:rPr>
        <w:t>0</w:t>
      </w:r>
      <w:r>
        <w:rPr>
          <w:rFonts w:hint="eastAsia" w:ascii="仿宋_GB2312" w:eastAsia="仿宋_GB2312"/>
          <w:sz w:val="32"/>
          <w:szCs w:val="32"/>
        </w:rPr>
        <w:t>%，减少的主要原因是：</w:t>
      </w:r>
      <w:r>
        <w:rPr>
          <w:rFonts w:ascii="仿宋_GB2312" w:eastAsia="仿宋_GB2312"/>
          <w:color w:val="000000"/>
          <w:sz w:val="32"/>
          <w:szCs w:val="32"/>
        </w:rPr>
        <w:t>本单位无因公出国（境）费支出</w:t>
      </w:r>
      <w:r>
        <w:rPr>
          <w:rFonts w:hint="eastAsia" w:ascii="仿宋_GB2312" w:eastAsia="仿宋_GB2312"/>
          <w:sz w:val="32"/>
          <w:szCs w:val="32"/>
        </w:rPr>
        <w:t>；</w:t>
      </w:r>
      <w:bookmarkEnd w:id="54"/>
      <w:bookmarkStart w:id="56" w:name="OLE_LINK31"/>
      <w:bookmarkStart w:id="57" w:name="OLE_LINK76"/>
      <w:r>
        <w:rPr>
          <w:rFonts w:hint="eastAsia" w:ascii="仿宋_GB2312" w:eastAsia="仿宋_GB2312"/>
          <w:color w:val="000000" w:themeColor="text1"/>
          <w:sz w:val="32"/>
          <w:szCs w:val="32"/>
        </w:rPr>
        <w:t>公务用车购置及运行维护费支出</w:t>
      </w:r>
      <w:bookmarkEnd w:id="56"/>
      <w:r>
        <w:rPr>
          <w:rFonts w:hint="eastAsia" w:ascii="仿宋_GB2312" w:eastAsia="仿宋_GB2312"/>
          <w:sz w:val="32"/>
          <w:szCs w:val="32"/>
        </w:rPr>
        <w:t>1.3</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100%，与上年相比，减少0.06万元，下降4.41%，减少的主要原因是：车辆维修、油料费减少；</w:t>
      </w:r>
      <w:bookmarkEnd w:id="57"/>
      <w:bookmarkStart w:id="58" w:name="OLE_LINK32"/>
      <w:bookmarkStart w:id="59" w:name="OLE_LINK77"/>
      <w:bookmarkStart w:id="60" w:name="OLE_LINK78"/>
      <w:r>
        <w:rPr>
          <w:rFonts w:hint="eastAsia" w:ascii="仿宋_GB2312" w:eastAsia="仿宋_GB2312"/>
          <w:color w:val="000000" w:themeColor="text1"/>
          <w:sz w:val="32"/>
          <w:szCs w:val="32"/>
        </w:rPr>
        <w:t>公务接待费支出</w:t>
      </w:r>
      <w:bookmarkEnd w:id="5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0%，与上年相比，减少</w:t>
      </w:r>
      <w:r>
        <w:rPr>
          <w:rFonts w:hint="eastAsia" w:ascii="仿宋_GB2312" w:eastAsia="仿宋_GB2312"/>
          <w:sz w:val="32"/>
          <w:szCs w:val="32"/>
          <w:lang w:val="en-US" w:eastAsia="zh-CN"/>
        </w:rPr>
        <w:t>0</w:t>
      </w:r>
      <w:r>
        <w:rPr>
          <w:rFonts w:hint="eastAsia" w:ascii="仿宋_GB2312" w:eastAsia="仿宋_GB2312"/>
          <w:sz w:val="32"/>
          <w:szCs w:val="32"/>
        </w:rPr>
        <w:t>万元，下降</w:t>
      </w:r>
      <w:r>
        <w:rPr>
          <w:rFonts w:hint="eastAsia" w:ascii="仿宋_GB2312" w:eastAsia="仿宋_GB2312"/>
          <w:sz w:val="32"/>
          <w:szCs w:val="32"/>
          <w:lang w:val="en-US" w:eastAsia="zh-CN"/>
        </w:rPr>
        <w:t>0</w:t>
      </w:r>
      <w:r>
        <w:rPr>
          <w:rFonts w:hint="eastAsia" w:ascii="仿宋_GB2312" w:eastAsia="仿宋_GB2312"/>
          <w:sz w:val="32"/>
          <w:szCs w:val="32"/>
        </w:rPr>
        <w:t>%，减少的主要原因是：本单位无公务接待费支出。</w:t>
      </w:r>
      <w:bookmarkEnd w:id="59"/>
      <w:bookmarkEnd w:id="60"/>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1" w:name="OLE_LINK79"/>
      <w:bookmarkStart w:id="62"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新疆喀什地区塔什库尔干县人民检察院</w:t>
      </w:r>
      <w:r>
        <w:rPr>
          <w:rFonts w:hint="eastAsia" w:ascii="仿宋_GB2312" w:eastAsia="仿宋_GB2312"/>
          <w:color w:val="000000" w:themeColor="text1"/>
          <w:sz w:val="32"/>
          <w:szCs w:val="32"/>
        </w:rPr>
        <w:t>单位</w:t>
      </w:r>
      <w:bookmarkStart w:id="63" w:name="OLE_LINK33"/>
      <w:r>
        <w:rPr>
          <w:rFonts w:hint="eastAsia" w:ascii="仿宋_GB2312" w:eastAsia="仿宋_GB2312"/>
          <w:color w:val="000000" w:themeColor="text1"/>
          <w:sz w:val="32"/>
          <w:szCs w:val="32"/>
        </w:rPr>
        <w:t>全年</w:t>
      </w:r>
      <w:bookmarkStart w:id="64" w:name="OLE_LINK35"/>
      <w:bookmarkStart w:id="65" w:name="OLE_LINK34"/>
      <w:bookmarkStart w:id="66" w:name="OLE_LINK36"/>
      <w:r>
        <w:rPr>
          <w:rFonts w:hint="eastAsia" w:ascii="仿宋_GB2312" w:eastAsia="仿宋_GB2312"/>
          <w:color w:val="000000" w:themeColor="text1"/>
          <w:sz w:val="32"/>
          <w:szCs w:val="32"/>
        </w:rPr>
        <w:t>使用一般公共预算财政拨款安排的出国（境）团组</w:t>
      </w:r>
      <w:bookmarkEnd w:id="63"/>
      <w:bookmarkEnd w:id="64"/>
      <w:bookmarkEnd w:id="65"/>
      <w:r>
        <w:rPr>
          <w:rFonts w:hint="eastAsia" w:ascii="仿宋_GB2312" w:eastAsia="仿宋_GB2312"/>
          <w:sz w:val="32"/>
          <w:szCs w:val="32"/>
        </w:rPr>
        <w:t>0</w:t>
      </w:r>
      <w:r>
        <w:rPr>
          <w:rFonts w:hint="eastAsia" w:ascii="仿宋_GB2312" w:eastAsia="仿宋_GB2312"/>
          <w:color w:val="000000" w:themeColor="text1"/>
          <w:sz w:val="32"/>
          <w:szCs w:val="32"/>
        </w:rPr>
        <w:t>个</w:t>
      </w:r>
      <w:bookmarkEnd w:id="66"/>
      <w:r>
        <w:rPr>
          <w:rFonts w:hint="eastAsia" w:ascii="仿宋_GB2312" w:eastAsia="仿宋_GB2312"/>
          <w:color w:val="000000" w:themeColor="text1"/>
          <w:sz w:val="32"/>
          <w:szCs w:val="32"/>
        </w:rPr>
        <w:t>，</w:t>
      </w:r>
      <w:bookmarkStart w:id="67"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67"/>
      <w:r>
        <w:rPr>
          <w:rFonts w:hint="eastAsia" w:ascii="仿宋_GB2312" w:eastAsia="仿宋_GB2312"/>
          <w:color w:val="000000" w:themeColor="text1"/>
          <w:sz w:val="32"/>
          <w:szCs w:val="32"/>
        </w:rPr>
        <w:t>。</w:t>
      </w:r>
      <w:bookmarkStart w:id="68"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本年无因公出国（境）费支出。</w:t>
      </w:r>
      <w:bookmarkEnd w:id="61"/>
      <w:bookmarkEnd w:id="62"/>
      <w:bookmarkEnd w:id="68"/>
    </w:p>
    <w:p>
      <w:pPr>
        <w:spacing w:line="540" w:lineRule="exact"/>
        <w:ind w:firstLine="640" w:firstLineChars="200"/>
        <w:rPr>
          <w:rFonts w:ascii="仿宋_GB2312" w:eastAsia="仿宋_GB2312"/>
          <w:color w:val="000000" w:themeColor="text1"/>
          <w:sz w:val="32"/>
          <w:szCs w:val="32"/>
        </w:rPr>
      </w:pPr>
      <w:bookmarkStart w:id="69"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1.3</w:t>
      </w:r>
      <w:r>
        <w:rPr>
          <w:rFonts w:hint="eastAsia" w:ascii="仿宋_GB2312" w:eastAsia="仿宋_GB2312"/>
          <w:color w:val="000000" w:themeColor="text1"/>
          <w:sz w:val="32"/>
          <w:szCs w:val="32"/>
        </w:rPr>
        <w:t>万元,其中，</w:t>
      </w:r>
      <w:bookmarkStart w:id="70"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0"/>
      <w:r>
        <w:rPr>
          <w:rFonts w:hint="eastAsia" w:ascii="仿宋_GB2312" w:eastAsia="仿宋_GB2312"/>
          <w:color w:val="000000" w:themeColor="text1"/>
          <w:sz w:val="32"/>
          <w:szCs w:val="32"/>
        </w:rPr>
        <w:t>，</w:t>
      </w:r>
      <w:bookmarkStart w:id="71" w:name="OLE_LINK40"/>
      <w:bookmarkStart w:id="72"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1.3</w:t>
      </w:r>
      <w:r>
        <w:rPr>
          <w:rFonts w:hint="eastAsia" w:ascii="仿宋_GB2312" w:eastAsia="仿宋_GB2312"/>
          <w:color w:val="000000" w:themeColor="text1"/>
          <w:sz w:val="32"/>
          <w:szCs w:val="32"/>
        </w:rPr>
        <w:t>万元</w:t>
      </w:r>
      <w:bookmarkEnd w:id="71"/>
      <w:bookmarkEnd w:id="72"/>
      <w:r>
        <w:rPr>
          <w:rFonts w:hint="eastAsia" w:ascii="仿宋_GB2312" w:eastAsia="仿宋_GB2312"/>
          <w:color w:val="000000" w:themeColor="text1"/>
          <w:sz w:val="32"/>
          <w:szCs w:val="32"/>
        </w:rPr>
        <w:t>。主要用于</w:t>
      </w:r>
      <w:r>
        <w:rPr>
          <w:rFonts w:hint="eastAsia" w:ascii="仿宋_GB2312" w:eastAsia="仿宋_GB2312"/>
          <w:sz w:val="32"/>
          <w:szCs w:val="32"/>
        </w:rPr>
        <w:t>车辆保险、修理费、燃料费等支出</w:t>
      </w:r>
      <w:r>
        <w:rPr>
          <w:rFonts w:hint="eastAsia" w:ascii="仿宋_GB2312" w:eastAsia="仿宋_GB2312"/>
          <w:color w:val="000000" w:themeColor="text1"/>
          <w:sz w:val="32"/>
          <w:szCs w:val="32"/>
        </w:rPr>
        <w:t>等。</w:t>
      </w:r>
      <w:bookmarkEnd w:id="69"/>
      <w:bookmarkStart w:id="73"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6</w:t>
      </w:r>
      <w:r>
        <w:rPr>
          <w:rFonts w:hint="eastAsia" w:ascii="仿宋_GB2312" w:eastAsia="仿宋_GB2312"/>
          <w:color w:val="000000" w:themeColor="text1"/>
          <w:sz w:val="32"/>
          <w:szCs w:val="32"/>
        </w:rPr>
        <w:t>辆。</w:t>
      </w:r>
      <w:bookmarkEnd w:id="73"/>
    </w:p>
    <w:p>
      <w:pPr>
        <w:spacing w:line="540" w:lineRule="exact"/>
        <w:ind w:firstLine="640" w:firstLineChars="200"/>
        <w:rPr>
          <w:rFonts w:ascii="仿宋_GB2312" w:eastAsia="仿宋_GB2312"/>
          <w:color w:val="000000" w:themeColor="text1"/>
          <w:sz w:val="32"/>
          <w:szCs w:val="32"/>
        </w:rPr>
      </w:pPr>
      <w:bookmarkStart w:id="74"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本年无公务接待费支出</w:t>
      </w:r>
      <w:r>
        <w:rPr>
          <w:rFonts w:hint="eastAsia" w:ascii="仿宋_GB2312" w:eastAsia="仿宋_GB2312"/>
          <w:color w:val="000000" w:themeColor="text1"/>
          <w:sz w:val="32"/>
          <w:szCs w:val="32"/>
        </w:rPr>
        <w:t>等。</w:t>
      </w:r>
      <w:bookmarkEnd w:id="74"/>
      <w:bookmarkStart w:id="75" w:name="OLE_LINK84"/>
      <w:r>
        <w:rPr>
          <w:rFonts w:hint="eastAsia" w:ascii="仿宋_GB2312" w:eastAsia="仿宋_GB2312"/>
          <w:sz w:val="32"/>
          <w:szCs w:val="32"/>
        </w:rPr>
        <w:t>新疆喀什地区塔什库尔干县人民检察院</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5"/>
    </w:p>
    <w:p>
      <w:pPr>
        <w:spacing w:line="540" w:lineRule="exact"/>
        <w:ind w:firstLine="640" w:firstLineChars="200"/>
        <w:rPr>
          <w:rFonts w:ascii="仿宋_GB2312" w:hAnsi="宋体" w:eastAsia="仿宋_GB2312" w:cs="宋体"/>
          <w:color w:val="000000" w:themeColor="text1"/>
          <w:kern w:val="0"/>
          <w:sz w:val="32"/>
          <w:szCs w:val="32"/>
        </w:rPr>
      </w:pPr>
      <w:bookmarkStart w:id="76"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2</w:t>
      </w:r>
      <w:r>
        <w:rPr>
          <w:rFonts w:hint="eastAsia" w:ascii="仿宋_GB2312" w:eastAsia="仿宋_GB2312"/>
          <w:color w:val="000000" w:themeColor="text1"/>
          <w:sz w:val="32"/>
          <w:szCs w:val="32"/>
        </w:rPr>
        <w:t>万元，决算数1.3万元</w:t>
      </w:r>
      <w:r>
        <w:rPr>
          <w:rFonts w:ascii="仿宋_GB2312" w:eastAsia="仿宋_GB2312"/>
          <w:color w:val="000000" w:themeColor="text1"/>
          <w:sz w:val="32"/>
          <w:szCs w:val="32"/>
        </w:rPr>
        <w:t>，预决算差异率-35%，差异主要原因是车辆维修、油料费减少。</w:t>
      </w:r>
      <w:bookmarkEnd w:id="76"/>
      <w:bookmarkStart w:id="77" w:name="OLE_LINK87"/>
      <w:bookmarkStart w:id="78"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，预决算差异率0%，差异主要原因是无差异；</w:t>
      </w:r>
      <w:bookmarkEnd w:id="77"/>
      <w:bookmarkEnd w:id="78"/>
      <w:bookmarkStart w:id="79" w:name="OLE_LINK88"/>
      <w:bookmarkStart w:id="80"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79"/>
      <w:bookmarkEnd w:id="80"/>
      <w:bookmarkStart w:id="81"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2</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，预决算差异率-35%，差异主要原因是车辆维修、油料费减少；</w:t>
      </w:r>
      <w:bookmarkEnd w:id="81"/>
      <w:bookmarkStart w:id="82"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2"/>
      <w:r>
        <w:rPr>
          <w:rFonts w:ascii="仿宋_GB2312" w:eastAsia="仿宋_GB2312"/>
          <w:color w:val="000000" w:themeColor="text1"/>
          <w:sz w:val="32"/>
          <w:szCs w:val="32"/>
        </w:rPr>
        <w:t>无差异。</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2018年度新疆喀什地区塔什库尔干县人民检察院机关运行经费支出29.1万元，与上年相比，增加22.99万元，增长376.27%，增加的主要原因是：办公费、印刷费、水费、电费、邮电费、差旅费增加。</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3" w:name="OLE_LINK45"/>
      <w:r>
        <w:rPr>
          <w:rFonts w:hint="eastAsia" w:ascii="仿宋_GB2312" w:eastAsia="仿宋_GB2312"/>
          <w:color w:val="000000" w:themeColor="text1"/>
          <w:sz w:val="32"/>
          <w:szCs w:val="32"/>
        </w:rPr>
        <w:t>政府采购支出总额</w:t>
      </w:r>
      <w:bookmarkEnd w:id="83"/>
      <w:r>
        <w:rPr>
          <w:rFonts w:hint="eastAsia" w:ascii="仿宋_GB2312" w:eastAsia="仿宋_GB2312"/>
          <w:sz w:val="32"/>
          <w:szCs w:val="32"/>
        </w:rPr>
        <w:t>29.73</w:t>
      </w:r>
      <w:r>
        <w:rPr>
          <w:rFonts w:hint="eastAsia" w:ascii="仿宋_GB2312" w:eastAsia="仿宋_GB2312"/>
          <w:color w:val="000000" w:themeColor="text1"/>
          <w:sz w:val="32"/>
          <w:szCs w:val="32"/>
        </w:rPr>
        <w:t>万元，其中：</w:t>
      </w:r>
      <w:bookmarkStart w:id="84" w:name="OLE_LINK46"/>
      <w:r>
        <w:rPr>
          <w:rFonts w:hint="eastAsia" w:ascii="仿宋_GB2312" w:eastAsia="仿宋_GB2312"/>
          <w:color w:val="000000" w:themeColor="text1"/>
          <w:sz w:val="32"/>
          <w:szCs w:val="32"/>
        </w:rPr>
        <w:t>政府采购货物支出</w:t>
      </w:r>
      <w:bookmarkEnd w:id="84"/>
      <w:r>
        <w:rPr>
          <w:rFonts w:hint="eastAsia" w:ascii="仿宋_GB2312" w:eastAsia="仿宋_GB2312"/>
          <w:sz w:val="32"/>
          <w:szCs w:val="32"/>
        </w:rPr>
        <w:t>17.17</w:t>
      </w:r>
      <w:r>
        <w:rPr>
          <w:rFonts w:hint="eastAsia" w:ascii="仿宋_GB2312" w:eastAsia="仿宋_GB2312"/>
          <w:color w:val="000000" w:themeColor="text1"/>
          <w:sz w:val="32"/>
          <w:szCs w:val="32"/>
        </w:rPr>
        <w:t>万元、</w:t>
      </w:r>
      <w:bookmarkStart w:id="85" w:name="OLE_LINK47"/>
      <w:r>
        <w:rPr>
          <w:rFonts w:hint="eastAsia" w:ascii="仿宋_GB2312" w:eastAsia="仿宋_GB2312"/>
          <w:color w:val="000000" w:themeColor="text1"/>
          <w:sz w:val="32"/>
          <w:szCs w:val="32"/>
        </w:rPr>
        <w:t>政府采购工程支出</w:t>
      </w:r>
      <w:bookmarkEnd w:id="85"/>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6" w:name="OLE_LINK48"/>
      <w:r>
        <w:rPr>
          <w:rFonts w:hint="eastAsia" w:ascii="仿宋_GB2312" w:eastAsia="仿宋_GB2312"/>
          <w:color w:val="000000" w:themeColor="text1"/>
          <w:sz w:val="32"/>
          <w:szCs w:val="32"/>
        </w:rPr>
        <w:t>政府采购服务支出</w:t>
      </w:r>
      <w:bookmarkEnd w:id="86"/>
      <w:r>
        <w:rPr>
          <w:rFonts w:hint="eastAsia" w:ascii="仿宋_GB2312" w:eastAsia="仿宋_GB2312"/>
          <w:sz w:val="32"/>
          <w:szCs w:val="32"/>
        </w:rPr>
        <w:t>12.56</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87"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6</w:t>
      </w:r>
      <w:r>
        <w:rPr>
          <w:rFonts w:hint="eastAsia" w:ascii="仿宋_GB2312" w:eastAsia="仿宋_GB2312"/>
          <w:color w:val="000000" w:themeColor="text1"/>
          <w:sz w:val="32"/>
          <w:szCs w:val="32"/>
        </w:rPr>
        <w:t>辆，价值</w:t>
      </w:r>
      <w:r>
        <w:rPr>
          <w:rFonts w:hint="eastAsia" w:ascii="仿宋_GB2312" w:eastAsia="仿宋_GB2312"/>
          <w:sz w:val="32"/>
          <w:szCs w:val="32"/>
        </w:rPr>
        <w:t>125.56</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5</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1</w:t>
      </w:r>
      <w:r>
        <w:rPr>
          <w:rFonts w:hint="eastAsia" w:ascii="仿宋_GB2312" w:eastAsia="仿宋_GB2312"/>
          <w:color w:val="000000" w:themeColor="text1"/>
          <w:sz w:val="32"/>
          <w:szCs w:val="32"/>
        </w:rPr>
        <w:t>辆，其他用车主要是：</w:t>
      </w:r>
      <w:r>
        <w:rPr>
          <w:rFonts w:hint="eastAsia" w:ascii="仿宋_GB2312" w:eastAsia="仿宋_GB2312"/>
          <w:color w:val="000000" w:themeColor="text1"/>
          <w:sz w:val="32"/>
          <w:szCs w:val="32"/>
          <w:lang w:eastAsia="zh-CN"/>
        </w:rPr>
        <w:t>江铃全顺商务车一辆</w:t>
      </w:r>
      <w:r>
        <w:rPr>
          <w:rFonts w:hint="eastAsia" w:ascii="仿宋_GB2312" w:eastAsia="仿宋_GB2312"/>
          <w:color w:val="000000" w:themeColor="text1"/>
          <w:sz w:val="32"/>
          <w:szCs w:val="32"/>
          <w:lang w:val="en-US" w:eastAsia="zh-CN"/>
        </w:rPr>
        <w:t>9座及以上</w:t>
      </w:r>
      <w:r>
        <w:rPr>
          <w:rFonts w:hint="eastAsia" w:ascii="仿宋_GB2312" w:eastAsia="仿宋_GB2312"/>
          <w:color w:val="000000" w:themeColor="text1"/>
          <w:sz w:val="32"/>
          <w:szCs w:val="32"/>
          <w:lang w:eastAsia="zh-CN"/>
        </w:rPr>
        <w:t>，主要用于下乡巡查检查日常公务用车</w:t>
      </w:r>
      <w:r>
        <w:rPr>
          <w:rFonts w:ascii="仿宋_GB2312" w:eastAsia="仿宋_GB2312"/>
          <w:color w:val="000000" w:themeColor="text1"/>
          <w:sz w:val="32"/>
          <w:szCs w:val="32"/>
        </w:rPr>
        <w:t>；</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87"/>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纳入2018年度预算绩效项目1个，年初根据单位实际情况设定项目绩效目标。一是资金到位后，立即开会确定实施方案，并形成报告上报县财经领导小组批准使用。二是资金使用严格开支管理，做到了专款专用，不存在挤占、挪用、截留的情况。我局的项目资金属于专项经费，确保专款专用。三是我局进一步规范采购程序，根据《新疆维吾尔自治区2016-2018年度政府采购集中采购目录和分散采购限额标准的通知》（新财购〔2016〕32号）等有关规定，采购均按照招投标进行采购。四是年终单位对绩效项目组织实施自评，根据自评结果总结经验，发现问题及时整改。通过上述一系列措施，我单位不断加强对部门全过程绩效管理的探索，初步构建了事前、事中、事后三位一体的整体绩效管理机制，绩效管理工作质量和部门履职用财能力明显提高。绩效目标编审水平明显提升，树立了“花钱必问效，无效必问责”的理念。通过实施全过程预算绩效管理，树立了绩效优先的理念，提升了部门管理水平和资金使用效益，为全面实施绩效管理打下了坚实基础。</w:t>
      </w:r>
    </w:p>
    <w:p>
      <w:pPr>
        <w:spacing w:line="540" w:lineRule="exact"/>
        <w:ind w:left="-1" w:right="-1" w:firstLine="646"/>
        <w:jc w:val="left"/>
      </w:pPr>
      <w:r>
        <w:rPr>
          <w:rFonts w:ascii="仿宋_GB2312" w:hAnsi="仿宋_GB2312" w:eastAsia="仿宋_GB2312" w:cs="仿宋_GB2312"/>
          <w:b w:val="0"/>
          <w:color w:val="auto"/>
          <w:sz w:val="32"/>
          <w:u w:val="none"/>
        </w:rPr>
        <w:t>政法转移支付资金项目绩效自评综述：根据年初设定的绩效目标，该项目绩效自评得分为83分。项目全年预算数为93.29万元，执行数为93.29万元，完成预算的100%。主要产出和效果：通过改进技术装备，提高办案效率和办案质量来体现法律的公平正义，提高办案的法律效果和社会效果。发现的问题及原因：</w:t>
      </w:r>
      <w:r>
        <w:rPr>
          <w:rFonts w:hint="eastAsia" w:ascii="仿宋_GB2312" w:hAnsi="仿宋_GB2312" w:eastAsia="仿宋_GB2312" w:cs="仿宋_GB2312"/>
          <w:b w:val="0"/>
          <w:color w:val="auto"/>
          <w:sz w:val="32"/>
          <w:u w:val="none"/>
          <w:lang w:eastAsia="zh-CN"/>
        </w:rPr>
        <w:t>无</w:t>
      </w:r>
      <w:r>
        <w:rPr>
          <w:rFonts w:ascii="仿宋_GB2312" w:hAnsi="仿宋_GB2312" w:eastAsia="仿宋_GB2312" w:cs="仿宋_GB2312"/>
          <w:b w:val="0"/>
          <w:color w:val="auto"/>
          <w:sz w:val="32"/>
          <w:u w:val="none"/>
        </w:rPr>
        <w:t>。下一步改进措施：</w:t>
      </w:r>
      <w:r>
        <w:rPr>
          <w:rFonts w:hint="eastAsia" w:ascii="仿宋_GB2312" w:hAnsi="仿宋_GB2312" w:eastAsia="仿宋_GB2312" w:cs="仿宋_GB2312"/>
          <w:b w:val="0"/>
          <w:color w:val="auto"/>
          <w:sz w:val="32"/>
          <w:u w:val="none"/>
          <w:lang w:eastAsia="zh-CN"/>
        </w:rPr>
        <w:t>无</w:t>
      </w:r>
      <w:r>
        <w:rPr>
          <w:rFonts w:ascii="仿宋_GB2312" w:hAnsi="仿宋_GB2312" w:eastAsia="仿宋_GB2312" w:cs="仿宋_GB2312"/>
          <w:b w:val="0"/>
          <w:color w:val="auto"/>
          <w:sz w:val="32"/>
          <w:u w:val="none"/>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221（类）02（款）01（项）指：住房公积金。204（类）04（款）01（项）指：行政运行。204（类）04（款）99（项）指：其他检察支出。208（类）05（款）05（项）指：机关事业单位基本养老保险缴费支出。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hint="eastAsia" w:ascii="宋体" w:hAnsi="宋体" w:eastAsia="宋体"/>
        <w:sz w:val="28"/>
        <w:lang w:eastAsia="zh-CN"/>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- 1 -</w:t>
    </w:r>
    <w:r>
      <w:rPr>
        <w:rStyle w:val="8"/>
        <w:rFonts w:ascii="宋体" w:hAnsi="宋体" w:eastAsia="宋体"/>
        <w:sz w:val="28"/>
      </w:rPr>
      <w:fldChar w:fldCharType="end"/>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-12-</w:t>
    </w:r>
    <w:r>
      <w:rPr>
        <w:rStyle w:val="8"/>
        <w:rFonts w:ascii="宋体" w:hAnsi="宋体" w:eastAsia="宋体"/>
        <w:sz w:val="28"/>
        <w:szCs w:val="28"/>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4A7691"/>
    <w:rsid w:val="04741FE5"/>
    <w:rsid w:val="04DB02C7"/>
    <w:rsid w:val="06323A25"/>
    <w:rsid w:val="06B856EE"/>
    <w:rsid w:val="07FE5938"/>
    <w:rsid w:val="084604BC"/>
    <w:rsid w:val="08883825"/>
    <w:rsid w:val="09725983"/>
    <w:rsid w:val="0A272247"/>
    <w:rsid w:val="0A382BB5"/>
    <w:rsid w:val="0AA4543A"/>
    <w:rsid w:val="0BCE10B2"/>
    <w:rsid w:val="0BE61132"/>
    <w:rsid w:val="0C1F54ED"/>
    <w:rsid w:val="0C9B0DD6"/>
    <w:rsid w:val="0CE4791C"/>
    <w:rsid w:val="0D664CDF"/>
    <w:rsid w:val="0E063C64"/>
    <w:rsid w:val="0F4C7B96"/>
    <w:rsid w:val="0FB05466"/>
    <w:rsid w:val="0FFB575E"/>
    <w:rsid w:val="106E288B"/>
    <w:rsid w:val="10845F1B"/>
    <w:rsid w:val="11463A00"/>
    <w:rsid w:val="11600918"/>
    <w:rsid w:val="11B0398F"/>
    <w:rsid w:val="13B960C5"/>
    <w:rsid w:val="13EC216E"/>
    <w:rsid w:val="152777F4"/>
    <w:rsid w:val="15AF5717"/>
    <w:rsid w:val="15C674B6"/>
    <w:rsid w:val="1647114C"/>
    <w:rsid w:val="17EB1525"/>
    <w:rsid w:val="18D54A0D"/>
    <w:rsid w:val="19636E52"/>
    <w:rsid w:val="1A4106A0"/>
    <w:rsid w:val="1A4F5437"/>
    <w:rsid w:val="1AB77CD0"/>
    <w:rsid w:val="1AC47B4A"/>
    <w:rsid w:val="1BDC2DE0"/>
    <w:rsid w:val="1C0914A4"/>
    <w:rsid w:val="1E807156"/>
    <w:rsid w:val="1EA657F6"/>
    <w:rsid w:val="1F097CB6"/>
    <w:rsid w:val="2166156B"/>
    <w:rsid w:val="21B02D83"/>
    <w:rsid w:val="228332FD"/>
    <w:rsid w:val="22A236F5"/>
    <w:rsid w:val="23110D91"/>
    <w:rsid w:val="231622FB"/>
    <w:rsid w:val="23751A02"/>
    <w:rsid w:val="23995975"/>
    <w:rsid w:val="2432220E"/>
    <w:rsid w:val="248303BA"/>
    <w:rsid w:val="24837E47"/>
    <w:rsid w:val="252E01AA"/>
    <w:rsid w:val="25DF19C6"/>
    <w:rsid w:val="267A3C63"/>
    <w:rsid w:val="2680023E"/>
    <w:rsid w:val="26BA2E70"/>
    <w:rsid w:val="27C32EC8"/>
    <w:rsid w:val="293F2268"/>
    <w:rsid w:val="29680352"/>
    <w:rsid w:val="2A020F75"/>
    <w:rsid w:val="2B007AEE"/>
    <w:rsid w:val="2BC14C56"/>
    <w:rsid w:val="2C1B026F"/>
    <w:rsid w:val="2CC61F55"/>
    <w:rsid w:val="2D85548A"/>
    <w:rsid w:val="2EF7452F"/>
    <w:rsid w:val="2F1D13B4"/>
    <w:rsid w:val="2FAA3DA6"/>
    <w:rsid w:val="30682E1F"/>
    <w:rsid w:val="30E210D2"/>
    <w:rsid w:val="311371D6"/>
    <w:rsid w:val="319D2C21"/>
    <w:rsid w:val="31EB64C9"/>
    <w:rsid w:val="336D0D6F"/>
    <w:rsid w:val="34076DBD"/>
    <w:rsid w:val="352E4BEC"/>
    <w:rsid w:val="371805F9"/>
    <w:rsid w:val="37DD5594"/>
    <w:rsid w:val="38F24FA8"/>
    <w:rsid w:val="3A98342A"/>
    <w:rsid w:val="3AB6780E"/>
    <w:rsid w:val="3AD56D70"/>
    <w:rsid w:val="3B2920C2"/>
    <w:rsid w:val="3BE41ABD"/>
    <w:rsid w:val="3C1F53D9"/>
    <w:rsid w:val="3C5421A9"/>
    <w:rsid w:val="3D903B21"/>
    <w:rsid w:val="3D9B7ADF"/>
    <w:rsid w:val="3E6E6FCB"/>
    <w:rsid w:val="3ECD5B02"/>
    <w:rsid w:val="3F440741"/>
    <w:rsid w:val="404A31E0"/>
    <w:rsid w:val="41FC306C"/>
    <w:rsid w:val="44BE5554"/>
    <w:rsid w:val="44CB72CA"/>
    <w:rsid w:val="451E0908"/>
    <w:rsid w:val="452C2D31"/>
    <w:rsid w:val="45D26E14"/>
    <w:rsid w:val="46A541B1"/>
    <w:rsid w:val="48C57772"/>
    <w:rsid w:val="49782886"/>
    <w:rsid w:val="4A6F0D28"/>
    <w:rsid w:val="4AAF085C"/>
    <w:rsid w:val="4AEB7E60"/>
    <w:rsid w:val="4B4B135B"/>
    <w:rsid w:val="4BAE4F28"/>
    <w:rsid w:val="4BB11A01"/>
    <w:rsid w:val="4BC7055F"/>
    <w:rsid w:val="4CFC7DB2"/>
    <w:rsid w:val="4E3E022F"/>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D822930"/>
    <w:rsid w:val="5ECB44B4"/>
    <w:rsid w:val="5EE2043C"/>
    <w:rsid w:val="602D2E37"/>
    <w:rsid w:val="61460FBE"/>
    <w:rsid w:val="62775810"/>
    <w:rsid w:val="62D83744"/>
    <w:rsid w:val="630F4048"/>
    <w:rsid w:val="63AA02E5"/>
    <w:rsid w:val="64700DE9"/>
    <w:rsid w:val="65C613BD"/>
    <w:rsid w:val="65FD118C"/>
    <w:rsid w:val="679C51D9"/>
    <w:rsid w:val="67C70503"/>
    <w:rsid w:val="682C3D89"/>
    <w:rsid w:val="68611305"/>
    <w:rsid w:val="697C7FB6"/>
    <w:rsid w:val="69B17B9B"/>
    <w:rsid w:val="6A162DE0"/>
    <w:rsid w:val="6A331428"/>
    <w:rsid w:val="6A4D4C42"/>
    <w:rsid w:val="6AE7660D"/>
    <w:rsid w:val="6B2E5CB6"/>
    <w:rsid w:val="6B3D4886"/>
    <w:rsid w:val="6C2627A4"/>
    <w:rsid w:val="6DF8675E"/>
    <w:rsid w:val="6EA80098"/>
    <w:rsid w:val="6F8D70FF"/>
    <w:rsid w:val="6FFE5011"/>
    <w:rsid w:val="7178734D"/>
    <w:rsid w:val="71791096"/>
    <w:rsid w:val="717B0C34"/>
    <w:rsid w:val="71FB78FD"/>
    <w:rsid w:val="7275064A"/>
    <w:rsid w:val="733F750B"/>
    <w:rsid w:val="735702E2"/>
    <w:rsid w:val="73C66139"/>
    <w:rsid w:val="750E09CD"/>
    <w:rsid w:val="765F635A"/>
    <w:rsid w:val="76797FB2"/>
    <w:rsid w:val="76B73454"/>
    <w:rsid w:val="76D254BD"/>
    <w:rsid w:val="77533443"/>
    <w:rsid w:val="77727ACD"/>
    <w:rsid w:val="78071142"/>
    <w:rsid w:val="79296B37"/>
    <w:rsid w:val="79C96545"/>
    <w:rsid w:val="7A4C4C40"/>
    <w:rsid w:val="7AA0518E"/>
    <w:rsid w:val="7ADA46D8"/>
    <w:rsid w:val="7B041636"/>
    <w:rsid w:val="7BF00258"/>
    <w:rsid w:val="7CA86749"/>
    <w:rsid w:val="7E953392"/>
    <w:rsid w:val="7EC92370"/>
    <w:rsid w:val="7ECB554B"/>
    <w:rsid w:val="7F2238BD"/>
    <w:rsid w:val="7FF468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unhideWhenUsed/>
    <w:qFormat/>
    <w:uiPriority w:val="99"/>
    <w:rPr>
      <w:b/>
      <w:bCs/>
    </w:rPr>
  </w:style>
  <w:style w:type="paragraph" w:styleId="3">
    <w:name w:val="annotation text"/>
    <w:basedOn w:val="1"/>
    <w:link w:val="12"/>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unhideWhenUsed/>
    <w:qFormat/>
    <w:uiPriority w:val="99"/>
    <w:rPr>
      <w:sz w:val="21"/>
      <w:szCs w:val="21"/>
    </w:rPr>
  </w:style>
  <w:style w:type="character" w:customStyle="1" w:styleId="11">
    <w:name w:val="页脚 字符"/>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字符"/>
    <w:basedOn w:val="7"/>
    <w:link w:val="3"/>
    <w:semiHidden/>
    <w:qFormat/>
    <w:uiPriority w:val="99"/>
    <w:rPr>
      <w:rFonts w:ascii="Times New Roman" w:hAnsi="Times New Roman" w:eastAsia="宋体" w:cs="Times New Roman"/>
      <w:szCs w:val="24"/>
    </w:rPr>
  </w:style>
  <w:style w:type="character" w:customStyle="1" w:styleId="13">
    <w:name w:val="批注主题 字符"/>
    <w:basedOn w:val="12"/>
    <w:link w:val="2"/>
    <w:semiHidden/>
    <w:qFormat/>
    <w:uiPriority w:val="99"/>
    <w:rPr>
      <w:rFonts w:ascii="Times New Roman" w:hAnsi="Times New Roman" w:eastAsia="宋体" w:cs="Times New Roman"/>
      <w:b/>
      <w:bCs/>
      <w:szCs w:val="24"/>
    </w:rPr>
  </w:style>
  <w:style w:type="character" w:customStyle="1" w:styleId="14">
    <w:name w:val="批注框文本 字符"/>
    <w:basedOn w:val="7"/>
    <w:link w:val="4"/>
    <w:semiHidden/>
    <w:qFormat/>
    <w:uiPriority w:val="99"/>
    <w:rPr>
      <w:rFonts w:ascii="Times New Roman" w:hAnsi="Times New Roman" w:eastAsia="宋体" w:cs="Times New Roman"/>
      <w:sz w:val="18"/>
      <w:szCs w:val="18"/>
    </w:rPr>
  </w:style>
  <w:style w:type="character" w:customStyle="1" w:styleId="15">
    <w:name w:val="页眉 字符"/>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1150</Words>
  <Characters>6560</Characters>
  <Lines>54</Lines>
  <Paragraphs>15</Paragraphs>
  <TotalTime>3</TotalTime>
  <ScaleCrop>false</ScaleCrop>
  <LinksUpToDate>false</LinksUpToDate>
  <CharactersWithSpaces>7695</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Lenovo</cp:lastModifiedBy>
  <dcterms:modified xsi:type="dcterms:W3CDTF">2020-04-05T04:53:58Z</dcterms:modified>
  <cp:revision>810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