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2018年度新疆喀什地区塔什库尔干县人民法院部门决算公开说明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1、依法审判法律规定由基层人民法院管辖的刑事案件。</w:t>
      </w:r>
      <w:r>
        <w:rPr>
          <w:rFonts w:hint="eastAsia" w:ascii="仿宋_GB2312" w:eastAsia="仿宋_GB2312"/>
          <w:sz w:val="32"/>
          <w:szCs w:val="32"/>
        </w:rPr>
        <w:br w:type="textWrapping"/>
      </w:r>
      <w:r>
        <w:rPr>
          <w:rFonts w:hint="eastAsia" w:ascii="仿宋_GB2312" w:eastAsia="仿宋_GB2312"/>
          <w:sz w:val="32"/>
          <w:szCs w:val="32"/>
        </w:rPr>
        <w:t>2、依法审判由基层人民法院管辖的民商事案件。</w:t>
      </w:r>
      <w:r>
        <w:rPr>
          <w:rFonts w:hint="eastAsia" w:ascii="仿宋_GB2312" w:eastAsia="仿宋_GB2312"/>
          <w:sz w:val="32"/>
          <w:szCs w:val="32"/>
        </w:rPr>
        <w:br w:type="textWrapping"/>
      </w:r>
      <w:r>
        <w:rPr>
          <w:rFonts w:hint="eastAsia" w:ascii="仿宋_GB2312" w:eastAsia="仿宋_GB2312"/>
          <w:sz w:val="32"/>
          <w:szCs w:val="32"/>
        </w:rPr>
        <w:t>3、依法审判由基层人民法院管辖的行政案件。</w:t>
      </w:r>
      <w:r>
        <w:rPr>
          <w:rFonts w:hint="eastAsia" w:ascii="仿宋_GB2312" w:eastAsia="仿宋_GB2312"/>
          <w:sz w:val="32"/>
          <w:szCs w:val="32"/>
        </w:rPr>
        <w:br w:type="textWrapping"/>
      </w:r>
      <w:r>
        <w:rPr>
          <w:rFonts w:hint="eastAsia" w:ascii="仿宋_GB2312" w:eastAsia="仿宋_GB2312"/>
          <w:sz w:val="32"/>
          <w:szCs w:val="32"/>
        </w:rPr>
        <w:t>4、依法办理我院一审生效法律文书及其它依法具有强制执行效力文书的执行工作。</w:t>
      </w:r>
      <w:r>
        <w:rPr>
          <w:rFonts w:hint="eastAsia" w:ascii="仿宋_GB2312" w:eastAsia="仿宋_GB2312"/>
          <w:sz w:val="32"/>
          <w:szCs w:val="32"/>
        </w:rPr>
        <w:br w:type="textWrapping"/>
      </w:r>
      <w:r>
        <w:rPr>
          <w:rFonts w:hint="eastAsia" w:ascii="仿宋_GB2312" w:eastAsia="仿宋_GB2312"/>
          <w:sz w:val="32"/>
          <w:szCs w:val="32"/>
        </w:rPr>
        <w:t>5、依法办理由我院受理的国家赔偿案件；审查、处理国家赔偿胜诉案件。</w:t>
      </w:r>
      <w:r>
        <w:rPr>
          <w:rFonts w:hint="eastAsia" w:ascii="仿宋_GB2312" w:eastAsia="仿宋_GB2312"/>
          <w:sz w:val="32"/>
          <w:szCs w:val="32"/>
        </w:rPr>
        <w:br w:type="textWrapping"/>
      </w:r>
      <w:r>
        <w:rPr>
          <w:rFonts w:hint="eastAsia" w:ascii="仿宋_GB2312" w:eastAsia="仿宋_GB2312"/>
          <w:sz w:val="32"/>
          <w:szCs w:val="32"/>
        </w:rPr>
        <w:t>6、负责人民法院思想政治工作、纪检监察工作和队伍管理、培训、教育工作；按照权限管理法官、执行员、书记员和司法警察。</w:t>
      </w:r>
      <w:r>
        <w:rPr>
          <w:rFonts w:hint="eastAsia" w:ascii="仿宋_GB2312" w:eastAsia="仿宋_GB2312"/>
          <w:sz w:val="32"/>
          <w:szCs w:val="32"/>
        </w:rPr>
        <w:br w:type="textWrapping"/>
      </w:r>
      <w:r>
        <w:rPr>
          <w:rFonts w:hint="eastAsia" w:ascii="仿宋_GB2312" w:eastAsia="仿宋_GB2312"/>
          <w:sz w:val="32"/>
          <w:szCs w:val="32"/>
        </w:rPr>
        <w:t>7、在审判工作中宣传法制，教育公民忠于社会主义祖国、自觉遵守宪法、法律和社会公德。</w:t>
      </w:r>
      <w:r>
        <w:rPr>
          <w:rFonts w:hint="eastAsia" w:ascii="仿宋_GB2312" w:eastAsia="仿宋_GB2312"/>
          <w:sz w:val="32"/>
          <w:szCs w:val="32"/>
        </w:rPr>
        <w:br w:type="textWrapping"/>
      </w:r>
      <w:r>
        <w:rPr>
          <w:rFonts w:hint="eastAsia" w:ascii="仿宋_GB2312" w:eastAsia="仿宋_GB2312"/>
          <w:sz w:val="32"/>
          <w:szCs w:val="32"/>
        </w:rPr>
        <w:t>8、积极参与社会治安综合治理，落实依法治理工作。</w:t>
      </w:r>
      <w:r>
        <w:rPr>
          <w:rFonts w:hint="eastAsia" w:ascii="仿宋_GB2312" w:eastAsia="仿宋_GB2312"/>
          <w:sz w:val="32"/>
          <w:szCs w:val="32"/>
        </w:rPr>
        <w:br w:type="textWrapping"/>
      </w:r>
      <w:r>
        <w:rPr>
          <w:rFonts w:hint="eastAsia" w:ascii="仿宋_GB2312" w:eastAsia="仿宋_GB2312"/>
          <w:sz w:val="32"/>
          <w:szCs w:val="32"/>
        </w:rPr>
        <w:t>9、承办其他应由基层人民法院负责的工作。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新疆喀什地区塔什库尔干县人民法院</w:t>
      </w:r>
      <w:r>
        <w:rPr>
          <w:rFonts w:hint="eastAsia" w:ascii="仿宋_GB2312" w:eastAsia="仿宋_GB2312"/>
          <w:sz w:val="32"/>
          <w:szCs w:val="32"/>
        </w:rPr>
        <w:t>部门决算包括：</w:t>
      </w:r>
      <w:r>
        <w:rPr>
          <w:rFonts w:ascii="仿宋_GB2312" w:eastAsia="仿宋_GB2312"/>
          <w:sz w:val="32"/>
          <w:szCs w:val="32"/>
        </w:rPr>
        <w:t>新疆喀什地区塔什库尔干县人民法院</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新疆喀什地区塔什库尔干县人民法院</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新疆喀什地区塔什库尔干县人民法院</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926.22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，与上年相比，增加86.39万元，增长10.29%，增加的主要原因是：</w:t>
      </w:r>
      <w:r>
        <w:rPr>
          <w:rFonts w:hint="eastAsia" w:ascii="仿宋_GB2312" w:eastAsia="仿宋_GB2312"/>
          <w:color w:val="000000" w:themeColor="text1"/>
          <w:sz w:val="32"/>
          <w:szCs w:val="32"/>
        </w:rPr>
        <w:t>2018年调整艰边津贴上调、补发高海拔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工龄工资、基本工资上调，新增3人（领导调整调入1人、新招录公务员2人；</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926.22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，与上年相比，增加86.39万元，增长10.29%，增加的主要原因是：</w:t>
      </w:r>
      <w:r>
        <w:rPr>
          <w:rFonts w:hint="eastAsia" w:ascii="仿宋_GB2312" w:eastAsia="仿宋_GB2312"/>
          <w:color w:val="000000" w:themeColor="text1"/>
          <w:sz w:val="32"/>
          <w:szCs w:val="32"/>
        </w:rPr>
        <w:t>2018年调整艰边津贴上调、补发高海拔工龄工资、基本工资上调，新增3人（领导调整调入1人、新招录公务员2人；</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926.22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926.22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况：本年收入年初预算数674.77万元</w:t>
      </w:r>
      <w:r>
        <w:rPr>
          <w:rFonts w:hint="eastAsia" w:ascii="仿宋_GB2312" w:eastAsia="仿宋_GB2312"/>
          <w:sz w:val="32"/>
          <w:szCs w:val="32"/>
        </w:rPr>
        <w:t>，决算数926.22万元</w:t>
      </w:r>
      <w:r>
        <w:rPr>
          <w:rFonts w:ascii="仿宋_GB2312" w:eastAsia="仿宋_GB2312"/>
          <w:sz w:val="32"/>
          <w:szCs w:val="32"/>
        </w:rPr>
        <w:t>，预决算差异率37.26%，差异主要原因是2018年调整艰边津贴上调、补发高海拔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sz w:val="32"/>
          <w:szCs w:val="32"/>
        </w:rPr>
        <w:t>。</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926.22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770.22</w:t>
      </w:r>
      <w:r>
        <w:rPr>
          <w:rFonts w:hint="eastAsia" w:ascii="仿宋_GB2312" w:eastAsia="仿宋_GB2312"/>
          <w:color w:val="000000" w:themeColor="text1"/>
          <w:sz w:val="32"/>
          <w:szCs w:val="32"/>
        </w:rPr>
        <w:t>万元，占</w:t>
      </w:r>
      <w:r>
        <w:rPr>
          <w:rFonts w:hint="eastAsia" w:ascii="仿宋_GB2312" w:eastAsia="仿宋_GB2312"/>
          <w:sz w:val="32"/>
          <w:szCs w:val="32"/>
        </w:rPr>
        <w:t>83.16%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156</w:t>
      </w:r>
      <w:r>
        <w:rPr>
          <w:rFonts w:hint="eastAsia" w:ascii="仿宋_GB2312" w:eastAsia="仿宋_GB2312"/>
          <w:color w:val="000000" w:themeColor="text1"/>
          <w:sz w:val="32"/>
          <w:szCs w:val="32"/>
        </w:rPr>
        <w:t>万元，占</w:t>
      </w:r>
      <w:r>
        <w:rPr>
          <w:rFonts w:hint="eastAsia" w:ascii="仿宋_GB2312" w:eastAsia="仿宋_GB2312"/>
          <w:sz w:val="32"/>
          <w:szCs w:val="32"/>
        </w:rPr>
        <w:t>16.84%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与年初预算数相比情况：本年支出年初预算数674.77万元，</w:t>
      </w:r>
      <w:r>
        <w:rPr>
          <w:rFonts w:hint="eastAsia" w:ascii="仿宋_GB2312" w:eastAsia="仿宋_GB2312"/>
          <w:sz w:val="32"/>
          <w:szCs w:val="32"/>
        </w:rPr>
        <w:t>决算数926.22万元</w:t>
      </w:r>
      <w:r>
        <w:rPr>
          <w:rFonts w:ascii="仿宋_GB2312" w:eastAsia="仿宋_GB2312"/>
          <w:sz w:val="32"/>
          <w:szCs w:val="32"/>
        </w:rPr>
        <w:t>，预决算差异率37.26%，差异主要原因是</w:t>
      </w:r>
      <w:bookmarkEnd w:id="22"/>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926.22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，与上年相比，增加86.39万元，增长10.29%，增加的主要原因是：2018年调整艰边津贴上调、补发高海拔</w:t>
      </w:r>
      <w:r>
        <w:rPr>
          <w:rFonts w:hint="eastAsia" w:ascii="仿宋_GB2312" w:eastAsia="仿宋_GB2312"/>
          <w:sz w:val="32"/>
          <w:szCs w:val="32"/>
          <w:lang w:val="en-US" w:eastAsia="zh-CN"/>
        </w:rPr>
        <w:t>地区</w:t>
      </w:r>
      <w:r>
        <w:rPr>
          <w:rFonts w:hint="eastAsia" w:ascii="仿宋_GB2312" w:eastAsia="仿宋_GB2312"/>
          <w:sz w:val="32"/>
          <w:szCs w:val="32"/>
        </w:rPr>
        <w:t>工龄工资、基本工资上调，新增3人（领导调整调入1人、新招录公务员2人。</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926.22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，与上年相比，增加86.39万元，增长10.29%，增加的主要原因是：</w:t>
      </w:r>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770.22</w:t>
      </w:r>
      <w:r>
        <w:rPr>
          <w:rFonts w:hint="eastAsia" w:ascii="仿宋_GB2312" w:eastAsia="仿宋_GB2312"/>
          <w:color w:val="000000" w:themeColor="text1"/>
          <w:sz w:val="32"/>
          <w:szCs w:val="32"/>
        </w:rPr>
        <w:t>万元，项目支出</w:t>
      </w:r>
      <w:r>
        <w:rPr>
          <w:rFonts w:hint="eastAsia" w:ascii="仿宋_GB2312" w:eastAsia="仿宋_GB2312"/>
          <w:sz w:val="32"/>
          <w:szCs w:val="32"/>
        </w:rPr>
        <w:t>156</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674.77</w:t>
      </w:r>
      <w:r>
        <w:rPr>
          <w:rFonts w:hint="eastAsia" w:ascii="仿宋_GB2312" w:eastAsia="仿宋_GB2312"/>
          <w:color w:val="000000" w:themeColor="text1"/>
          <w:sz w:val="32"/>
          <w:szCs w:val="32"/>
        </w:rPr>
        <w:t>万元，决算数</w:t>
      </w:r>
      <w:r>
        <w:rPr>
          <w:rFonts w:hint="eastAsia" w:ascii="仿宋_GB2312" w:eastAsia="仿宋_GB2312"/>
          <w:sz w:val="32"/>
          <w:szCs w:val="32"/>
        </w:rPr>
        <w:t>926.22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，预决算差异率37.26%，差异主要原因是</w:t>
      </w:r>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674.77</w:t>
      </w:r>
      <w:r>
        <w:rPr>
          <w:rFonts w:hint="eastAsia" w:ascii="仿宋_GB2312" w:eastAsia="仿宋_GB2312"/>
          <w:color w:val="000000" w:themeColor="text1"/>
          <w:sz w:val="32"/>
          <w:szCs w:val="32"/>
        </w:rPr>
        <w:t>万元，决算数</w:t>
      </w:r>
      <w:r>
        <w:rPr>
          <w:rFonts w:hint="eastAsia" w:ascii="仿宋_GB2312" w:eastAsia="仿宋_GB2312"/>
          <w:sz w:val="32"/>
          <w:szCs w:val="32"/>
        </w:rPr>
        <w:t>926.22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，预决算差异率37.26%，差异主要原因是</w:t>
      </w:r>
      <w:bookmarkEnd w:id="33"/>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sz w:val="32"/>
          <w:szCs w:val="32"/>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926.22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，与上年相比，增加86.39万元，增长10.29%，增加的主要原因是：2018年调整艰边津贴上调、补发高海拔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工龄工资、基本工资上调，新增3人（领导调整调入1人、新招录公务员2人。</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926.22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，与上年相比，增加86.39万元，增长10.29%，增加的主要原因是：2018年调整艰边津贴上调、补发高海拔</w:t>
      </w:r>
      <w:r>
        <w:rPr>
          <w:rFonts w:hint="eastAsia" w:ascii="仿宋_GB2312" w:eastAsia="仿宋_GB2312"/>
          <w:sz w:val="32"/>
          <w:szCs w:val="32"/>
          <w:lang w:val="en-US" w:eastAsia="zh-CN"/>
        </w:rPr>
        <w:t>地区</w:t>
      </w:r>
      <w:r>
        <w:rPr>
          <w:rFonts w:hint="eastAsia" w:ascii="仿宋_GB2312" w:eastAsia="仿宋_GB2312"/>
          <w:sz w:val="32"/>
          <w:szCs w:val="32"/>
        </w:rPr>
        <w:t>工龄工资、基本工资上调，新增3人（领导调整调入1人、新招录公务员2人。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住房保障支出41.65万元,公共安全支出825.25万元,社会保障和就业支出59.33万元。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工资福利支出701.77万元,商品和服务支出134.63万元,对个人和家庭的补助54.83万元,资本性支出35万元。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674.77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926.22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，预决算差异率37.26%，差异主要原因是2</w:t>
      </w:r>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color w:val="000000" w:themeColor="text1"/>
          <w:sz w:val="32"/>
          <w:szCs w:val="32"/>
        </w:rPr>
        <w:t>；2018年预算未做项目支出156万元。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674.77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926.22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，预决算差异率37.26%，差异主要原因是</w:t>
      </w:r>
      <w:r>
        <w:rPr>
          <w:rFonts w:ascii="仿宋_GB2312" w:eastAsia="仿宋_GB2312"/>
          <w:sz w:val="32"/>
          <w:szCs w:val="32"/>
        </w:rPr>
        <w:t>2018年调整艰边津贴上调、补发高海拔</w:t>
      </w:r>
      <w:r>
        <w:rPr>
          <w:rFonts w:hint="eastAsia" w:ascii="仿宋_GB2312" w:eastAsia="仿宋_GB2312"/>
          <w:sz w:val="32"/>
          <w:szCs w:val="32"/>
          <w:lang w:val="en-US" w:eastAsia="zh-CN"/>
        </w:rPr>
        <w:t>地区</w:t>
      </w:r>
      <w:r>
        <w:rPr>
          <w:rFonts w:ascii="仿宋_GB2312" w:eastAsia="仿宋_GB2312"/>
          <w:sz w:val="32"/>
          <w:szCs w:val="32"/>
        </w:rPr>
        <w:t>工龄工资、基本工资上调，新增3人（领导调整调入1人、新招录公务员2人</w:t>
      </w:r>
      <w:r>
        <w:rPr>
          <w:rFonts w:hint="eastAsia" w:ascii="仿宋_GB2312" w:eastAsia="仿宋_GB2312"/>
          <w:sz w:val="32"/>
          <w:szCs w:val="32"/>
          <w:lang w:val="en-US" w:eastAsia="zh-CN"/>
        </w:rPr>
        <w:t>导致人员经费增加</w:t>
      </w:r>
      <w:r>
        <w:rPr>
          <w:rFonts w:ascii="仿宋_GB2312" w:eastAsia="仿宋_GB2312"/>
          <w:color w:val="000000" w:themeColor="text1"/>
          <w:sz w:val="32"/>
          <w:szCs w:val="32"/>
        </w:rPr>
        <w:t>；2018年预算未做项目支出156万元。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sz w:val="32"/>
          <w:szCs w:val="32"/>
        </w:rPr>
        <w:t>2018年度</w:t>
      </w:r>
      <w:bookmarkStart w:id="53" w:name="OLE_LINK29"/>
      <w:r>
        <w:rPr>
          <w:rFonts w:hint="eastAsia" w:ascii="仿宋_GB2312" w:eastAsia="仿宋_GB2312"/>
          <w:color w:val="000000"/>
          <w:sz w:val="32"/>
          <w:szCs w:val="32"/>
        </w:rPr>
        <w:t>一般公共预算“三公”经费支出决算</w:t>
      </w:r>
      <w:bookmarkEnd w:id="53"/>
      <w:r>
        <w:rPr>
          <w:rFonts w:hint="eastAsia" w:ascii="仿宋_GB2312" w:eastAsia="仿宋_GB2312"/>
          <w:sz w:val="32"/>
          <w:szCs w:val="32"/>
        </w:rPr>
        <w:t>4</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4" w:name="OLE_LINK75"/>
      <w:r>
        <w:rPr>
          <w:rFonts w:hint="eastAsia" w:ascii="仿宋_GB2312" w:eastAsia="仿宋_GB2312"/>
          <w:color w:val="000000"/>
          <w:sz w:val="32"/>
          <w:szCs w:val="32"/>
          <w:highlight w:val="none"/>
        </w:rPr>
        <w:t>其中，</w:t>
      </w:r>
      <w:bookmarkStart w:id="55" w:name="OLE_LINK30"/>
      <w:r>
        <w:rPr>
          <w:rFonts w:hint="eastAsia" w:ascii="仿宋_GB2312" w:eastAsia="仿宋_GB2312"/>
          <w:color w:val="000000"/>
          <w:sz w:val="32"/>
          <w:szCs w:val="32"/>
          <w:highlight w:val="none"/>
        </w:rPr>
        <w:t>因公出国（境）费支出</w:t>
      </w:r>
      <w:bookmarkEnd w:id="55"/>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4"/>
      <w:bookmarkStart w:id="56" w:name="OLE_LINK31"/>
      <w:bookmarkStart w:id="57"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6"/>
      <w:r>
        <w:rPr>
          <w:rFonts w:hint="eastAsia" w:ascii="仿宋_GB2312" w:eastAsia="仿宋_GB2312"/>
          <w:sz w:val="32"/>
          <w:szCs w:val="32"/>
          <w:highlight w:val="none"/>
        </w:rPr>
        <w:t>4</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7"/>
      <w:bookmarkStart w:id="58" w:name="OLE_LINK32"/>
      <w:bookmarkStart w:id="59" w:name="OLE_LINK77"/>
      <w:bookmarkStart w:id="60" w:name="OLE_LINK78"/>
      <w:r>
        <w:rPr>
          <w:rFonts w:hint="eastAsia" w:ascii="仿宋_GB2312" w:eastAsia="仿宋_GB2312"/>
          <w:color w:val="000000"/>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新疆喀什地区塔什库尔干县人民法院</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4</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车辆保险、修理费、油料及审验费</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新疆喀什地区塔什库尔干县人民法院</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4.5</w:t>
      </w:r>
      <w:r>
        <w:rPr>
          <w:rFonts w:hint="eastAsia" w:ascii="仿宋_GB2312" w:eastAsia="仿宋_GB2312"/>
          <w:color w:val="000000" w:themeColor="text1"/>
          <w:sz w:val="32"/>
          <w:szCs w:val="32"/>
        </w:rPr>
        <w:t>万元，决算数4万元</w:t>
      </w:r>
      <w:r>
        <w:rPr>
          <w:rFonts w:ascii="仿宋_GB2312" w:eastAsia="仿宋_GB2312"/>
          <w:color w:val="000000" w:themeColor="text1"/>
          <w:sz w:val="32"/>
          <w:szCs w:val="32"/>
        </w:rPr>
        <w:t>，预决算差异率-11.11%，差异主要原因是车辆保险费减少。</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，预决算差异率-11.11%，差异主要原因是车辆保险费减少；</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hint="eastAsia" w:ascii="仿宋_GB2312" w:eastAsia="仿宋_GB2312"/>
          <w:sz w:val="32"/>
          <w:szCs w:val="32"/>
        </w:rPr>
        <w:t>本单位无公务接待费支出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2018年度新疆喀什地区塔什库尔干县人民法院机关运行经费支出13.63万元，与上年相比，减少0.17万元，下降1.23%，减少的主要原因是：2018年</w:t>
      </w:r>
      <w:r>
        <w:rPr>
          <w:rFonts w:hint="eastAsia" w:ascii="仿宋_GB2312" w:eastAsia="仿宋_GB2312"/>
          <w:color w:val="000000" w:themeColor="text1"/>
          <w:sz w:val="32"/>
          <w:szCs w:val="32"/>
          <w:lang w:val="en-US" w:eastAsia="zh-CN"/>
        </w:rPr>
        <w:t>办公经费较上年减少</w:t>
      </w:r>
      <w:r>
        <w:rPr>
          <w:rFonts w:hint="eastAsia" w:ascii="仿宋_GB2312" w:eastAsia="仿宋_GB2312"/>
          <w:color w:val="000000" w:themeColor="text1"/>
          <w:sz w:val="32"/>
          <w:szCs w:val="32"/>
        </w:rPr>
        <w:t>。</w:t>
      </w:r>
      <w:bookmarkStart w:id="88" w:name="_GoBack"/>
      <w:bookmarkEnd w:id="88"/>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2.48</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2.48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11</w:t>
      </w:r>
      <w:r>
        <w:rPr>
          <w:rFonts w:hint="eastAsia" w:ascii="仿宋_GB2312" w:eastAsia="仿宋_GB2312"/>
          <w:color w:val="000000" w:themeColor="text1"/>
          <w:sz w:val="32"/>
          <w:szCs w:val="32"/>
        </w:rPr>
        <w:t>辆，价值</w:t>
      </w:r>
      <w:r>
        <w:rPr>
          <w:rFonts w:hint="eastAsia" w:ascii="仿宋_GB2312" w:eastAsia="仿宋_GB2312"/>
          <w:sz w:val="32"/>
          <w:szCs w:val="32"/>
        </w:rPr>
        <w:t>99.13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预算中，我院全院干警的工资、社保、住房公积金、办公楼的取暖费、车辆经费、公用经费全部纳入预算绩效管理，但2018年项目支出未做预算，每月工资按时审批发放，车辆经费和公用经费未拨付，2018年项目资金到位5月份，经过财经委员审批后使用资金到2018年6月中旬左右，截止2018年12月31日资金全部使用完毕。资金使用过程中，因领导在各县等地工作，未能按时支付，存在资金使用不均匀的情况。</w:t>
      </w:r>
    </w:p>
    <w:p>
      <w:pPr>
        <w:spacing w:line="540" w:lineRule="exact"/>
        <w:ind w:left="-1" w:right="-1" w:firstLine="646"/>
        <w:jc w:val="left"/>
      </w:pPr>
      <w:r>
        <w:rPr>
          <w:rFonts w:ascii="仿宋_GB2312" w:hAnsi="仿宋_GB2312" w:eastAsia="仿宋_GB2312" w:cs="仿宋_GB2312"/>
          <w:b w:val="0"/>
          <w:color w:val="000000"/>
          <w:sz w:val="32"/>
          <w:u w:val="none"/>
        </w:rPr>
        <w:t>1、中央政法转移支付资金（办案业务经费）项目绩效自评综述：根据年初设定的绩效目标，该项目绩效自评得分为89分。项目全年预算数为121万元，执行数为121万元，完成预算的100%。主要产出和效果：截止12月底，我院共收立各类案件230件（其中，旧存24件，新收206件），其中：刑事案件32件（普通刑事案件29件），同比去年上升34.4%，结案率96.77%；民商事案件164件，已结161件，结案率98%；行政案件1件，已结1件、结案率100%；执行案件33件，已结30件，结案率88%；案件收案标的为21195.54万元，结案标的为3402.01万元。今年共开展扶贫对接20余次，并按照辅助特色“一户一方案”和自治县脱贫攻坚各项工作任务，为农牧民在发展庭院经济、特色养殖、庭院改造、三新引导、解贫退贫等方面提供资金支持12.49万元。开展好活动和民族团结联谊工作。做好后勤保障工作</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发现的问题及原因：一是根据项目实施情况，第一、二季度支出偏低，主要是资金于6月左右才到位，必须上报实施方案上报县财经领导小组批准方可使用。二是对项目绩效认识不到位，存在支付不均匀情况</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下一步改进措施：针对绩效评价过程中的问题，一是科学地做好支出进度安排，并在实施过程加强监督，加快支出进度。二是做好预算编制安排，争取每月支出达到相对均衡</w:t>
      </w:r>
      <w:r>
        <w:rPr>
          <w:rFonts w:hint="eastAsia" w:ascii="仿宋_GB2312" w:hAnsi="仿宋_GB2312" w:eastAsia="仿宋_GB2312" w:cs="仿宋_GB2312"/>
          <w:b w:val="0"/>
          <w:color w:val="000000"/>
          <w:sz w:val="32"/>
          <w:u w:val="none"/>
          <w:lang w:eastAsia="zh-CN"/>
        </w:rPr>
        <w:t>。</w:t>
      </w:r>
    </w:p>
    <w:p>
      <w:pPr>
        <w:spacing w:line="540" w:lineRule="exact"/>
        <w:ind w:left="-1" w:right="-1" w:firstLine="646"/>
        <w:jc w:val="left"/>
      </w:pPr>
      <w:r>
        <w:rPr>
          <w:rFonts w:ascii="仿宋_GB2312" w:hAnsi="仿宋_GB2312" w:eastAsia="仿宋_GB2312" w:cs="仿宋_GB2312"/>
          <w:b w:val="0"/>
          <w:color w:val="000000"/>
          <w:sz w:val="32"/>
          <w:u w:val="none"/>
        </w:rPr>
        <w:t>2、中央政法转移支付资金（业务装备经费）项目绩效自评综述：根据年初设定的绩效目标，该项目绩效自评得分为90分。项目全年预算数为35万元，执行数为35万元，完成预算的100%。主要产出和效果：为了高质量的审理每一件案件，案件开庭时同步录音录像高速，清晰的记录每件案件，方便阅卷当事人及其他机关查阅档案，对一号科技法庭和档案室进行升级改造。根据最高人民法院（2017）151号文件的要求，对全院干警审判服装改款进行换装工作，保证审判人员开庭按照规定着装</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发现的问题及原因：一是根据项目实施情况，第一、二季度支出偏低，主要是资金于6月和10月份才到位，必须上报实施方案上报县财经领导小组批准方可使用</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二是对项目绩效认识不到位，存在支付不均匀</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下一步改进措施：一是科学地做好支出进度安排，并在实施过程加强监督，加快支出进度。二是做好预算编制安排，争取每月支出达到相对均衡</w:t>
      </w:r>
      <w:r>
        <w:rPr>
          <w:rFonts w:hint="eastAsia" w:ascii="仿宋_GB2312" w:hAnsi="仿宋_GB2312" w:eastAsia="仿宋_GB2312" w:cs="仿宋_GB2312"/>
          <w:b w:val="0"/>
          <w:color w:val="000000"/>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221（类）02（款）01（项）指：住房公积金。204（类）05（款）99（项）指：其他法院支出。204（类）05（款）01（项）指：行政运行。208（类）05（款）05（项）指：机关事业单位基本养老保险缴费支出。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6B563D"/>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E1865BB"/>
    <w:rsid w:val="0F4C7B96"/>
    <w:rsid w:val="0FFB575E"/>
    <w:rsid w:val="10845F1B"/>
    <w:rsid w:val="1123304D"/>
    <w:rsid w:val="11463A00"/>
    <w:rsid w:val="11600918"/>
    <w:rsid w:val="11B0398F"/>
    <w:rsid w:val="13B960C5"/>
    <w:rsid w:val="152777F4"/>
    <w:rsid w:val="15C674B6"/>
    <w:rsid w:val="18005AA9"/>
    <w:rsid w:val="18D54A0D"/>
    <w:rsid w:val="1A4106A0"/>
    <w:rsid w:val="1A4F5437"/>
    <w:rsid w:val="1AB77CD0"/>
    <w:rsid w:val="1C654172"/>
    <w:rsid w:val="1E807156"/>
    <w:rsid w:val="1EA657F6"/>
    <w:rsid w:val="1F097CB6"/>
    <w:rsid w:val="1F7949B6"/>
    <w:rsid w:val="20951B28"/>
    <w:rsid w:val="2166156B"/>
    <w:rsid w:val="21B02D83"/>
    <w:rsid w:val="224D5606"/>
    <w:rsid w:val="22A236F5"/>
    <w:rsid w:val="23995975"/>
    <w:rsid w:val="2432220E"/>
    <w:rsid w:val="248303BA"/>
    <w:rsid w:val="24837E47"/>
    <w:rsid w:val="252E01AA"/>
    <w:rsid w:val="2680023E"/>
    <w:rsid w:val="279F184A"/>
    <w:rsid w:val="285E605D"/>
    <w:rsid w:val="29680352"/>
    <w:rsid w:val="2A020F75"/>
    <w:rsid w:val="2B007AEE"/>
    <w:rsid w:val="2BC14C56"/>
    <w:rsid w:val="2C1B026F"/>
    <w:rsid w:val="2CC61F55"/>
    <w:rsid w:val="2EF7452F"/>
    <w:rsid w:val="2F1D13B4"/>
    <w:rsid w:val="2FAA3DA6"/>
    <w:rsid w:val="30041715"/>
    <w:rsid w:val="30682E1F"/>
    <w:rsid w:val="30E210D2"/>
    <w:rsid w:val="311371D6"/>
    <w:rsid w:val="319C6BDD"/>
    <w:rsid w:val="31EB64C9"/>
    <w:rsid w:val="336D0D6F"/>
    <w:rsid w:val="352E4BEC"/>
    <w:rsid w:val="37DD5594"/>
    <w:rsid w:val="387461FD"/>
    <w:rsid w:val="38F24FA8"/>
    <w:rsid w:val="391B7CAB"/>
    <w:rsid w:val="3A98342A"/>
    <w:rsid w:val="3AB6780E"/>
    <w:rsid w:val="3AD56D70"/>
    <w:rsid w:val="3B2920C2"/>
    <w:rsid w:val="3BA434C0"/>
    <w:rsid w:val="3BE41ABD"/>
    <w:rsid w:val="3C5421A9"/>
    <w:rsid w:val="3D903B21"/>
    <w:rsid w:val="3DFA6048"/>
    <w:rsid w:val="3EF0474E"/>
    <w:rsid w:val="3F274B3F"/>
    <w:rsid w:val="3F440741"/>
    <w:rsid w:val="41FC306C"/>
    <w:rsid w:val="437E41F2"/>
    <w:rsid w:val="44BE5554"/>
    <w:rsid w:val="451E0908"/>
    <w:rsid w:val="452C2D31"/>
    <w:rsid w:val="45D26E14"/>
    <w:rsid w:val="46A541B1"/>
    <w:rsid w:val="47EE4939"/>
    <w:rsid w:val="48C57772"/>
    <w:rsid w:val="49782886"/>
    <w:rsid w:val="4A6F0D28"/>
    <w:rsid w:val="4AAF085C"/>
    <w:rsid w:val="4AEB7E60"/>
    <w:rsid w:val="4B4B135B"/>
    <w:rsid w:val="4BC7055F"/>
    <w:rsid w:val="4C2378C2"/>
    <w:rsid w:val="4CFC7DB2"/>
    <w:rsid w:val="4E7C187D"/>
    <w:rsid w:val="508941AD"/>
    <w:rsid w:val="509820B1"/>
    <w:rsid w:val="50E65530"/>
    <w:rsid w:val="510D43A5"/>
    <w:rsid w:val="51457139"/>
    <w:rsid w:val="51574DBD"/>
    <w:rsid w:val="51EC1DA8"/>
    <w:rsid w:val="52877D27"/>
    <w:rsid w:val="52CC191B"/>
    <w:rsid w:val="52FC5524"/>
    <w:rsid w:val="532D7A17"/>
    <w:rsid w:val="53F5021A"/>
    <w:rsid w:val="54334BF7"/>
    <w:rsid w:val="547434EA"/>
    <w:rsid w:val="54AF4562"/>
    <w:rsid w:val="54C9674B"/>
    <w:rsid w:val="54D92B5C"/>
    <w:rsid w:val="556318EA"/>
    <w:rsid w:val="55A60AA1"/>
    <w:rsid w:val="56451615"/>
    <w:rsid w:val="57FC5774"/>
    <w:rsid w:val="59962A6D"/>
    <w:rsid w:val="59B332C9"/>
    <w:rsid w:val="5A44758A"/>
    <w:rsid w:val="5B247093"/>
    <w:rsid w:val="5BEC4BB3"/>
    <w:rsid w:val="5C070B55"/>
    <w:rsid w:val="5CB96DCE"/>
    <w:rsid w:val="5CE61580"/>
    <w:rsid w:val="5D175666"/>
    <w:rsid w:val="5D556A3C"/>
    <w:rsid w:val="5D7B25C9"/>
    <w:rsid w:val="5ECB44B4"/>
    <w:rsid w:val="5EE2043C"/>
    <w:rsid w:val="602D2E37"/>
    <w:rsid w:val="61460FBE"/>
    <w:rsid w:val="61B519C2"/>
    <w:rsid w:val="62775810"/>
    <w:rsid w:val="62D83744"/>
    <w:rsid w:val="630F4048"/>
    <w:rsid w:val="638E7F5D"/>
    <w:rsid w:val="63AA02E5"/>
    <w:rsid w:val="645A15E3"/>
    <w:rsid w:val="64700DE9"/>
    <w:rsid w:val="65C613BD"/>
    <w:rsid w:val="65FD118C"/>
    <w:rsid w:val="682C3D89"/>
    <w:rsid w:val="68611305"/>
    <w:rsid w:val="69A07431"/>
    <w:rsid w:val="6A162DE0"/>
    <w:rsid w:val="6A306EB8"/>
    <w:rsid w:val="6A331428"/>
    <w:rsid w:val="6A8F056D"/>
    <w:rsid w:val="6A967B57"/>
    <w:rsid w:val="6B0C1016"/>
    <w:rsid w:val="6B2E5CB6"/>
    <w:rsid w:val="6B3D4886"/>
    <w:rsid w:val="6B6C49B2"/>
    <w:rsid w:val="6BEA1345"/>
    <w:rsid w:val="6CEB45B0"/>
    <w:rsid w:val="6DF8675E"/>
    <w:rsid w:val="6DFC63C4"/>
    <w:rsid w:val="6EA80098"/>
    <w:rsid w:val="6F8D70FF"/>
    <w:rsid w:val="6FB6794F"/>
    <w:rsid w:val="6FFE5011"/>
    <w:rsid w:val="7178734D"/>
    <w:rsid w:val="71791096"/>
    <w:rsid w:val="717B0C34"/>
    <w:rsid w:val="71E67BCB"/>
    <w:rsid w:val="71FB78FD"/>
    <w:rsid w:val="7275064A"/>
    <w:rsid w:val="730C1BA8"/>
    <w:rsid w:val="733F750B"/>
    <w:rsid w:val="735702E2"/>
    <w:rsid w:val="73F0570A"/>
    <w:rsid w:val="73FE3A3D"/>
    <w:rsid w:val="76354444"/>
    <w:rsid w:val="765F635A"/>
    <w:rsid w:val="76B73454"/>
    <w:rsid w:val="76BA2EF0"/>
    <w:rsid w:val="76D254BD"/>
    <w:rsid w:val="77727ACD"/>
    <w:rsid w:val="78071142"/>
    <w:rsid w:val="79296B37"/>
    <w:rsid w:val="7A4C4C40"/>
    <w:rsid w:val="7AA0518E"/>
    <w:rsid w:val="7B041636"/>
    <w:rsid w:val="7C9000C9"/>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2020-04-05T04:59:23Z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