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b/>
          <w:bCs/>
          <w:sz w:val="44"/>
          <w:szCs w:val="44"/>
        </w:rPr>
      </w:pPr>
      <w:r>
        <w:rPr>
          <w:rFonts w:hint="eastAsia" w:ascii="方正小标宋_GBK" w:hAnsi="宋体" w:eastAsia="方正小标宋_GBK"/>
          <w:b/>
          <w:bCs/>
          <w:sz w:val="44"/>
          <w:szCs w:val="44"/>
        </w:rPr>
        <w:t>2018年度新疆喀什地区塔什库尔干县司法局部门决算公开说明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1、贯彻执行国家司法行政工作的政策及中长期规划、年度工作要点并组织实施。</w:t>
      </w:r>
      <w:r>
        <w:rPr>
          <w:rFonts w:hint="eastAsia" w:ascii="仿宋_GB2312" w:eastAsia="仿宋_GB2312"/>
          <w:sz w:val="32"/>
          <w:szCs w:val="32"/>
        </w:rPr>
        <w:br w:type="textWrapping"/>
      </w:r>
      <w:r>
        <w:rPr>
          <w:rFonts w:hint="eastAsia" w:ascii="仿宋_GB2312" w:eastAsia="仿宋_GB2312"/>
          <w:sz w:val="32"/>
          <w:szCs w:val="32"/>
        </w:rPr>
        <w:t>2、指导和监督管理全县的公正机构和公证业务活动。</w:t>
      </w:r>
      <w:r>
        <w:rPr>
          <w:rFonts w:hint="eastAsia" w:ascii="仿宋_GB2312" w:eastAsia="仿宋_GB2312"/>
          <w:sz w:val="32"/>
          <w:szCs w:val="32"/>
        </w:rPr>
        <w:br w:type="textWrapping"/>
      </w:r>
      <w:r>
        <w:rPr>
          <w:rFonts w:hint="eastAsia" w:ascii="仿宋_GB2312" w:eastAsia="仿宋_GB2312"/>
          <w:sz w:val="32"/>
          <w:szCs w:val="32"/>
        </w:rPr>
        <w:t>3、管理监督指导全县的律师、法律顾问、法律援助工作。</w:t>
      </w:r>
      <w:r>
        <w:rPr>
          <w:rFonts w:hint="eastAsia" w:ascii="仿宋_GB2312" w:eastAsia="仿宋_GB2312"/>
          <w:sz w:val="32"/>
          <w:szCs w:val="32"/>
        </w:rPr>
        <w:br w:type="textWrapping"/>
      </w:r>
      <w:r>
        <w:rPr>
          <w:rFonts w:hint="eastAsia" w:ascii="仿宋_GB2312" w:eastAsia="仿宋_GB2312"/>
          <w:sz w:val="32"/>
          <w:szCs w:val="32"/>
        </w:rPr>
        <w:t>4、参与制定全县的法治宣传教育、普法及依法治县的规划并组织实施，指导全县各行各业的依法治理工作。</w:t>
      </w:r>
      <w:r>
        <w:rPr>
          <w:rFonts w:hint="eastAsia" w:ascii="仿宋_GB2312" w:eastAsia="仿宋_GB2312"/>
          <w:sz w:val="32"/>
          <w:szCs w:val="32"/>
        </w:rPr>
        <w:br w:type="textWrapping"/>
      </w:r>
      <w:r>
        <w:rPr>
          <w:rFonts w:hint="eastAsia" w:ascii="仿宋_GB2312" w:eastAsia="仿宋_GB2312"/>
          <w:sz w:val="32"/>
          <w:szCs w:val="32"/>
        </w:rPr>
        <w:t>5、指导管理人民调解工作及司法助理员、基层司法所和基层法律服务所工作，组织指导对刑满释放人员和解除劳动教养人员的安置帮教工作。</w:t>
      </w:r>
      <w:r>
        <w:rPr>
          <w:rFonts w:hint="eastAsia" w:ascii="仿宋_GB2312" w:eastAsia="仿宋_GB2312"/>
          <w:sz w:val="32"/>
          <w:szCs w:val="32"/>
        </w:rPr>
        <w:br w:type="textWrapping"/>
      </w:r>
      <w:r>
        <w:rPr>
          <w:rFonts w:hint="eastAsia" w:ascii="仿宋_GB2312" w:eastAsia="仿宋_GB2312"/>
          <w:sz w:val="32"/>
          <w:szCs w:val="32"/>
        </w:rPr>
        <w:t>6、负责司法行政机关党建工作、队伍建设和思想政治工作，指导司法行政干部的培训工作。</w:t>
      </w:r>
      <w:r>
        <w:rPr>
          <w:rFonts w:hint="eastAsia" w:ascii="仿宋_GB2312" w:eastAsia="仿宋_GB2312"/>
          <w:sz w:val="32"/>
          <w:szCs w:val="32"/>
        </w:rPr>
        <w:br w:type="textWrapping"/>
      </w:r>
      <w:r>
        <w:rPr>
          <w:rFonts w:hint="eastAsia" w:ascii="仿宋_GB2312" w:eastAsia="仿宋_GB2312"/>
          <w:sz w:val="32"/>
          <w:szCs w:val="32"/>
        </w:rPr>
        <w:t>7、参与社会治安综合治理工作。</w:t>
      </w:r>
      <w:r>
        <w:rPr>
          <w:rFonts w:hint="eastAsia" w:ascii="仿宋_GB2312" w:eastAsia="仿宋_GB2312"/>
          <w:sz w:val="32"/>
          <w:szCs w:val="32"/>
        </w:rPr>
        <w:br w:type="textWrapping"/>
      </w:r>
      <w:r>
        <w:rPr>
          <w:rFonts w:hint="eastAsia" w:ascii="仿宋_GB2312" w:eastAsia="仿宋_GB2312"/>
          <w:sz w:val="32"/>
          <w:szCs w:val="32"/>
        </w:rPr>
        <w:t>8、参与社区矫正相关工作，履行相关工作程序。</w:t>
      </w:r>
      <w:r>
        <w:rPr>
          <w:rFonts w:hint="eastAsia" w:ascii="仿宋_GB2312" w:eastAsia="仿宋_GB2312"/>
          <w:sz w:val="32"/>
          <w:szCs w:val="32"/>
        </w:rPr>
        <w:br w:type="textWrapping"/>
      </w:r>
      <w:r>
        <w:rPr>
          <w:rFonts w:hint="eastAsia" w:ascii="仿宋_GB2312" w:eastAsia="仿宋_GB2312"/>
          <w:sz w:val="32"/>
          <w:szCs w:val="32"/>
        </w:rPr>
        <w:t>9、做好特殊人员法治宣传教育。</w:t>
      </w:r>
      <w:r>
        <w:rPr>
          <w:rFonts w:hint="eastAsia" w:ascii="仿宋_GB2312" w:eastAsia="仿宋_GB2312"/>
          <w:sz w:val="32"/>
          <w:szCs w:val="32"/>
        </w:rPr>
        <w:br w:type="textWrapping"/>
      </w:r>
      <w:r>
        <w:rPr>
          <w:rFonts w:hint="eastAsia" w:ascii="仿宋_GB2312" w:eastAsia="仿宋_GB2312"/>
          <w:sz w:val="32"/>
          <w:szCs w:val="32"/>
        </w:rPr>
        <w:t>10、承办县委、县人民政府交办的其它工作。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新疆喀什地区塔什库尔干县司法局</w:t>
      </w:r>
      <w:r>
        <w:rPr>
          <w:rFonts w:hint="eastAsia" w:ascii="仿宋_GB2312" w:eastAsia="仿宋_GB2312"/>
          <w:sz w:val="32"/>
          <w:szCs w:val="32"/>
        </w:rPr>
        <w:t>部门决算包括：</w:t>
      </w:r>
      <w:r>
        <w:rPr>
          <w:rFonts w:ascii="仿宋_GB2312" w:eastAsia="仿宋_GB2312"/>
          <w:sz w:val="32"/>
          <w:szCs w:val="32"/>
        </w:rPr>
        <w:t>新疆喀什地区塔什库尔干县司法局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新疆喀什地区塔什库尔干县司法局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6450"/>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672"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645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1342" w:type="dxa"/>
            <w:vAlign w:val="center"/>
          </w:tcPr>
          <w:p>
            <w:pPr>
              <w:spacing w:line="500" w:lineRule="exact"/>
              <w:ind w:firstLine="320" w:firstLineChars="1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2"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6450" w:type="dxa"/>
          </w:tcPr>
          <w:p>
            <w:pPr>
              <w:pageBreakBefore w:val="0"/>
              <w:spacing w:line="500" w:lineRule="exact"/>
              <w:jc w:val="left"/>
              <w:textAlignment w:val="auto"/>
              <w:rPr>
                <w:rFonts w:hint="eastAsia" w:eastAsia="宋体"/>
                <w:lang w:val="en-US" w:eastAsia="zh-CN"/>
              </w:rPr>
            </w:pPr>
            <w:r>
              <w:rPr>
                <w:rFonts w:ascii="Times New Roman" w:hAnsi="Times New Roman" w:eastAsia="Times New Roman" w:cs="Times New Roman"/>
                <w:b w:val="0"/>
                <w:i w:val="0"/>
                <w:strike w:val="0"/>
                <w:color w:val="auto"/>
                <w:position w:val="-1"/>
                <w:sz w:val="32"/>
                <w:u w:val="none"/>
              </w:rPr>
              <w:t>塔什库尔干县司法局</w:t>
            </w:r>
            <w:r>
              <w:rPr>
                <w:rFonts w:hint="eastAsia" w:cs="Times New Roman"/>
                <w:b w:val="0"/>
                <w:i w:val="0"/>
                <w:strike w:val="0"/>
                <w:color w:val="auto"/>
                <w:position w:val="-1"/>
                <w:sz w:val="32"/>
                <w:u w:val="none"/>
                <w:lang w:eastAsia="zh-CN"/>
              </w:rPr>
              <w:t>本级</w:t>
            </w:r>
          </w:p>
        </w:tc>
        <w:tc>
          <w:tcPr>
            <w:tcW w:w="1342"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2"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2</w:t>
            </w:r>
          </w:p>
        </w:tc>
        <w:tc>
          <w:tcPr>
            <w:tcW w:w="6450"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塔什库尔干县科克亚克尔克孜民族乡司法所</w:t>
            </w:r>
          </w:p>
        </w:tc>
        <w:tc>
          <w:tcPr>
            <w:tcW w:w="1342"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2"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3</w:t>
            </w:r>
          </w:p>
        </w:tc>
        <w:tc>
          <w:tcPr>
            <w:tcW w:w="6450"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塔什库尔干县塔干镇司法所</w:t>
            </w:r>
          </w:p>
        </w:tc>
        <w:tc>
          <w:tcPr>
            <w:tcW w:w="1342"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2"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4</w:t>
            </w:r>
          </w:p>
        </w:tc>
        <w:tc>
          <w:tcPr>
            <w:tcW w:w="6450"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塔什库尔干县瓦恰乡司法所</w:t>
            </w:r>
          </w:p>
        </w:tc>
        <w:tc>
          <w:tcPr>
            <w:tcW w:w="1342"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2"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5</w:t>
            </w:r>
          </w:p>
        </w:tc>
        <w:tc>
          <w:tcPr>
            <w:tcW w:w="6450"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什库尔干县库克西鲁格乡司法所</w:t>
            </w:r>
          </w:p>
        </w:tc>
        <w:tc>
          <w:tcPr>
            <w:tcW w:w="1342"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2"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6</w:t>
            </w:r>
          </w:p>
        </w:tc>
        <w:tc>
          <w:tcPr>
            <w:tcW w:w="6450"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什库尔干县大同乡司法所</w:t>
            </w:r>
          </w:p>
        </w:tc>
        <w:tc>
          <w:tcPr>
            <w:tcW w:w="1342"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2"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7</w:t>
            </w:r>
          </w:p>
        </w:tc>
        <w:tc>
          <w:tcPr>
            <w:tcW w:w="6450"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塔什库尔干县塔吉克阿巴提镇司法所</w:t>
            </w:r>
          </w:p>
        </w:tc>
        <w:tc>
          <w:tcPr>
            <w:tcW w:w="1342"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ascii="仿宋_GB2312" w:eastAsia="仿宋_GB2312"/>
          <w:color w:val="000000"/>
          <w:sz w:val="32"/>
          <w:szCs w:val="32"/>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468.42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，与上年相比，减少125.15万元，下降21.08%，减少的主要原因是：</w:t>
      </w:r>
      <w:r>
        <w:rPr>
          <w:rFonts w:hint="eastAsia" w:ascii="仿宋_GB2312" w:eastAsia="仿宋_GB2312"/>
          <w:color w:val="000000" w:themeColor="text1"/>
          <w:sz w:val="32"/>
          <w:szCs w:val="32"/>
        </w:rPr>
        <w:t>1、2017年由我单位负责开展业务工作的其他单位未设置账户其所用资金使用及拨付通过我单位账户总体支出较大，年度决算数据偏大；2、2018年3月份我单位及乡镇司法所6名干部抽调至其他单位，工资、津贴补贴、财政拨付社保及住房公积金、取暖费等减少；3、在职干部加班费2018年年初列入预算，但实际未执行；4、在职干部津贴补贴自2018年7月份实施统一发放标准1200元/月，津贴补贴执行金额大幅减少；5、项目与上年度相比减少，以上原因导致本年决算数较上年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468.42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，与上年相比，减少125.15万元，下降21.08%，减少的主要原因是：</w:t>
      </w:r>
      <w:r>
        <w:rPr>
          <w:rFonts w:hint="eastAsia" w:ascii="仿宋_GB2312" w:eastAsia="仿宋_GB2312"/>
          <w:color w:val="000000" w:themeColor="text1"/>
          <w:sz w:val="32"/>
          <w:szCs w:val="32"/>
        </w:rPr>
        <w:t>1、2017年由我单位负责开展业务工作的其他单位未设置账户其所用资金使用及拨付通过我单位账户总体支出较大，年度决算数据偏大；2、2018年3月份我单位及乡镇司法所6名干部抽调至其他单位，工资、津贴补贴、财政拨付社保及住房公积金、取暖费等减少；3、在职干部加班费2018年年初列入预算，但实际未执行；4、在职干部津贴补贴自2018年7月份实施统一发放标准1200元/月，津贴补贴执行金额大幅减少；5、项目与上年度相比减少，以上原因导致本年决算数较上年减少；</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val="en-US" w:eastAsia="zh-CN"/>
        </w:rPr>
        <w:t>本年与上年均无结转结余资金</w:t>
      </w:r>
      <w:r>
        <w:rPr>
          <w:rFonts w:ascii="仿宋_GB2312" w:eastAsia="仿宋_GB2312"/>
          <w:color w:val="000000"/>
          <w:sz w:val="32"/>
          <w:szCs w:val="32"/>
        </w:rPr>
        <w:t>。</w:t>
      </w:r>
    </w:p>
    <w:bookmarkEnd w:id="8"/>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ascii="楷体_GB2312" w:eastAsia="楷体_GB2312"/>
          <w:b/>
          <w:bCs/>
          <w:sz w:val="32"/>
          <w:szCs w:val="32"/>
        </w:rPr>
      </w:pPr>
      <w:r>
        <w:rPr>
          <w:rFonts w:hint="eastAsia" w:ascii="楷体_GB2312" w:eastAsia="楷体_GB2312"/>
          <w:b/>
          <w:bCs/>
          <w:sz w:val="32"/>
          <w:szCs w:val="32"/>
          <w:lang w:val="en-US" w:eastAsia="zh-CN"/>
        </w:rPr>
        <w:t xml:space="preserve">   </w:t>
      </w: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468.42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468.42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况：本年收入年初预算数608.46万元</w:t>
      </w:r>
      <w:r>
        <w:rPr>
          <w:rFonts w:hint="eastAsia" w:ascii="仿宋_GB2312" w:eastAsia="仿宋_GB2312"/>
          <w:sz w:val="32"/>
          <w:szCs w:val="32"/>
        </w:rPr>
        <w:t>，决算数468.42万元</w:t>
      </w:r>
      <w:r>
        <w:rPr>
          <w:rFonts w:ascii="仿宋_GB2312" w:eastAsia="仿宋_GB2312"/>
          <w:sz w:val="32"/>
          <w:szCs w:val="32"/>
        </w:rPr>
        <w:t>，预决算差异率-23.02%，差异主要原因是1、2018年3月份我单位及乡镇司法所6名干部抽调至其他单位，工资、津贴补贴、财政拨付社保及住房公积金、取暖费等减少；2、在职干部加班费2018年年初列入预算，但实际未执行；3、在职干部津贴补贴自20</w:t>
      </w:r>
      <w:r>
        <w:rPr>
          <w:rFonts w:hint="eastAsia" w:ascii="仿宋_GB2312" w:eastAsia="仿宋_GB2312"/>
          <w:sz w:val="32"/>
          <w:szCs w:val="32"/>
          <w:lang w:val="en-US" w:eastAsia="zh-CN"/>
        </w:rPr>
        <w:t>1</w:t>
      </w:r>
      <w:r>
        <w:rPr>
          <w:rFonts w:ascii="仿宋_GB2312" w:eastAsia="仿宋_GB2312"/>
          <w:sz w:val="32"/>
          <w:szCs w:val="32"/>
        </w:rPr>
        <w:t>8年7月份实施统一发放标准1200元/月，津贴补贴执行金额大幅减少，以上原因导致本年决算数较预算数减少。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468.42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422.42</w:t>
      </w:r>
      <w:r>
        <w:rPr>
          <w:rFonts w:hint="eastAsia" w:ascii="仿宋_GB2312" w:eastAsia="仿宋_GB2312"/>
          <w:color w:val="000000" w:themeColor="text1"/>
          <w:sz w:val="32"/>
          <w:szCs w:val="32"/>
        </w:rPr>
        <w:t>万元，占</w:t>
      </w:r>
      <w:r>
        <w:rPr>
          <w:rFonts w:hint="eastAsia" w:ascii="仿宋_GB2312" w:eastAsia="仿宋_GB2312"/>
          <w:sz w:val="32"/>
          <w:szCs w:val="32"/>
        </w:rPr>
        <w:t>90.18%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46</w:t>
      </w:r>
      <w:r>
        <w:rPr>
          <w:rFonts w:hint="eastAsia" w:ascii="仿宋_GB2312" w:eastAsia="仿宋_GB2312"/>
          <w:color w:val="000000" w:themeColor="text1"/>
          <w:sz w:val="32"/>
          <w:szCs w:val="32"/>
        </w:rPr>
        <w:t>万元，占</w:t>
      </w:r>
      <w:r>
        <w:rPr>
          <w:rFonts w:hint="eastAsia" w:ascii="仿宋_GB2312" w:eastAsia="仿宋_GB2312"/>
          <w:sz w:val="32"/>
          <w:szCs w:val="32"/>
        </w:rPr>
        <w:t>9.82%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与年初预算数相比情况：本年支出年初预算数608.46万元，</w:t>
      </w:r>
      <w:r>
        <w:rPr>
          <w:rFonts w:hint="eastAsia" w:ascii="仿宋_GB2312" w:eastAsia="仿宋_GB2312"/>
          <w:sz w:val="32"/>
          <w:szCs w:val="32"/>
        </w:rPr>
        <w:t>决算数468.42万元</w:t>
      </w:r>
      <w:r>
        <w:rPr>
          <w:rFonts w:ascii="仿宋_GB2312" w:eastAsia="仿宋_GB2312"/>
          <w:sz w:val="32"/>
          <w:szCs w:val="32"/>
        </w:rPr>
        <w:t>，预决算差异率-23.02%，差异主要原因是1、2018年3月份我单位及乡镇司法所6名干部抽调至其他单位，工资、津贴补贴、财政拨付社保及住房公积金、取暖费等减少；2、在职干部加班费2018年年初列入预算，但实际未执行；3、在职干部津贴补贴自2018年7月份实施统一发放标准1200元/月，津贴补贴执行金额大幅减少，以上原因导致本年决算数较预算数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468.42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125.15万元，下降21.08%，减少的主要原因是：1、2017年由我单位负责开展业务工作的其他单位未设置账户其所用资金使用及拨付通过我单位账户总体支出较大，年度决算数据偏大；2、2018年3月份我单位及乡镇司法所6名干部抽调至其他单位，工资、津贴补贴、财政拨付社保及住房公积金、取暖费等减少；3、在职干部加班费2018年年初列入预算，但实际未执行；4、在职干部津贴补贴自2018年7月份实施统一发放标准1200元/月，津贴补贴执行金额大幅减少；5、项目与上年度相比减少，以上原因导致本年决算数较上年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468.42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，与上年相比，减少125.15万元，下降21.08%，减少的主要原因是：</w:t>
      </w:r>
      <w:r>
        <w:rPr>
          <w:rFonts w:ascii="仿宋_GB2312" w:eastAsia="仿宋_GB2312"/>
          <w:sz w:val="32"/>
          <w:szCs w:val="32"/>
        </w:rPr>
        <w:t>1、2017年由我单位负责开展业务工作的其他单位未设置账户其所用资金使用及拨付通过我单位账户总体支出较大，年度决算数据偏大；2、2018年3月份我单位及乡镇司法所6名干部抽调至其他单位，工资、津贴补贴、财政拨付社保及住房公积金、取暖费等减少；3、在职干部加班费2018年年初列入预算，但实际未执行；4、在职干部津贴补贴自2018年7月份实施统一发放标准1200元/月，津贴补贴执行金额大幅减少；5、项目与上年度相比减少，以上原因导致本年决算数较上年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422.42</w:t>
      </w:r>
      <w:r>
        <w:rPr>
          <w:rFonts w:hint="eastAsia" w:ascii="仿宋_GB2312" w:eastAsia="仿宋_GB2312"/>
          <w:color w:val="000000" w:themeColor="text1"/>
          <w:sz w:val="32"/>
          <w:szCs w:val="32"/>
        </w:rPr>
        <w:t>万元，项目支出</w:t>
      </w:r>
      <w:r>
        <w:rPr>
          <w:rFonts w:hint="eastAsia" w:ascii="仿宋_GB2312" w:eastAsia="仿宋_GB2312"/>
          <w:sz w:val="32"/>
          <w:szCs w:val="32"/>
        </w:rPr>
        <w:t>46</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608.46</w:t>
      </w:r>
      <w:r>
        <w:rPr>
          <w:rFonts w:hint="eastAsia" w:ascii="仿宋_GB2312" w:eastAsia="仿宋_GB2312"/>
          <w:color w:val="000000" w:themeColor="text1"/>
          <w:sz w:val="32"/>
          <w:szCs w:val="32"/>
        </w:rPr>
        <w:t>万元，决算数</w:t>
      </w:r>
      <w:r>
        <w:rPr>
          <w:rFonts w:hint="eastAsia" w:ascii="仿宋_GB2312" w:eastAsia="仿宋_GB2312"/>
          <w:sz w:val="32"/>
          <w:szCs w:val="32"/>
        </w:rPr>
        <w:t>468.42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-23.02%，差异主要原因是1、2018年3月份我单位及乡镇司法所6名干部抽调至其他单位，工资、津贴补贴、财政拨付社保及住房公积金、取暖费等减少；2、在职干部加班费2018年年初列入预算，但实际未执行；3、在职干部津贴补贴自2018年7月份实施统一发放标准1200元/月，津贴补贴执行金额大幅减少，以上原因导致本年决算数较预算数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608.46</w:t>
      </w:r>
      <w:r>
        <w:rPr>
          <w:rFonts w:hint="eastAsia" w:ascii="仿宋_GB2312" w:eastAsia="仿宋_GB2312"/>
          <w:color w:val="000000" w:themeColor="text1"/>
          <w:sz w:val="32"/>
          <w:szCs w:val="32"/>
        </w:rPr>
        <w:t>万元，决算数</w:t>
      </w:r>
      <w:r>
        <w:rPr>
          <w:rFonts w:hint="eastAsia" w:ascii="仿宋_GB2312" w:eastAsia="仿宋_GB2312"/>
          <w:sz w:val="32"/>
          <w:szCs w:val="32"/>
        </w:rPr>
        <w:t>468.42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-23.02%，差异主要原因是1、2018年3月份我单位及乡镇司法所6名干部抽调至其他单位，工资、津贴补贴、财政拨付社保及住房公积金、取暖费等减少2、在职干部加班费2018年年初列入预算，但未执行3、在职干部津贴补贴自2018年7月份实施统一发放标准1200元/月，津贴补贴执行金额大幅减少，以上原因使其本年财政拨款支出年初预算数608.46万元，决算数468.42万元，产生预决算差异率-23.02。</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468.42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125.15万元，下降21.08%，减少的主要原因是：1、2017年由我单位负责开展业务工作的其他单位未设置账户其所用资金使用及拨付通过我单位账户总体支出较大，年度决算数据偏大；2、2018年3月份我单位及乡镇司法所6名干部抽调至其他单位，工资、津贴补贴、财政拨付社保及住房公积金、取暖费等减少；3、在职干部加班费2018年年初列入预算，但实际未执行；4、在职干部津贴补贴自2018年7月份实施统一发放标准1200元/月，津贴补贴执行金额大幅减少；5、项目与上年度相比减少，以上原因导致本年决算数较上年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468.42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125.15万元，下降21.08%，减少的主要原因是：1、2017年由我单位负责开展业务工作的其他单位未设置账户但其资金使用及拨付通过我单位账户支出，导致我单位总体支出较大，年度决算数据偏大2、2018年3月份我单位及乡镇司法所6名干部抽调至其他单位，工资、津贴补贴、财政拨付社保及住房公积金、取暖费等减少3、在职干部加班费2018年年初列入预算，但未执行4、在职干部津贴补贴自2018年7月份实施统一发放标准1200元/月，津贴补贴执行金额减少，5、项目与上年度相比数量及金额有所减少，以上原因使其本年度财政拨款收入468.42万元，与上年相比减少125.12万元，下降21.08。</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住房保障支出25.05万元,公共安全支出408.71万元,社会保障和就业支出34.66万元。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工资福利支出374.1万元,商品和服务支出51.35万元,对个人和家庭的补助17.97万元,资本性支出25万元。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608.46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468.42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-23.02%，差异主要原因是1、2018年3月份我单位及乡镇司法所6名干部抽调至其他单位，工资、津贴补贴、财政拨付社保及住房公积金、取暖费等减少；2、在职干部加班费2018年年初列入预算，但实际未执行；3、在职干部津贴补贴自2018年7月份实施统一发放标准1200元/月，津贴补贴执行金额大幅减少，以上原因导致本年决算数较预算数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608.46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468.42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-23.02%，差异主要原因是1、2018年3月份我单位及乡镇司法所6名干部抽调至其他单位，工资、津贴补贴、财政拨付社保及住房公积金、取暖费等减少；2、在职干部加班费2018年年初列入预算，但实际未执行；3、在职干部津贴补贴自2018年7月份实施统一发放标准1200元/月，津贴补贴执行金额大幅减少，以上原因导致本年决算数较预算数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spacing w:line="540" w:lineRule="exact"/>
        <w:ind w:firstLine="640" w:firstLineChars="200"/>
        <w:rPr>
          <w:rFonts w:ascii="仿宋_GB2312" w:eastAsia="仿宋_GB2312"/>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sz w:val="32"/>
          <w:szCs w:val="32"/>
        </w:rPr>
        <w:t>2018年度</w:t>
      </w:r>
      <w:bookmarkStart w:id="53" w:name="OLE_LINK29"/>
      <w:r>
        <w:rPr>
          <w:rFonts w:hint="eastAsia" w:ascii="仿宋_GB2312" w:eastAsia="仿宋_GB2312"/>
          <w:color w:val="000000"/>
          <w:sz w:val="32"/>
          <w:szCs w:val="32"/>
        </w:rPr>
        <w:t>一般公共预算“三公”经费支出决算</w:t>
      </w:r>
      <w:bookmarkEnd w:id="53"/>
      <w:r>
        <w:rPr>
          <w:rFonts w:hint="eastAsia" w:ascii="仿宋_GB2312" w:eastAsia="仿宋_GB2312"/>
          <w:sz w:val="32"/>
          <w:szCs w:val="32"/>
          <w:lang w:val="en-US" w:eastAsia="zh-CN"/>
        </w:rPr>
        <w:t>2</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End w:id="52"/>
      <w:bookmarkStart w:id="54" w:name="OLE_LINK75"/>
      <w:r>
        <w:rPr>
          <w:rFonts w:hint="eastAsia" w:ascii="仿宋_GB2312" w:eastAsia="仿宋_GB2312"/>
          <w:color w:val="000000"/>
          <w:sz w:val="32"/>
          <w:szCs w:val="32"/>
          <w:highlight w:val="none"/>
        </w:rPr>
        <w:t>其中，</w:t>
      </w:r>
      <w:bookmarkStart w:id="55" w:name="OLE_LINK30"/>
      <w:r>
        <w:rPr>
          <w:rFonts w:hint="eastAsia" w:ascii="仿宋_GB2312" w:eastAsia="仿宋_GB2312"/>
          <w:color w:val="000000"/>
          <w:sz w:val="32"/>
          <w:szCs w:val="32"/>
          <w:highlight w:val="none"/>
        </w:rPr>
        <w:t>因公出国（境）费支出</w:t>
      </w:r>
      <w:bookmarkEnd w:id="55"/>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4"/>
      <w:bookmarkStart w:id="56" w:name="OLE_LINK31"/>
      <w:bookmarkStart w:id="57"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6"/>
      <w:r>
        <w:rPr>
          <w:rFonts w:hint="eastAsia" w:ascii="仿宋_GB2312" w:eastAsia="仿宋_GB2312"/>
          <w:sz w:val="32"/>
          <w:szCs w:val="32"/>
          <w:highlight w:val="none"/>
          <w:lang w:val="en-US" w:eastAsia="zh-CN"/>
        </w:rPr>
        <w:t>2</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7"/>
      <w:bookmarkStart w:id="58" w:name="OLE_LINK32"/>
      <w:bookmarkStart w:id="59" w:name="OLE_LINK78"/>
      <w:bookmarkStart w:id="60" w:name="OLE_LINK77"/>
      <w:r>
        <w:rPr>
          <w:rFonts w:hint="eastAsia" w:ascii="仿宋_GB2312" w:eastAsia="仿宋_GB2312"/>
          <w:color w:val="000000"/>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59"/>
      <w:bookmarkEnd w:id="60"/>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80"/>
      <w:bookmarkStart w:id="62"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新疆喀什地区塔什库尔干县司法局</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2018年度无因公出国（境）费用开支。</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2018年度公务用车运行维护费</w:t>
      </w:r>
      <w:r>
        <w:rPr>
          <w:rFonts w:hint="eastAsia" w:ascii="仿宋_GB2312" w:eastAsia="仿宋_GB2312"/>
          <w:sz w:val="32"/>
          <w:szCs w:val="32"/>
          <w:lang w:eastAsia="zh-CN"/>
        </w:rPr>
        <w:t>、</w:t>
      </w:r>
      <w:r>
        <w:rPr>
          <w:rFonts w:hint="eastAsia" w:ascii="仿宋_GB2312" w:eastAsia="仿宋_GB2312"/>
          <w:sz w:val="32"/>
          <w:szCs w:val="32"/>
        </w:rPr>
        <w:t>油料</w:t>
      </w:r>
      <w:r>
        <w:rPr>
          <w:rFonts w:hint="eastAsia" w:ascii="仿宋_GB2312" w:eastAsia="仿宋_GB2312"/>
          <w:sz w:val="32"/>
          <w:szCs w:val="32"/>
          <w:lang w:eastAsia="zh-CN"/>
        </w:rPr>
        <w:t>费</w:t>
      </w:r>
      <w:r>
        <w:rPr>
          <w:rFonts w:hint="eastAsia" w:ascii="仿宋_GB2312" w:eastAsia="仿宋_GB2312"/>
          <w:sz w:val="32"/>
          <w:szCs w:val="32"/>
        </w:rPr>
        <w:t>、</w:t>
      </w:r>
      <w:r>
        <w:rPr>
          <w:rFonts w:hint="eastAsia" w:ascii="仿宋_GB2312" w:eastAsia="仿宋_GB2312"/>
          <w:sz w:val="32"/>
          <w:szCs w:val="32"/>
          <w:lang w:eastAsia="zh-CN"/>
        </w:rPr>
        <w:t>保险费</w:t>
      </w:r>
      <w:r>
        <w:rPr>
          <w:rFonts w:hint="eastAsia" w:ascii="仿宋_GB2312" w:eastAsia="仿宋_GB2312"/>
          <w:sz w:val="32"/>
          <w:szCs w:val="32"/>
        </w:rPr>
        <w:t>、过路费</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10</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2018年度无国内公务接待支出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新疆喀什地区塔什库尔干县司法局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，预决算差异率0%，差异主要原因是无差异。</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司法局机关运行经费支出30.35万元，与上年相比，增加25.41万元，增长514.37%，增加的主要原因是：办公经费、干部报销差旅费、车辆运行、水费、电费等支出较上年相比增加幅度较大。</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1.66</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0.53</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1.13</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10</w:t>
      </w:r>
      <w:r>
        <w:rPr>
          <w:rFonts w:hint="eastAsia" w:ascii="仿宋_GB2312" w:eastAsia="仿宋_GB2312"/>
          <w:color w:val="000000" w:themeColor="text1"/>
          <w:sz w:val="32"/>
          <w:szCs w:val="32"/>
        </w:rPr>
        <w:t>辆，价值</w:t>
      </w:r>
      <w:r>
        <w:rPr>
          <w:rFonts w:hint="eastAsia" w:ascii="仿宋_GB2312" w:eastAsia="仿宋_GB2312"/>
          <w:sz w:val="32"/>
          <w:szCs w:val="32"/>
        </w:rPr>
        <w:t>93.27</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一、绩效监控工作组织实施情况
基本情况：为做好2018年绩效监控管理工作,按照“行政主要领导负总责，办公室牵头，财务室配合，建立健全工作机构，明确专人具体负责”的要求，成立局绩效管理工作领导小组，具体如下:组长:王昔威(党组书记、副局长)副组长：努热比亚•热买提拉（副局长）成员：祁数亮（行政办公室干部）马向武（出纳）努尔比耶•艾尔肯（行政办公室科员，职责分工</w:t>
      </w:r>
      <w:r>
        <w:rPr>
          <w:rFonts w:hint="eastAsia" w:ascii="仿宋_GB2312" w:eastAsia="仿宋_GB2312"/>
          <w:sz w:val="32"/>
          <w:szCs w:val="32"/>
          <w:lang w:eastAsia="zh-CN"/>
        </w:rPr>
        <w:t>：</w:t>
      </w:r>
      <w:bookmarkStart w:id="88" w:name="_GoBack"/>
      <w:bookmarkEnd w:id="88"/>
      <w:r>
        <w:rPr>
          <w:rFonts w:ascii="仿宋_GB2312" w:eastAsia="仿宋_GB2312"/>
          <w:sz w:val="32"/>
          <w:szCs w:val="32"/>
        </w:rPr>
        <w:t>王昔威负责绩效监控目标最终审核工作，努热比亚•热买提拉作为局机关财务负责人，根据机关司法行政工作年初目标，与开展业务情况制定单位绩效目标任务，绩效目标监控、要求细化、做到精确：负责绩效监控报表项目及相关报表的填写工作，努尔比耶•艾尔肯负责提供绩效目标的设定及目标监控施设阶段的各项印证材料并协助努热比亚•热买提拉做好其他方面的工作，马向武：负责绩效目标及监控上报工作。二、塔什库尔干县司法局绩效监控工作自开展以来严格根据司法行政工作实际制定绩效目标并做好自评工作，使其各项资金使用做到科学合理规划，实现资金使用效益最大化。</w:t>
      </w:r>
    </w:p>
    <w:p>
      <w:pPr>
        <w:spacing w:line="540" w:lineRule="exact"/>
        <w:ind w:left="-1" w:right="-1" w:firstLine="646"/>
        <w:jc w:val="left"/>
      </w:pPr>
      <w:r>
        <w:rPr>
          <w:rFonts w:ascii="仿宋_GB2312" w:hAnsi="仿宋_GB2312" w:eastAsia="仿宋_GB2312" w:cs="仿宋_GB2312"/>
          <w:b w:val="0"/>
          <w:color w:val="auto"/>
          <w:sz w:val="32"/>
          <w:u w:val="none"/>
        </w:rPr>
        <w:t>1、塔什库尔干县司法局中央政法转移支付资金办案业务经费项目绩效自评综述：根据年初设定的绩效目标，该项目绩效自评得分为85分。项目全年预算数为45万元，执行数为45万元，完成预算的100%。主要产出和效果：根据局机关业务工作情况主要用于法制宣传教育工作方面深入开展法制八进活动，印刷宣传资料印刷费用，依法治理工作方面，分时段对法宣考试无纸化管理平台进行维护更新，人民调解工作方面按照要求和标准给人民调解员发放调解费，对干部进行业务培训及产生的培训干部培训费等，社区矫正工作方面：社区矫正工作人员的业务工作培训及差旅费、伙食费等培训费支出，其余中央政法转移支付资金办案业务经费用于局机关办公耗材，车辆运行维护及干部差旅费支出等。确保局机关各项业务工作有序开展。发现的问题及原因：用于行政运行部分的支出多于业务开展方面的支出，其主要原因是没有合理分配使用资金。下一步改进措施：塔什库尔干县司法局将紧密结合司法行政工作的需要，根据业务工作开展的实际情况制定项目资金使用计划及绩效目标设定工作，使各项资金发挥最大经济效益。</w:t>
      </w:r>
    </w:p>
    <w:p>
      <w:pPr>
        <w:spacing w:line="540" w:lineRule="exact"/>
        <w:ind w:left="-1" w:right="-1" w:firstLine="646"/>
        <w:jc w:val="left"/>
      </w:pPr>
      <w:r>
        <w:rPr>
          <w:rFonts w:ascii="仿宋_GB2312" w:hAnsi="仿宋_GB2312" w:eastAsia="仿宋_GB2312" w:cs="仿宋_GB2312"/>
          <w:b w:val="0"/>
          <w:color w:val="auto"/>
          <w:sz w:val="32"/>
          <w:u w:val="none"/>
        </w:rPr>
        <w:t>2、塔什库尔干县司法局中央政法转移支付资金法律援助办案业务经费项目绩效自评综述：根据年初设定的绩效目标，该项目绩效自评得分为90分。项目全年预算数为1万元，执行数为1万元，完成预算的100%。主要产出和效果：理顺司法行政体制改革工作的需要，增强工作力量，巩固发法律援助办案业务工作成果，使广大弱势群体的切身利益得到维护，确保社会和谐和长治久安。发现的问题及原因：在项目实施过程中未发现问题。下一步改进措施：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204（类）06（款）07（项）指：法律援助。221（类）02（款）01（项）指：住房公积金。204（类）06（款）01（项）指：行政运行。204（类）06（款）99（项）指：其他司法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20B6"/>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E3FD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622E99"/>
    <w:rsid w:val="03AA79F6"/>
    <w:rsid w:val="04741FE5"/>
    <w:rsid w:val="04B7598E"/>
    <w:rsid w:val="04D20427"/>
    <w:rsid w:val="04DB02C7"/>
    <w:rsid w:val="056603C2"/>
    <w:rsid w:val="065B75A5"/>
    <w:rsid w:val="065C7713"/>
    <w:rsid w:val="06B856EE"/>
    <w:rsid w:val="07FE5938"/>
    <w:rsid w:val="084604BC"/>
    <w:rsid w:val="08883825"/>
    <w:rsid w:val="09725983"/>
    <w:rsid w:val="0A382BB5"/>
    <w:rsid w:val="0AA4543A"/>
    <w:rsid w:val="0BE61132"/>
    <w:rsid w:val="0C5E714D"/>
    <w:rsid w:val="0C9B0DD6"/>
    <w:rsid w:val="0CA34A71"/>
    <w:rsid w:val="0CE4791C"/>
    <w:rsid w:val="0E063C64"/>
    <w:rsid w:val="0F4C7B96"/>
    <w:rsid w:val="0FFB575E"/>
    <w:rsid w:val="10845F1B"/>
    <w:rsid w:val="11463A00"/>
    <w:rsid w:val="11600918"/>
    <w:rsid w:val="11B0398F"/>
    <w:rsid w:val="13B960C5"/>
    <w:rsid w:val="152777F4"/>
    <w:rsid w:val="15C674B6"/>
    <w:rsid w:val="18D54A0D"/>
    <w:rsid w:val="1A4106A0"/>
    <w:rsid w:val="1A4F5437"/>
    <w:rsid w:val="1A7453AE"/>
    <w:rsid w:val="1AB77CD0"/>
    <w:rsid w:val="1E807156"/>
    <w:rsid w:val="1EA657F6"/>
    <w:rsid w:val="1F097CB6"/>
    <w:rsid w:val="2166156B"/>
    <w:rsid w:val="21B02D83"/>
    <w:rsid w:val="21D36CFE"/>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7F34B7"/>
    <w:rsid w:val="30E210D2"/>
    <w:rsid w:val="311371D6"/>
    <w:rsid w:val="31EB64C9"/>
    <w:rsid w:val="32CB7092"/>
    <w:rsid w:val="336D0D6F"/>
    <w:rsid w:val="352E4BEC"/>
    <w:rsid w:val="37DD5594"/>
    <w:rsid w:val="387B6809"/>
    <w:rsid w:val="38F24FA8"/>
    <w:rsid w:val="3A98342A"/>
    <w:rsid w:val="3AB6780E"/>
    <w:rsid w:val="3AD56D70"/>
    <w:rsid w:val="3B2920C2"/>
    <w:rsid w:val="3BE41ABD"/>
    <w:rsid w:val="3C5421A9"/>
    <w:rsid w:val="3C7A0995"/>
    <w:rsid w:val="3C926D76"/>
    <w:rsid w:val="3D903B21"/>
    <w:rsid w:val="3F440741"/>
    <w:rsid w:val="41FC306C"/>
    <w:rsid w:val="44BE5554"/>
    <w:rsid w:val="45026EFD"/>
    <w:rsid w:val="451E0908"/>
    <w:rsid w:val="452C2D31"/>
    <w:rsid w:val="4573540A"/>
    <w:rsid w:val="45D26E14"/>
    <w:rsid w:val="46A541B1"/>
    <w:rsid w:val="46D4009D"/>
    <w:rsid w:val="48C57772"/>
    <w:rsid w:val="49782886"/>
    <w:rsid w:val="4A567265"/>
    <w:rsid w:val="4A6F0D28"/>
    <w:rsid w:val="4AAF085C"/>
    <w:rsid w:val="4AEB7E60"/>
    <w:rsid w:val="4B4B135B"/>
    <w:rsid w:val="4BC7055F"/>
    <w:rsid w:val="4C801C5F"/>
    <w:rsid w:val="4CFC7DB2"/>
    <w:rsid w:val="4D4B3250"/>
    <w:rsid w:val="4E7C187D"/>
    <w:rsid w:val="4F553366"/>
    <w:rsid w:val="508941AD"/>
    <w:rsid w:val="50E65530"/>
    <w:rsid w:val="51457139"/>
    <w:rsid w:val="51574DBD"/>
    <w:rsid w:val="51EC1DA8"/>
    <w:rsid w:val="52FC5524"/>
    <w:rsid w:val="532D7A17"/>
    <w:rsid w:val="54AF4562"/>
    <w:rsid w:val="54C9674B"/>
    <w:rsid w:val="556318EA"/>
    <w:rsid w:val="55A60AA1"/>
    <w:rsid w:val="56451615"/>
    <w:rsid w:val="571B3222"/>
    <w:rsid w:val="57FC5774"/>
    <w:rsid w:val="59B332C9"/>
    <w:rsid w:val="59E94B49"/>
    <w:rsid w:val="5A44758A"/>
    <w:rsid w:val="5BEC4BB3"/>
    <w:rsid w:val="5C070B55"/>
    <w:rsid w:val="5CB96DCE"/>
    <w:rsid w:val="5CE61580"/>
    <w:rsid w:val="5D175666"/>
    <w:rsid w:val="5D556A3C"/>
    <w:rsid w:val="5D7B25C9"/>
    <w:rsid w:val="5DA837A7"/>
    <w:rsid w:val="5ECB44B4"/>
    <w:rsid w:val="5EE2043C"/>
    <w:rsid w:val="602D2E37"/>
    <w:rsid w:val="61460FBE"/>
    <w:rsid w:val="62775810"/>
    <w:rsid w:val="62D83744"/>
    <w:rsid w:val="630F4048"/>
    <w:rsid w:val="63AA02E5"/>
    <w:rsid w:val="64465A4A"/>
    <w:rsid w:val="64700DE9"/>
    <w:rsid w:val="65C613BD"/>
    <w:rsid w:val="65FD118C"/>
    <w:rsid w:val="66BA5473"/>
    <w:rsid w:val="682C3D89"/>
    <w:rsid w:val="68611305"/>
    <w:rsid w:val="6A162DE0"/>
    <w:rsid w:val="6A331428"/>
    <w:rsid w:val="6B2E5CB6"/>
    <w:rsid w:val="6B3D4886"/>
    <w:rsid w:val="6DF8675E"/>
    <w:rsid w:val="6E3F3F4F"/>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8A85EED"/>
    <w:rsid w:val="79296B37"/>
    <w:rsid w:val="7A3D01FA"/>
    <w:rsid w:val="7A4C4C40"/>
    <w:rsid w:val="7AA0518E"/>
    <w:rsid w:val="7B041636"/>
    <w:rsid w:val="7CA86749"/>
    <w:rsid w:val="7E0803DF"/>
    <w:rsid w:val="7EC92370"/>
    <w:rsid w:val="7F2238BD"/>
    <w:rsid w:val="7F611D6C"/>
    <w:rsid w:val="7FB13B61"/>
    <w:rsid w:val="7FB21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1</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2020-04-05T05:02:38Z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