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val="en-US"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2018年度新疆喀什地区塔什库尔干县财政局部门决算公开说明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贯彻执行国家财政政策，拟订全县财政发展规划、政策、改革方案并组织实施；分析预测全县财政经济形势，参与制定各项宏观经济政策；拟订县对镇的财政体制和财政分配政策，完善鼓励公益事业发展的财税政策。</w:t>
      </w:r>
      <w:r>
        <w:rPr>
          <w:rFonts w:hint="eastAsia" w:ascii="仿宋_GB2312" w:eastAsia="仿宋_GB2312"/>
          <w:sz w:val="32"/>
          <w:szCs w:val="32"/>
        </w:rPr>
        <w:br w:type="textWrapping"/>
      </w:r>
      <w:r>
        <w:rPr>
          <w:rFonts w:hint="eastAsia" w:ascii="仿宋_GB2312" w:eastAsia="仿宋_GB2312"/>
          <w:sz w:val="32"/>
          <w:szCs w:val="32"/>
        </w:rPr>
        <w:t>2、贯彻执行财政法律、法规，指导检查全县财政依法行政工作；拟订全县财政、财务、会计管理的规范性文件，并按规定报请批准后负责组织实施和监督执行。</w:t>
      </w:r>
      <w:r>
        <w:rPr>
          <w:rFonts w:hint="eastAsia" w:ascii="仿宋_GB2312" w:eastAsia="仿宋_GB2312"/>
          <w:sz w:val="32"/>
          <w:szCs w:val="32"/>
        </w:rPr>
        <w:br w:type="textWrapping"/>
      </w:r>
      <w:r>
        <w:rPr>
          <w:rFonts w:hint="eastAsia" w:ascii="仿宋_GB2312" w:eastAsia="仿宋_GB2312"/>
          <w:sz w:val="32"/>
          <w:szCs w:val="32"/>
        </w:rPr>
        <w:t>3、负责编制全县和县本级政府预决算并向县人民代表大会报告；负责县级政府收支预算执行工作，负责县级部门预决算编制、审核批复及支出经费标准制定工作；负责全县政府预决算信息公开工作；指导镇级预决算编制和支出经费标准制定，审核镇级预决算，制定县对镇财政管理体制、转移支付制度并组织实施，指导镇级财政管理工作。</w:t>
      </w:r>
      <w:r>
        <w:rPr>
          <w:rFonts w:hint="eastAsia" w:ascii="仿宋_GB2312" w:eastAsia="仿宋_GB2312"/>
          <w:sz w:val="32"/>
          <w:szCs w:val="32"/>
        </w:rPr>
        <w:br w:type="textWrapping"/>
      </w:r>
      <w:r>
        <w:rPr>
          <w:rFonts w:hint="eastAsia" w:ascii="仿宋_GB2312" w:eastAsia="仿宋_GB2312"/>
          <w:sz w:val="32"/>
          <w:szCs w:val="32"/>
        </w:rPr>
        <w:t>4、负责政府非税收入管理，按规定管理行政事业性收费、政府性基金及其他非税收入。负责财政票据管理。按规定管理彩票市场和彩票资金。</w:t>
      </w:r>
      <w:r>
        <w:rPr>
          <w:rFonts w:hint="eastAsia" w:ascii="仿宋_GB2312" w:eastAsia="仿宋_GB2312"/>
          <w:sz w:val="32"/>
          <w:szCs w:val="32"/>
        </w:rPr>
        <w:br w:type="textWrapping"/>
      </w:r>
      <w:r>
        <w:rPr>
          <w:rFonts w:hint="eastAsia" w:ascii="仿宋_GB2312" w:eastAsia="仿宋_GB2312"/>
          <w:sz w:val="32"/>
          <w:szCs w:val="32"/>
        </w:rPr>
        <w:t>5、组织制定全县国库管理制度、国库集中收付制度，指导和监督全县国库业务，按规定开展国库资金管理工作。</w:t>
      </w:r>
      <w:r>
        <w:rPr>
          <w:rFonts w:hint="eastAsia" w:ascii="仿宋_GB2312" w:eastAsia="仿宋_GB2312"/>
          <w:sz w:val="32"/>
          <w:szCs w:val="32"/>
        </w:rPr>
        <w:br w:type="textWrapping"/>
      </w:r>
      <w:r>
        <w:rPr>
          <w:rFonts w:hint="eastAsia" w:ascii="仿宋_GB2312" w:eastAsia="仿宋_GB2312"/>
          <w:sz w:val="32"/>
          <w:szCs w:val="32"/>
        </w:rPr>
        <w:t>6、贯彻执行税收法律、法规，协调监督税收政策的执行。</w:t>
      </w:r>
      <w:r>
        <w:rPr>
          <w:rFonts w:hint="eastAsia" w:ascii="仿宋_GB2312" w:eastAsia="仿宋_GB2312"/>
          <w:sz w:val="32"/>
          <w:szCs w:val="32"/>
        </w:rPr>
        <w:br w:type="textWrapping"/>
      </w:r>
      <w:r>
        <w:rPr>
          <w:rFonts w:hint="eastAsia" w:ascii="仿宋_GB2312" w:eastAsia="仿宋_GB2312"/>
          <w:sz w:val="32"/>
          <w:szCs w:val="32"/>
        </w:rPr>
        <w:t>7、负责制定全县行政事业单位国有资产管理制度，制定需要全县统一规定的资产配置政策和标准，管理全县行政事业单位国有资产；负责制定政府购买服务政策和相关制度；负责制定政府采购制度并监督管理。负责制定全县企业国有资产监督管理制度，监督管理全县企业国有资产。</w:t>
      </w:r>
      <w:r>
        <w:rPr>
          <w:rFonts w:hint="eastAsia" w:ascii="仿宋_GB2312" w:eastAsia="仿宋_GB2312"/>
          <w:sz w:val="32"/>
          <w:szCs w:val="32"/>
        </w:rPr>
        <w:br w:type="textWrapping"/>
      </w:r>
      <w:r>
        <w:rPr>
          <w:rFonts w:hint="eastAsia" w:ascii="仿宋_GB2312" w:eastAsia="仿宋_GB2312"/>
          <w:sz w:val="32"/>
          <w:szCs w:val="32"/>
        </w:rPr>
        <w:t>8、负责审核和汇总编制全县国有资本经营预决算草案，制定全县国有资本经营预算的制度和办法，收取县本级企业国有资本收益，组织贯彻实施企业财务制度，管理资产评估工作，拟订并执行政府与企业的分配制度和办法。</w:t>
      </w:r>
      <w:r>
        <w:rPr>
          <w:rFonts w:hint="eastAsia" w:ascii="仿宋_GB2312" w:eastAsia="仿宋_GB2312"/>
          <w:sz w:val="32"/>
          <w:szCs w:val="32"/>
        </w:rPr>
        <w:br w:type="textWrapping"/>
      </w:r>
      <w:r>
        <w:rPr>
          <w:rFonts w:hint="eastAsia" w:ascii="仿宋_GB2312" w:eastAsia="仿宋_GB2312"/>
          <w:sz w:val="32"/>
          <w:szCs w:val="32"/>
        </w:rPr>
        <w:t>9、负责制定全县政府性资金管理制度。负责政府性资金的分配、拨付、监督和预算绩效管理工作；贯彻执行基本建设财务管理制度，参与制定全县投资政策；负责全县农业综合开发资金管理工作，参与项目管理工作；负责全县财源建设工作。</w:t>
      </w:r>
      <w:r>
        <w:rPr>
          <w:rFonts w:hint="eastAsia" w:ascii="仿宋_GB2312" w:eastAsia="仿宋_GB2312"/>
          <w:sz w:val="32"/>
          <w:szCs w:val="32"/>
        </w:rPr>
        <w:br w:type="textWrapping"/>
      </w:r>
      <w:r>
        <w:rPr>
          <w:rFonts w:hint="eastAsia" w:ascii="仿宋_GB2312" w:eastAsia="仿宋_GB2312"/>
          <w:sz w:val="32"/>
          <w:szCs w:val="32"/>
        </w:rPr>
        <w:t>10、贯彻执行国家关于政府内外债管理的制度和政策，制定全县政府性债务管理制度和办法，负责统一管理政府内外债务。</w:t>
      </w:r>
      <w:r>
        <w:rPr>
          <w:rFonts w:hint="eastAsia" w:ascii="仿宋_GB2312" w:eastAsia="仿宋_GB2312"/>
          <w:sz w:val="32"/>
          <w:szCs w:val="32"/>
        </w:rPr>
        <w:br w:type="textWrapping"/>
      </w:r>
      <w:r>
        <w:rPr>
          <w:rFonts w:hint="eastAsia" w:ascii="仿宋_GB2312" w:eastAsia="仿宋_GB2312"/>
          <w:sz w:val="32"/>
          <w:szCs w:val="32"/>
        </w:rPr>
        <w:t>11、贯彻执行支持金融业改革和发展的财政政策；按规定管理财政政策性金融业务。</w:t>
      </w:r>
      <w:r>
        <w:rPr>
          <w:rFonts w:hint="eastAsia" w:ascii="仿宋_GB2312" w:eastAsia="仿宋_GB2312"/>
          <w:sz w:val="32"/>
          <w:szCs w:val="32"/>
        </w:rPr>
        <w:br w:type="textWrapping"/>
      </w:r>
      <w:r>
        <w:rPr>
          <w:rFonts w:hint="eastAsia" w:ascii="仿宋_GB2312" w:eastAsia="仿宋_GB2312"/>
          <w:sz w:val="32"/>
          <w:szCs w:val="32"/>
        </w:rPr>
        <w:t>12、负责管理全县的会计工作，宣传贯彻《会计法》及相关会计制度，组织实施内部控制规范、会计信息化，监督和规范会计行为，管理全县会计人员，组织会计类技术资格考试。</w:t>
      </w:r>
      <w:r>
        <w:rPr>
          <w:rFonts w:hint="eastAsia" w:ascii="仿宋_GB2312" w:eastAsia="仿宋_GB2312"/>
          <w:sz w:val="32"/>
          <w:szCs w:val="32"/>
        </w:rPr>
        <w:br w:type="textWrapping"/>
      </w:r>
      <w:r>
        <w:rPr>
          <w:rFonts w:hint="eastAsia" w:ascii="仿宋_GB2312" w:eastAsia="仿宋_GB2312"/>
          <w:sz w:val="32"/>
          <w:szCs w:val="32"/>
        </w:rPr>
        <w:t>13、拟订财政监督制度办法；监督财税法规、政策的执行情况，组织协调重大或专项财政监督检查和会计监督检查工作，依法查处违法违规行为；负责局机关及所属单位内部监督检查工作。</w:t>
      </w:r>
      <w:r>
        <w:rPr>
          <w:rFonts w:hint="eastAsia" w:ascii="仿宋_GB2312" w:eastAsia="仿宋_GB2312"/>
          <w:sz w:val="32"/>
          <w:szCs w:val="32"/>
        </w:rPr>
        <w:br w:type="textWrapping"/>
      </w:r>
      <w:r>
        <w:rPr>
          <w:rFonts w:hint="eastAsia" w:ascii="仿宋_GB2312" w:eastAsia="仿宋_GB2312"/>
          <w:sz w:val="32"/>
          <w:szCs w:val="32"/>
        </w:rPr>
        <w:t>14、完成县委、县政府交办的其他工作。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新疆喀什地区塔什库尔干县财政局</w:t>
      </w:r>
      <w:r>
        <w:rPr>
          <w:rFonts w:hint="eastAsia" w:ascii="仿宋_GB2312" w:eastAsia="仿宋_GB2312"/>
          <w:sz w:val="32"/>
          <w:szCs w:val="32"/>
        </w:rPr>
        <w:t>部门决算包括：</w:t>
      </w:r>
      <w:r>
        <w:rPr>
          <w:rFonts w:ascii="仿宋_GB2312" w:eastAsia="仿宋_GB2312"/>
          <w:sz w:val="32"/>
          <w:szCs w:val="32"/>
        </w:rPr>
        <w:t>新疆喀什地区塔什库尔干县财政局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新疆喀什地区塔什库尔干县财政局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新疆喀什地区塔什库尔干县财政局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979.46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，与上年相比，减少724.01万元，下降42.5%，减少的主要原因是：</w:t>
      </w:r>
      <w:r>
        <w:rPr>
          <w:rFonts w:hint="eastAsia" w:ascii="仿宋_GB2312" w:eastAsia="仿宋_GB2312"/>
          <w:color w:val="000000" w:themeColor="text1"/>
          <w:sz w:val="32"/>
          <w:szCs w:val="32"/>
        </w:rPr>
        <w:t>相比2017年减少灾后维修加固项目25万元，减少税务经费项目68万元，减少银行贷款利息项目1268.76万元，减少农村生活环境整治配比项目22.8万元，又因本年新增审计经费项目16万元，新增塔提库力异地搬迁项目296.1万元；2018年调整艰苦边远地区津贴补贴并补发2017年艰边补贴；2018年发放高海拔地区工龄折算津贴补贴及补发2017年高海拔工龄折算补贴；2018年7月开始基本工资调资。以上原因综合导致本年决算数较上年数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979.46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，与上年相比，减少724.01万元，下降42.5%，减少的主要原因是：</w:t>
      </w:r>
      <w:r>
        <w:rPr>
          <w:rFonts w:hint="eastAsia" w:ascii="仿宋_GB2312" w:eastAsia="仿宋_GB2312"/>
          <w:color w:val="000000" w:themeColor="text1"/>
          <w:sz w:val="32"/>
          <w:szCs w:val="32"/>
        </w:rPr>
        <w:t>相比2017年减少灾后维修加固项目25万元，减少税务经费项目68万元，减少银行贷款利息项目1268.76万元，减少农村生活环境整治配比项目22.8万元，又因本年新增审计经费项目16万元，新增塔提库力异地搬迁项目296.1万元；2018年调整艰苦边远地区津贴补贴并补发2017年艰边补贴；2018年发放高海拔地区工龄折算津贴补贴及补发2017年高海拔工龄折算补贴；2018年7月开始基本工资调资。以上原因综合导致本年决算数较上年数减少；</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bookmarkStart w:id="88" w:name="_GoBack"/>
      <w:bookmarkEnd w:id="8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979.46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979.46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况：本年收入年初预算数4,335.69万元</w:t>
      </w:r>
      <w:r>
        <w:rPr>
          <w:rFonts w:hint="eastAsia" w:ascii="仿宋_GB2312" w:eastAsia="仿宋_GB2312"/>
          <w:sz w:val="32"/>
          <w:szCs w:val="32"/>
        </w:rPr>
        <w:t>，决算数979.46万元</w:t>
      </w:r>
      <w:r>
        <w:rPr>
          <w:rFonts w:ascii="仿宋_GB2312" w:eastAsia="仿宋_GB2312"/>
          <w:sz w:val="32"/>
          <w:szCs w:val="32"/>
        </w:rPr>
        <w:t>，预决算差异率-77.41%，差异主要原因是项目在实际预算执行过程中较预算数减少，主要是减少灾后维修加固项目25万元，税务经费项目减少68万元，减少银行贷款利息项目1268.76万元。</w:t>
      </w:r>
      <w:bookmarkEnd w:id="15"/>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979.46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664.37</w:t>
      </w:r>
      <w:r>
        <w:rPr>
          <w:rFonts w:hint="eastAsia" w:ascii="仿宋_GB2312" w:eastAsia="仿宋_GB2312"/>
          <w:color w:val="000000" w:themeColor="text1"/>
          <w:sz w:val="32"/>
          <w:szCs w:val="32"/>
        </w:rPr>
        <w:t>万元，占</w:t>
      </w:r>
      <w:r>
        <w:rPr>
          <w:rFonts w:hint="eastAsia" w:ascii="仿宋_GB2312" w:eastAsia="仿宋_GB2312"/>
          <w:sz w:val="32"/>
          <w:szCs w:val="32"/>
        </w:rPr>
        <w:t>67.83%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315.1</w:t>
      </w:r>
      <w:r>
        <w:rPr>
          <w:rFonts w:hint="eastAsia" w:ascii="仿宋_GB2312" w:eastAsia="仿宋_GB2312"/>
          <w:color w:val="000000" w:themeColor="text1"/>
          <w:sz w:val="32"/>
          <w:szCs w:val="32"/>
        </w:rPr>
        <w:t>万元，占</w:t>
      </w:r>
      <w:r>
        <w:rPr>
          <w:rFonts w:hint="eastAsia" w:ascii="仿宋_GB2312" w:eastAsia="仿宋_GB2312"/>
          <w:sz w:val="32"/>
          <w:szCs w:val="32"/>
        </w:rPr>
        <w:t>32.17%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与年初预算数相比情况：本年支出年初预算数4,335.69万元，</w:t>
      </w:r>
      <w:r>
        <w:rPr>
          <w:rFonts w:hint="eastAsia" w:ascii="仿宋_GB2312" w:eastAsia="仿宋_GB2312"/>
          <w:sz w:val="32"/>
          <w:szCs w:val="32"/>
        </w:rPr>
        <w:t>决算数979.46万元</w:t>
      </w:r>
      <w:r>
        <w:rPr>
          <w:rFonts w:ascii="仿宋_GB2312" w:eastAsia="仿宋_GB2312"/>
          <w:sz w:val="32"/>
          <w:szCs w:val="32"/>
        </w:rPr>
        <w:t>，预决算差异率-77.41%，差异主要原因是项目在实际预算执行过程中较预算数减少，主要是减少灾后维修加固项目25万元，税务经费项目减少68万元，减少银行贷款利息项目1268.76万元。</w:t>
      </w:r>
    </w:p>
    <w:bookmarkEnd w:id="22"/>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二、部门财政拨款收支情况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979.46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724.01万元，下降42.5%，减少的主要原因是：相比2017年减少灾后维修加固项目25万元，减少税务经费项目68万元，减少银行贷款利息项目1268.76万元，减少农村生活环境整治配比项目22.8万元，又因本年新增审计经费项目16万元，新增塔提库力异地搬迁项目296.1万元；2018年调整艰苦边远地区津贴补贴并补发2017年艰边补贴；2018年发放高海拔地区工龄折算津贴补贴及补发2017年高海拔工龄折算补贴；2018年7月开始基本工资调资。以上原因综合导致本年决算数较上年数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979.46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，与上年相比，减少724.01万元，下降42.5%，减少的主要原因是：</w:t>
      </w:r>
      <w:r>
        <w:rPr>
          <w:rFonts w:ascii="仿宋_GB2312" w:eastAsia="仿宋_GB2312"/>
          <w:sz w:val="32"/>
          <w:szCs w:val="32"/>
        </w:rPr>
        <w:t>相比2017年减少灾后维修加固项目25万元，减少税务经费项目68万元，减少银行贷款利息项目1268.76万元，减少农村生活环境整治配比项目22.8万元，又因本年新增审计经费项目16万元，新增塔提库力异地搬迁项目296.1万元；2018年调整艰苦边远地区津贴补贴并补发2017年艰边补贴；2018年发放高海拔地区工龄折算津贴补贴及补发2017年高海拔工龄折算补贴；2018年7月开始基本工资调资。以上原因综合导致本年决算数较上年数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664.37</w:t>
      </w:r>
      <w:r>
        <w:rPr>
          <w:rFonts w:hint="eastAsia" w:ascii="仿宋_GB2312" w:eastAsia="仿宋_GB2312"/>
          <w:color w:val="000000" w:themeColor="text1"/>
          <w:sz w:val="32"/>
          <w:szCs w:val="32"/>
        </w:rPr>
        <w:t>万元，项目支出</w:t>
      </w:r>
      <w:r>
        <w:rPr>
          <w:rFonts w:hint="eastAsia" w:ascii="仿宋_GB2312" w:eastAsia="仿宋_GB2312"/>
          <w:sz w:val="32"/>
          <w:szCs w:val="32"/>
        </w:rPr>
        <w:t>315.1</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4,335.69</w:t>
      </w:r>
      <w:r>
        <w:rPr>
          <w:rFonts w:hint="eastAsia" w:ascii="仿宋_GB2312" w:eastAsia="仿宋_GB2312"/>
          <w:color w:val="000000" w:themeColor="text1"/>
          <w:sz w:val="32"/>
          <w:szCs w:val="32"/>
        </w:rPr>
        <w:t>万元，决算数</w:t>
      </w:r>
      <w:r>
        <w:rPr>
          <w:rFonts w:hint="eastAsia" w:ascii="仿宋_GB2312" w:eastAsia="仿宋_GB2312"/>
          <w:sz w:val="32"/>
          <w:szCs w:val="32"/>
        </w:rPr>
        <w:t>979.46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，预决算差异率-77.41%，差异主要原因是项目在实际预算执行过程中较预算数减少，主要是减少灾后维修加固项目25万元，税务经费项目减少68万元，减少银行贷款利息项目1268.76万元。</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4,335.69</w:t>
      </w:r>
      <w:r>
        <w:rPr>
          <w:rFonts w:hint="eastAsia" w:ascii="仿宋_GB2312" w:eastAsia="仿宋_GB2312"/>
          <w:color w:val="000000" w:themeColor="text1"/>
          <w:sz w:val="32"/>
          <w:szCs w:val="32"/>
        </w:rPr>
        <w:t>万元，决算数</w:t>
      </w:r>
      <w:r>
        <w:rPr>
          <w:rFonts w:hint="eastAsia" w:ascii="仿宋_GB2312" w:eastAsia="仿宋_GB2312"/>
          <w:sz w:val="32"/>
          <w:szCs w:val="32"/>
        </w:rPr>
        <w:t>979.46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，预决算差异率-77.41%，差异主要原因是项目在实际预算执行过程中较预算数减少，主要是减少灾后维修加固项目25万元，税务经费项目减少68万元，减少银行贷款利息项目1268.76万元。</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979.46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724.01万元，下降42.5%，减少的主要原因是：相比2017年减少灾后维修加固项目25万元，减少税务经费项目68万元，减少银行贷款利息项目1268.76万元，减少农村生活环境整治配比项目22.8万元，又因本年新增审计经费项目16万元，新增塔提库力异地搬迁项目296.1万元；2018年调整艰苦边远地区津贴补贴并补发2017年艰边补贴；2018年发放高海拔地区工龄折算津贴补贴及补发2017年高海拔工龄折算补贴；2018年7月开始基本工资调资。以上原因综合导致本年决算数较上年数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979.46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724.01万元，下降42.5%，减少的主要原因是：相比2017年减少灾后维修加固项目25万元，减少税务经费项目68万元，减少银行贷款利息项目1268.76万元，减少农村生活环境整治配比项目22.8万元，又因本年新增审计经费项目16万元，新增塔提库力异地搬迁项目296.1万元；2018年调整艰苦边远地区津贴补贴并补发2017年艰边补贴；2018年发放高海拔地区工龄折算津贴补贴及补发2017年高海拔工龄折算补贴；2018年7月开始基本工资调资。以上原因综合导致本年决算数较上年数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住房保障支出17.99万元,一般公共服务支出638.94万元,农林水支出296.1万元,社会保障和就业支出26.44万元。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工资福利支出273.45万元,商品和服务支出403.08万元,对个人和家庭的补助20.63万元,资本性支出282.3万元。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4,335.69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979.46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，预决算差异率-77.41%，差异主要原因是项目在实际预算执行过程中较预算数减少，主要是减少灾后维修加固项目25万元，税务经费项目减少68万元，减少银行贷款利息项目1268.76万元。</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4,335.69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979.46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，预决算差异率-77.41%，差异主要原因是项目在实际预算执行过程中较预算数减少，主要是减少灾后维修加固项目25万元，税务经费项目减少68万元，减少银行贷款利息项目1268.76万元。</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2" w:name="OLE_LINK74"/>
      <w:bookmarkStart w:id="53" w:name="OLE_LINK79"/>
      <w:bookmarkStart w:id="54" w:name="OLE_LINK80"/>
      <w:r>
        <w:rPr>
          <w:rFonts w:hint="eastAsia" w:ascii="仿宋_GB2312" w:eastAsia="仿宋_GB2312"/>
          <w:color w:val="000000"/>
          <w:sz w:val="32"/>
          <w:szCs w:val="32"/>
        </w:rPr>
        <w:t>2018年度</w:t>
      </w:r>
      <w:bookmarkStart w:id="55" w:name="OLE_LINK29"/>
      <w:r>
        <w:rPr>
          <w:rFonts w:hint="eastAsia" w:ascii="仿宋_GB2312" w:eastAsia="仿宋_GB2312"/>
          <w:color w:val="000000"/>
          <w:sz w:val="32"/>
          <w:szCs w:val="32"/>
        </w:rPr>
        <w:t>一般公共预算“三公”经费支出决算</w:t>
      </w:r>
      <w:bookmarkEnd w:id="55"/>
      <w:r>
        <w:rPr>
          <w:rFonts w:hint="eastAsia" w:ascii="仿宋_GB2312" w:eastAsia="仿宋_GB2312"/>
          <w:sz w:val="32"/>
          <w:szCs w:val="32"/>
          <w:lang w:val="en-US" w:eastAsia="zh-CN"/>
        </w:rPr>
        <w:t>2</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End w:id="52"/>
      <w:bookmarkStart w:id="56" w:name="OLE_LINK75"/>
      <w:r>
        <w:rPr>
          <w:rFonts w:hint="eastAsia" w:ascii="仿宋_GB2312" w:eastAsia="仿宋_GB2312"/>
          <w:color w:val="000000"/>
          <w:sz w:val="32"/>
          <w:szCs w:val="32"/>
          <w:highlight w:val="none"/>
        </w:rPr>
        <w:t>其中，</w:t>
      </w:r>
      <w:bookmarkStart w:id="57" w:name="OLE_LINK30"/>
      <w:r>
        <w:rPr>
          <w:rFonts w:hint="eastAsia" w:ascii="仿宋_GB2312" w:eastAsia="仿宋_GB2312"/>
          <w:color w:val="000000"/>
          <w:sz w:val="32"/>
          <w:szCs w:val="32"/>
          <w:highlight w:val="none"/>
        </w:rPr>
        <w:t>因公出国（境）费支出</w:t>
      </w:r>
      <w:bookmarkEnd w:id="57"/>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6"/>
      <w:bookmarkStart w:id="58" w:name="OLE_LINK31"/>
      <w:bookmarkStart w:id="59"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8"/>
      <w:r>
        <w:rPr>
          <w:rFonts w:hint="eastAsia" w:ascii="仿宋_GB2312" w:eastAsia="仿宋_GB2312"/>
          <w:sz w:val="32"/>
          <w:szCs w:val="32"/>
          <w:highlight w:val="none"/>
          <w:lang w:val="en-US" w:eastAsia="zh-CN"/>
        </w:rPr>
        <w:t>2</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9"/>
      <w:bookmarkStart w:id="60" w:name="OLE_LINK32"/>
      <w:bookmarkStart w:id="61" w:name="OLE_LINK78"/>
      <w:bookmarkStart w:id="62" w:name="OLE_LINK77"/>
      <w:r>
        <w:rPr>
          <w:rFonts w:hint="eastAsia" w:ascii="仿宋_GB2312" w:eastAsia="仿宋_GB2312"/>
          <w:color w:val="000000"/>
          <w:sz w:val="32"/>
          <w:szCs w:val="32"/>
        </w:rPr>
        <w:t>公务接待费支出</w:t>
      </w:r>
      <w:bookmarkEnd w:id="60"/>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1"/>
      <w:bookmarkEnd w:id="62"/>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新疆喀什地区塔什库尔干县财政局</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3"/>
      <w:bookmarkEnd w:id="54"/>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车辆保险、维护费、燃油费支出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新疆喀什地区塔什库尔干县财政局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，预决算差异率0%，差异主要原因是无差异。</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财政局机关运行经费支出369.43万元，与上年相比，增加328.53万元，增长803.25%，增加的主要原因是：一是2018年进行机房设备维护导致维修维护费支出金额较大；二是2018年组织人员外出学习培训机会增多导致差旅费大幅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48.49</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48.49</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34.55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丰田牌越野车新</w:t>
      </w:r>
      <w:r>
        <w:rPr>
          <w:rFonts w:hint="eastAsia" w:ascii="仿宋_GB2312" w:eastAsia="仿宋_GB2312"/>
          <w:color w:val="000000" w:themeColor="text1"/>
          <w:sz w:val="32"/>
          <w:szCs w:val="32"/>
          <w:lang w:val="en-US" w:eastAsia="zh-CN"/>
        </w:rPr>
        <w:t>Q-GX366</w:t>
      </w:r>
      <w:r>
        <w:rPr>
          <w:rFonts w:hint="eastAsia" w:ascii="仿宋_GB2312" w:eastAsia="仿宋_GB2312"/>
          <w:color w:val="000000" w:themeColor="text1"/>
          <w:sz w:val="32"/>
          <w:szCs w:val="32"/>
          <w:lang w:eastAsia="zh-CN"/>
        </w:rPr>
        <w:t>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4</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部门决算包含政府采购中心，2018年度本部门实行绩效管理的项目3个，涉及预算数315.1万元，决算数315.1万元，执行率100%。1、乡镇财政工作经费项目。本单位2018年严格执行预算绩效管理工作要求，成立绩效管理领导小组，对项目严格进行事前、事中、事后全过程监控，按时申报项目绩效目标表、监控表、自评表，自评报告，总结经验，发现不足，及时进行整改，确保各项目如期完成。</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1、2018年税务经费项目绩效自评综述：根据年初设定的绩效目标，该项目绩效自评得分为100分。项目全年预算数为3万元，执行数为3万元，完成预算的100%。主要产出和效果：2018年经过与税务部门协商确定给予3万元经费用于保障税法宣传、信息化建设、征管业务费、教育培训等工作，完成税收收入任务6946万元。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2、2018年审计经费项目绩效自评综述：根据年初设定的绩效目标，该项目绩效自评得分为100分。项目全年预算数为16万元，执行数为16万元，完成预算的100%。主要产出和效果：完成我县政府各部门和所有事业单位的审计监督工作，通报全县审计情况，完成全县80个扶贫项目资金的审计工作。发现的问题及原因：只重视扶贫项目及扶贫资金，放松了其他资金及项目的审计。下一步改进措施：本年度绩效目标全部按时完成，加大审计力度针对全县所有项目及资金展开审计。</w:t>
      </w:r>
    </w:p>
    <w:p>
      <w:pPr>
        <w:spacing w:line="540" w:lineRule="exact"/>
        <w:ind w:left="-1" w:right="-1" w:firstLine="646"/>
        <w:jc w:val="left"/>
      </w:pPr>
      <w:r>
        <w:rPr>
          <w:rFonts w:ascii="仿宋_GB2312" w:hAnsi="仿宋_GB2312" w:eastAsia="仿宋_GB2312" w:cs="仿宋_GB2312"/>
          <w:b w:val="0"/>
          <w:color w:val="auto"/>
          <w:sz w:val="32"/>
          <w:u w:val="none"/>
        </w:rPr>
        <w:t>3、2018年塔提库力易地搬迁工程项目绩效自评综述：根据年初设定的绩效目标，该项目绩效自评得分为100分。项目全年预算数为296.1万元，执行数为296.1万元，完成预算的100%。主要产出和效果：完成全县易地搬迁的规划、组织、协调、指导、监督以及验收工作，确保完成2018年塔提库力易地扶贫搬迁工作，解决45户农牧民的住房问题。发现的问题及原因：搬迁户搬迁存在顾虑，担心搬迁后无地放牛羊及牛羊无处圈养、无处打饲草料及饲草料无处存放等问题，搬迁地配套设施正在实施，有待完善问题。下一步改进措施：提前做好农牧民的思想工作，统筹规划搬迁地的水、电、路、通信网络、绿化及农牧民的养殖等；鼓励引进企业、农牧民合作社、农产品加工业等，拓宽就业渠道，保障有能力的搬迁户能就进就业便于脱贫。</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07（款）01（项）指：行政运行。201（类）06（款）01（项）指：行政运行。201（类）07（款）99（项）指：其他税收事务支出。213（类）05（款）05（项）指：生产发展。201（类）08（款）04（项）指：审计业务。221（类）02（款）01（项）指：住房公积金。213（类）05（款）04（项）指：农村基础设施建设。201（类）06（款）50（项）指：事业运行。201（类）03（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252A61"/>
    <w:rsid w:val="028847F9"/>
    <w:rsid w:val="03AA79F6"/>
    <w:rsid w:val="04741FE5"/>
    <w:rsid w:val="04C1200B"/>
    <w:rsid w:val="04DB02C7"/>
    <w:rsid w:val="06B856EE"/>
    <w:rsid w:val="07FE5938"/>
    <w:rsid w:val="084604BC"/>
    <w:rsid w:val="08883825"/>
    <w:rsid w:val="08F93234"/>
    <w:rsid w:val="09725983"/>
    <w:rsid w:val="0A0525FF"/>
    <w:rsid w:val="0A382BB5"/>
    <w:rsid w:val="0A666008"/>
    <w:rsid w:val="0AA4543A"/>
    <w:rsid w:val="0BE61132"/>
    <w:rsid w:val="0C9B0DD6"/>
    <w:rsid w:val="0CE4791C"/>
    <w:rsid w:val="0E063C64"/>
    <w:rsid w:val="0F4C7B96"/>
    <w:rsid w:val="0FFB575E"/>
    <w:rsid w:val="10845F1B"/>
    <w:rsid w:val="11463A00"/>
    <w:rsid w:val="11600918"/>
    <w:rsid w:val="11B0398F"/>
    <w:rsid w:val="11F03094"/>
    <w:rsid w:val="13B960C5"/>
    <w:rsid w:val="152777F4"/>
    <w:rsid w:val="15C674B6"/>
    <w:rsid w:val="18497AE0"/>
    <w:rsid w:val="1870552D"/>
    <w:rsid w:val="18D54A0D"/>
    <w:rsid w:val="19321547"/>
    <w:rsid w:val="1A4106A0"/>
    <w:rsid w:val="1A4F5437"/>
    <w:rsid w:val="1AB77CD0"/>
    <w:rsid w:val="1C354043"/>
    <w:rsid w:val="1E807156"/>
    <w:rsid w:val="1EA657F6"/>
    <w:rsid w:val="1EF52660"/>
    <w:rsid w:val="1F097CB6"/>
    <w:rsid w:val="2166156B"/>
    <w:rsid w:val="21B02D83"/>
    <w:rsid w:val="22A236F5"/>
    <w:rsid w:val="232F1A5B"/>
    <w:rsid w:val="23995975"/>
    <w:rsid w:val="2432220E"/>
    <w:rsid w:val="248303BA"/>
    <w:rsid w:val="24837E47"/>
    <w:rsid w:val="252E01AA"/>
    <w:rsid w:val="2680023E"/>
    <w:rsid w:val="27905F97"/>
    <w:rsid w:val="279512BF"/>
    <w:rsid w:val="284579CF"/>
    <w:rsid w:val="29680352"/>
    <w:rsid w:val="2A020F75"/>
    <w:rsid w:val="2B007AEE"/>
    <w:rsid w:val="2BAA7CE1"/>
    <w:rsid w:val="2BC14C56"/>
    <w:rsid w:val="2C1B026F"/>
    <w:rsid w:val="2C7F3BB2"/>
    <w:rsid w:val="2CC61F55"/>
    <w:rsid w:val="2EF7452F"/>
    <w:rsid w:val="2F1D13B4"/>
    <w:rsid w:val="2FAA3DA6"/>
    <w:rsid w:val="30682E1F"/>
    <w:rsid w:val="309873CF"/>
    <w:rsid w:val="30E210D2"/>
    <w:rsid w:val="311371D6"/>
    <w:rsid w:val="31EB64C9"/>
    <w:rsid w:val="328F46F7"/>
    <w:rsid w:val="32927749"/>
    <w:rsid w:val="336D0D6F"/>
    <w:rsid w:val="352E4BEC"/>
    <w:rsid w:val="355246A6"/>
    <w:rsid w:val="37DD5594"/>
    <w:rsid w:val="38F24FA8"/>
    <w:rsid w:val="3A98342A"/>
    <w:rsid w:val="3AB6780E"/>
    <w:rsid w:val="3AD56D70"/>
    <w:rsid w:val="3AEC3A27"/>
    <w:rsid w:val="3B2920C2"/>
    <w:rsid w:val="3BB21282"/>
    <w:rsid w:val="3BE41ABD"/>
    <w:rsid w:val="3C5421A9"/>
    <w:rsid w:val="3D903B21"/>
    <w:rsid w:val="3F440741"/>
    <w:rsid w:val="41FC306C"/>
    <w:rsid w:val="43C361A7"/>
    <w:rsid w:val="44BE5554"/>
    <w:rsid w:val="451E0908"/>
    <w:rsid w:val="452C2D31"/>
    <w:rsid w:val="45D26E14"/>
    <w:rsid w:val="46A541B1"/>
    <w:rsid w:val="46AC766E"/>
    <w:rsid w:val="483C2E63"/>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60302B"/>
    <w:rsid w:val="54AF4562"/>
    <w:rsid w:val="54C9674B"/>
    <w:rsid w:val="55612D4E"/>
    <w:rsid w:val="556318EA"/>
    <w:rsid w:val="55A60AA1"/>
    <w:rsid w:val="56451615"/>
    <w:rsid w:val="57E96A20"/>
    <w:rsid w:val="57FC5774"/>
    <w:rsid w:val="581F6A9F"/>
    <w:rsid w:val="59B332C9"/>
    <w:rsid w:val="5A44758A"/>
    <w:rsid w:val="5BEC4BB3"/>
    <w:rsid w:val="5C06548F"/>
    <w:rsid w:val="5C070B55"/>
    <w:rsid w:val="5CB96DCE"/>
    <w:rsid w:val="5CE61580"/>
    <w:rsid w:val="5D175666"/>
    <w:rsid w:val="5D556A3C"/>
    <w:rsid w:val="5D7B25C9"/>
    <w:rsid w:val="5DCB006C"/>
    <w:rsid w:val="5ECB44B4"/>
    <w:rsid w:val="5EE2043C"/>
    <w:rsid w:val="602D2E37"/>
    <w:rsid w:val="61460FBE"/>
    <w:rsid w:val="62775810"/>
    <w:rsid w:val="62D83744"/>
    <w:rsid w:val="630F4048"/>
    <w:rsid w:val="63AA02E5"/>
    <w:rsid w:val="642D48F6"/>
    <w:rsid w:val="64700DE9"/>
    <w:rsid w:val="65C613BD"/>
    <w:rsid w:val="65FD118C"/>
    <w:rsid w:val="682C3D89"/>
    <w:rsid w:val="68611305"/>
    <w:rsid w:val="6A162DE0"/>
    <w:rsid w:val="6A331428"/>
    <w:rsid w:val="6A947C8E"/>
    <w:rsid w:val="6B2E5CB6"/>
    <w:rsid w:val="6B3D4886"/>
    <w:rsid w:val="6DB06AA0"/>
    <w:rsid w:val="6DF8675E"/>
    <w:rsid w:val="6EA80098"/>
    <w:rsid w:val="6F8D70FF"/>
    <w:rsid w:val="6FFE5011"/>
    <w:rsid w:val="710D4F37"/>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653F6A"/>
    <w:rsid w:val="7CA86749"/>
    <w:rsid w:val="7EC92370"/>
    <w:rsid w:val="7F2238BD"/>
    <w:rsid w:val="7F48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1</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2020-04-05T05:04:24Z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