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附件1：</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2018年度新疆喀什地区塔什库尔干县财政国库集中支付中心部门决算公开说明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w:t>
      </w:r>
      <w:r>
        <w:rPr>
          <w:rFonts w:hint="eastAsia" w:ascii="黑体" w:hAnsi="黑体" w:eastAsia="黑体"/>
          <w:bCs/>
          <w:kern w:val="0"/>
          <w:sz w:val="32"/>
          <w:szCs w:val="32"/>
          <w:lang w:val="en-US" w:eastAsia="zh-CN"/>
        </w:rPr>
        <w:t xml:space="preserve"> </w:t>
      </w:r>
      <w:r>
        <w:rPr>
          <w:rFonts w:hint="eastAsia" w:ascii="黑体" w:hAnsi="黑体" w:eastAsia="黑体"/>
          <w:bCs/>
          <w:kern w:val="0"/>
          <w:sz w:val="32"/>
          <w:szCs w:val="32"/>
        </w:rPr>
        <w:t>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hint="eastAsia" w:ascii="黑体" w:hAnsi="黑体" w:eastAsia="仿宋_GB2312" w:cs="宋体"/>
          <w:bCs/>
          <w:kern w:val="0"/>
          <w:sz w:val="32"/>
          <w:szCs w:val="32"/>
          <w:lang w:eastAsia="zh-CN"/>
        </w:rPr>
      </w:pPr>
      <w:r>
        <w:rPr>
          <w:rFonts w:hint="eastAsia" w:ascii="仿宋_GB2312" w:eastAsia="仿宋_GB2312"/>
          <w:sz w:val="32"/>
          <w:szCs w:val="32"/>
        </w:rPr>
        <w:t>1、认真贯彻国家有关财经法律、法规和制度，教育引导财政国库集中支付中心工作人员正确处理监督与服务的关系。</w:t>
      </w:r>
      <w:r>
        <w:rPr>
          <w:rFonts w:hint="eastAsia" w:ascii="仿宋_GB2312" w:eastAsia="仿宋_GB2312"/>
          <w:sz w:val="32"/>
          <w:szCs w:val="32"/>
        </w:rPr>
        <w:br w:type="textWrapping"/>
      </w:r>
      <w:r>
        <w:rPr>
          <w:rFonts w:hint="eastAsia" w:ascii="仿宋_GB2312" w:eastAsia="仿宋_GB2312"/>
          <w:sz w:val="32"/>
          <w:szCs w:val="32"/>
        </w:rPr>
        <w:t>2、组织建立健全财政国库集中支付中心支付、会计核算和内部管理制度，强化内部制约机制。定期布置、检查、总结中心工作，发现问题及时解决，不断提高工作效率和管理质量。</w:t>
      </w:r>
      <w:r>
        <w:rPr>
          <w:rFonts w:hint="eastAsia" w:ascii="仿宋_GB2312" w:eastAsia="仿宋_GB2312"/>
          <w:sz w:val="32"/>
          <w:szCs w:val="32"/>
        </w:rPr>
        <w:br w:type="textWrapping"/>
      </w:r>
      <w:r>
        <w:rPr>
          <w:rFonts w:hint="eastAsia" w:ascii="仿宋_GB2312" w:eastAsia="仿宋_GB2312"/>
          <w:sz w:val="32"/>
          <w:szCs w:val="32"/>
        </w:rPr>
        <w:t>3、负责抓好财政国库集中支付中心的政治思想工作和廉政建设，抓好中心的行政管理工作。</w:t>
      </w:r>
      <w:r>
        <w:rPr>
          <w:rFonts w:hint="eastAsia" w:ascii="仿宋_GB2312" w:eastAsia="仿宋_GB2312"/>
          <w:sz w:val="32"/>
          <w:szCs w:val="32"/>
        </w:rPr>
        <w:br w:type="textWrapping"/>
      </w:r>
      <w:r>
        <w:rPr>
          <w:rFonts w:hint="eastAsia" w:ascii="仿宋_GB2312" w:eastAsia="仿宋_GB2312"/>
          <w:sz w:val="32"/>
          <w:szCs w:val="32"/>
        </w:rPr>
        <w:t>4、依法保障财政国库集中支付中心工作人员的后续教育，促进业务素质的提高。</w:t>
      </w:r>
      <w:r>
        <w:rPr>
          <w:rFonts w:hint="eastAsia" w:ascii="仿宋_GB2312" w:eastAsia="仿宋_GB2312"/>
          <w:sz w:val="32"/>
          <w:szCs w:val="32"/>
        </w:rPr>
        <w:br w:type="textWrapping"/>
      </w:r>
      <w:r>
        <w:rPr>
          <w:rFonts w:hint="eastAsia" w:ascii="仿宋_GB2312" w:eastAsia="仿宋_GB2312"/>
          <w:sz w:val="32"/>
          <w:szCs w:val="32"/>
        </w:rPr>
        <w:t>5、负责协调财政国库集中支付中心与财政局内有关业务股室和预算单位的关系，解决政府中心与国库股、预算单位、供货商、银行支付、会计核算业务中出现的问题。</w:t>
      </w:r>
      <w:r>
        <w:rPr>
          <w:rFonts w:hint="eastAsia" w:ascii="仿宋_GB2312" w:eastAsia="仿宋_GB2312"/>
          <w:sz w:val="32"/>
          <w:szCs w:val="32"/>
        </w:rPr>
        <w:br w:type="textWrapping"/>
      </w:r>
      <w:r>
        <w:rPr>
          <w:rFonts w:hint="eastAsia" w:ascii="仿宋_GB2312" w:eastAsia="仿宋_GB2312"/>
          <w:sz w:val="32"/>
          <w:szCs w:val="32"/>
        </w:rPr>
        <w:t>6、完成财政局交办的其他工作。</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新疆喀什地区塔什库尔干县财政国库集中支付中心</w:t>
      </w:r>
      <w:r>
        <w:rPr>
          <w:rFonts w:hint="eastAsia" w:ascii="仿宋_GB2312" w:eastAsia="仿宋_GB2312"/>
          <w:sz w:val="32"/>
          <w:szCs w:val="32"/>
        </w:rPr>
        <w:t>部门决算包括：</w:t>
      </w:r>
      <w:r>
        <w:rPr>
          <w:rFonts w:ascii="仿宋_GB2312" w:eastAsia="仿宋_GB2312"/>
          <w:sz w:val="32"/>
          <w:szCs w:val="32"/>
        </w:rPr>
        <w:t>新疆喀什地区塔什库尔干县财政国库集中支付中心</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新疆喀什地区塔什库尔干县财政国库集中支付中心</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10"/>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新疆喀什地区塔什库尔干县财政国库集中支付中心</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jc w:val="both"/>
        <w:textAlignment w:val="auto"/>
        <w:outlineLvl w:val="9"/>
        <w:rPr>
          <w:rFonts w:ascii="仿宋_GB2312" w:hAnsi="Calibri" w:eastAsia="仿宋_GB2312"/>
          <w:color w:val="000000" w:themeColor="text1"/>
          <w:sz w:val="32"/>
          <w:szCs w:val="32"/>
          <w:lang w:val="en-GB"/>
        </w:rPr>
      </w:pPr>
      <w:bookmarkStart w:id="4" w:name="OLE_LINK99"/>
      <w:bookmarkStart w:id="5" w:name="OLE_LINK100"/>
      <w:bookmarkStart w:id="6" w:name="OLE_LINK52"/>
      <w:r>
        <w:rPr>
          <w:rFonts w:hint="eastAsia" w:ascii="仿宋_GB2312" w:eastAsia="仿宋_GB2312"/>
          <w:color w:val="000000" w:themeColor="text1"/>
          <w:sz w:val="32"/>
          <w:szCs w:val="32"/>
          <w:lang w:val="en-US" w:eastAsia="zh-CN"/>
        </w:rPr>
        <w:t xml:space="preserve">     </w:t>
      </w:r>
      <w:r>
        <w:rPr>
          <w:rFonts w:hint="eastAsia" w:ascii="仿宋_GB2312" w:eastAsia="仿宋_GB2312"/>
          <w:color w:val="000000" w:themeColor="text1"/>
          <w:sz w:val="32"/>
          <w:szCs w:val="32"/>
        </w:rPr>
        <w:t>2018年度收入</w:t>
      </w:r>
      <w:r>
        <w:rPr>
          <w:rFonts w:hint="eastAsia" w:ascii="仿宋_GB2312" w:eastAsia="仿宋_GB2312"/>
          <w:sz w:val="32"/>
          <w:szCs w:val="32"/>
        </w:rPr>
        <w:t>292.08</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，与上年相比，增加48.82万元，增长20.07%，增加的主要原因是：</w:t>
      </w:r>
      <w:r>
        <w:rPr>
          <w:rFonts w:hint="eastAsia" w:ascii="仿宋_GB2312" w:eastAsia="仿宋_GB2312"/>
          <w:color w:val="000000" w:themeColor="text1"/>
          <w:sz w:val="32"/>
          <w:szCs w:val="32"/>
        </w:rPr>
        <w:t>2018年艰苦边远地区津贴调整及补发2017年艰苦边远地区津贴补贴；2018年发放高海拔地区</w:t>
      </w:r>
      <w:r>
        <w:rPr>
          <w:rFonts w:hint="eastAsia" w:ascii="仿宋_GB2312" w:eastAsia="仿宋_GB2312"/>
          <w:color w:val="000000" w:themeColor="text1"/>
          <w:sz w:val="32"/>
          <w:szCs w:val="32"/>
          <w:lang w:val="en-US" w:eastAsia="zh-CN"/>
        </w:rPr>
        <w:t>工龄工资</w:t>
      </w:r>
      <w:r>
        <w:rPr>
          <w:rFonts w:hint="eastAsia" w:ascii="仿宋_GB2312" w:eastAsia="仿宋_GB2312"/>
          <w:color w:val="000000" w:themeColor="text1"/>
          <w:sz w:val="32"/>
          <w:szCs w:val="32"/>
        </w:rPr>
        <w:t>及补发2017年高海拔地区</w:t>
      </w:r>
      <w:r>
        <w:rPr>
          <w:rFonts w:hint="eastAsia" w:ascii="仿宋_GB2312" w:eastAsia="仿宋_GB2312"/>
          <w:color w:val="000000" w:themeColor="text1"/>
          <w:sz w:val="32"/>
          <w:szCs w:val="32"/>
          <w:lang w:val="en-US" w:eastAsia="zh-CN"/>
        </w:rPr>
        <w:t>工龄工资</w:t>
      </w:r>
      <w:r>
        <w:rPr>
          <w:rFonts w:hint="eastAsia" w:ascii="仿宋_GB2312" w:eastAsia="仿宋_GB2312"/>
          <w:color w:val="000000" w:themeColor="text1"/>
          <w:sz w:val="32"/>
          <w:szCs w:val="32"/>
        </w:rPr>
        <w:t>；</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292.08</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，与上年相比，增加48.82万元，增长20.07%，增加的主要原因是：</w:t>
      </w:r>
      <w:r>
        <w:rPr>
          <w:rFonts w:hint="eastAsia" w:ascii="仿宋_GB2312" w:eastAsia="仿宋_GB2312"/>
          <w:color w:val="000000" w:themeColor="text1"/>
          <w:sz w:val="32"/>
          <w:szCs w:val="32"/>
        </w:rPr>
        <w:t>2018年艰苦边远地区津贴调整及补发2017年艰苦边远地区津贴补贴；2018年发放高海拔地区</w:t>
      </w:r>
      <w:r>
        <w:rPr>
          <w:rFonts w:hint="eastAsia" w:ascii="仿宋_GB2312" w:eastAsia="仿宋_GB2312"/>
          <w:color w:val="000000" w:themeColor="text1"/>
          <w:sz w:val="32"/>
          <w:szCs w:val="32"/>
          <w:lang w:val="en-US" w:eastAsia="zh-CN"/>
        </w:rPr>
        <w:t>工龄工资</w:t>
      </w:r>
      <w:r>
        <w:rPr>
          <w:rFonts w:hint="eastAsia" w:ascii="仿宋_GB2312" w:eastAsia="仿宋_GB2312"/>
          <w:color w:val="000000" w:themeColor="text1"/>
          <w:sz w:val="32"/>
          <w:szCs w:val="32"/>
        </w:rPr>
        <w:t>及补发2017年高海拔地区</w:t>
      </w:r>
      <w:r>
        <w:rPr>
          <w:rFonts w:hint="eastAsia" w:ascii="仿宋_GB2312" w:eastAsia="仿宋_GB2312"/>
          <w:color w:val="000000" w:themeColor="text1"/>
          <w:sz w:val="32"/>
          <w:szCs w:val="32"/>
          <w:lang w:val="en-US" w:eastAsia="zh-CN"/>
        </w:rPr>
        <w:t>工龄工资</w:t>
      </w:r>
      <w:r>
        <w:rPr>
          <w:rFonts w:hint="eastAsia" w:ascii="仿宋_GB2312" w:eastAsia="仿宋_GB2312"/>
          <w:color w:val="000000" w:themeColor="text1"/>
          <w:sz w:val="32"/>
          <w:szCs w:val="32"/>
        </w:rPr>
        <w:t>；</w:t>
      </w:r>
      <w:bookmarkEnd w:id="7"/>
      <w:bookmarkStart w:id="8" w:name="OLE_LINK54"/>
      <w:r>
        <w:rPr>
          <w:rFonts w:hint="eastAsia" w:ascii="仿宋_GB2312" w:eastAsia="仿宋_GB2312"/>
          <w:color w:val="000000"/>
          <w:sz w:val="32"/>
          <w:szCs w:val="32"/>
        </w:rPr>
        <w:t>结余</w:t>
      </w:r>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w:t>
      </w:r>
      <w:r>
        <w:rPr>
          <w:rFonts w:hint="eastAsia" w:ascii="仿宋_GB2312" w:eastAsia="仿宋_GB2312"/>
          <w:sz w:val="32"/>
          <w:szCs w:val="32"/>
        </w:rPr>
        <w:t>增加0万元，增长0%，</w:t>
      </w:r>
      <w:r>
        <w:rPr>
          <w:rFonts w:hint="eastAsia" w:ascii="仿宋_GB2312" w:eastAsia="仿宋_GB2312"/>
          <w:sz w:val="32"/>
          <w:szCs w:val="32"/>
          <w:lang w:eastAsia="zh-CN"/>
        </w:rPr>
        <w:t>增减变化的</w:t>
      </w:r>
      <w:r>
        <w:rPr>
          <w:rFonts w:hint="eastAsia" w:ascii="仿宋_GB2312" w:eastAsia="仿宋_GB2312"/>
          <w:sz w:val="32"/>
          <w:szCs w:val="32"/>
        </w:rPr>
        <w:t>主要原因是：</w:t>
      </w:r>
      <w:r>
        <w:rPr>
          <w:rFonts w:hint="eastAsia" w:ascii="仿宋_GB2312" w:eastAsia="仿宋_GB2312"/>
          <w:color w:val="000000"/>
          <w:sz w:val="32"/>
          <w:szCs w:val="32"/>
          <w:lang w:val="en-US" w:eastAsia="zh-CN"/>
        </w:rPr>
        <w:t>本年与上年均无结余资金</w:t>
      </w:r>
      <w:r>
        <w:rPr>
          <w:rFonts w:ascii="仿宋_GB2312" w:eastAsia="仿宋_GB2312"/>
          <w:color w:val="000000"/>
          <w:sz w:val="32"/>
          <w:szCs w:val="32"/>
        </w:rPr>
        <w:t>。</w:t>
      </w:r>
      <w:bookmarkEnd w:id="8"/>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3" w:firstLineChars="200"/>
        <w:jc w:val="both"/>
        <w:textAlignment w:val="auto"/>
        <w:outlineLvl w:val="9"/>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292.08</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292.08</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况：本年收入年初预算数307.12万元</w:t>
      </w:r>
      <w:r>
        <w:rPr>
          <w:rFonts w:hint="eastAsia" w:ascii="仿宋_GB2312" w:eastAsia="仿宋_GB2312"/>
          <w:sz w:val="32"/>
          <w:szCs w:val="32"/>
        </w:rPr>
        <w:t>，决算数292.08万元</w:t>
      </w:r>
      <w:r>
        <w:rPr>
          <w:rFonts w:ascii="仿宋_GB2312" w:eastAsia="仿宋_GB2312"/>
          <w:sz w:val="32"/>
          <w:szCs w:val="32"/>
        </w:rPr>
        <w:t>，预决算差异率-4.9%，差异主要原因是本年1月减少1人导致人员经费较预算数降低。</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hint="eastAsia" w:ascii="仿宋_GB2312" w:eastAsia="仿宋_GB2312"/>
          <w:color w:val="000000" w:themeColor="text1"/>
          <w:spacing w:val="-6"/>
          <w:sz w:val="32"/>
          <w:szCs w:val="32"/>
          <w:lang w:eastAsia="zh-CN"/>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292.08</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292.08</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sz w:val="32"/>
          <w:szCs w:val="32"/>
          <w:lang w:eastAsia="zh-CN"/>
        </w:rPr>
        <w:t>。</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与年初预算数相比情况：本年支出年初预算数307.12万元，</w:t>
      </w:r>
      <w:r>
        <w:rPr>
          <w:rFonts w:hint="eastAsia" w:ascii="仿宋_GB2312" w:eastAsia="仿宋_GB2312"/>
          <w:sz w:val="32"/>
          <w:szCs w:val="32"/>
        </w:rPr>
        <w:t>决算数292.08万元</w:t>
      </w:r>
      <w:r>
        <w:rPr>
          <w:rFonts w:ascii="仿宋_GB2312" w:eastAsia="仿宋_GB2312"/>
          <w:sz w:val="32"/>
          <w:szCs w:val="32"/>
        </w:rPr>
        <w:t>，预决算差异率-4.9%，差异主要原因是本年1月减少1人导致人员经费较预算数降低。</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hint="eastAsia" w:ascii="仿宋_GB2312" w:eastAsia="仿宋_GB2312"/>
          <w:sz w:val="32"/>
          <w:szCs w:val="32"/>
          <w:lang w:val="en-US" w:eastAsia="zh-CN"/>
        </w:rPr>
      </w:pPr>
      <w:bookmarkStart w:id="23" w:name="OLE_LINK57"/>
      <w:bookmarkStart w:id="24" w:name="OLE_LINK58"/>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292.08</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，与上年相比，增加48.82万元，增长20.07%，增加的主要原因是：2</w:t>
      </w:r>
      <w:r>
        <w:rPr>
          <w:rFonts w:hint="eastAsia" w:ascii="仿宋_GB2312" w:eastAsia="仿宋_GB2312"/>
          <w:color w:val="000000" w:themeColor="text1"/>
          <w:sz w:val="32"/>
          <w:szCs w:val="32"/>
        </w:rPr>
        <w:t>018年艰苦边远地区津贴调整及补发2017年艰苦边远地区津贴补贴；2018年发放高海拔地区</w:t>
      </w:r>
      <w:r>
        <w:rPr>
          <w:rFonts w:hint="eastAsia" w:ascii="仿宋_GB2312" w:eastAsia="仿宋_GB2312"/>
          <w:color w:val="000000" w:themeColor="text1"/>
          <w:sz w:val="32"/>
          <w:szCs w:val="32"/>
          <w:lang w:val="en-US" w:eastAsia="zh-CN"/>
        </w:rPr>
        <w:t>工龄工资</w:t>
      </w:r>
      <w:r>
        <w:rPr>
          <w:rFonts w:hint="eastAsia" w:ascii="仿宋_GB2312" w:eastAsia="仿宋_GB2312"/>
          <w:color w:val="000000" w:themeColor="text1"/>
          <w:sz w:val="32"/>
          <w:szCs w:val="32"/>
        </w:rPr>
        <w:t>及补发2017年高海拔地区</w:t>
      </w:r>
      <w:r>
        <w:rPr>
          <w:rFonts w:hint="eastAsia" w:ascii="仿宋_GB2312" w:eastAsia="仿宋_GB2312"/>
          <w:color w:val="000000" w:themeColor="text1"/>
          <w:sz w:val="32"/>
          <w:szCs w:val="32"/>
          <w:lang w:val="en-US" w:eastAsia="zh-CN"/>
        </w:rPr>
        <w:t>工龄工资</w:t>
      </w:r>
      <w:r>
        <w:rPr>
          <w:rFonts w:hint="eastAsia" w:ascii="仿宋_GB2312" w:eastAsia="仿宋_GB2312"/>
          <w:sz w:val="32"/>
          <w:szCs w:val="32"/>
        </w:rPr>
        <w:t>。</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292.08</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，与上年相比，增加48.82万元，增长20.07%，增加的主要原因是：</w:t>
      </w:r>
      <w:r>
        <w:rPr>
          <w:rFonts w:ascii="仿宋_GB2312" w:eastAsia="仿宋_GB2312"/>
          <w:sz w:val="32"/>
          <w:szCs w:val="32"/>
        </w:rPr>
        <w:t>2018年艰苦边远地区津贴调整及补发2017年艰苦边远地区津贴补贴；2018年发放高海拔地区工龄补贴及补发2017年高海拔地区工龄补贴。</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292.08</w:t>
      </w:r>
      <w:r>
        <w:rPr>
          <w:rFonts w:hint="eastAsia" w:ascii="仿宋_GB2312" w:eastAsia="仿宋_GB2312"/>
          <w:color w:val="000000" w:themeColor="text1"/>
          <w:sz w:val="32"/>
          <w:szCs w:val="32"/>
        </w:rPr>
        <w:t>万元，项目支出</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29"/>
      <w:bookmarkStart w:id="31" w:name="OLE_LINK16"/>
      <w:bookmarkStart w:id="32" w:name="OLE_LINK62"/>
      <w:r>
        <w:rPr>
          <w:rFonts w:hint="eastAsia" w:ascii="仿宋_GB2312" w:eastAsia="仿宋_GB2312"/>
          <w:color w:val="000000"/>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,增加0万元，增长0%，增加的主要原因是：本年与上年均无结转结余资金。</w:t>
      </w:r>
      <w:bookmarkStart w:id="88" w:name="_GoBack"/>
      <w:bookmarkEnd w:id="88"/>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307.12</w:t>
      </w:r>
      <w:r>
        <w:rPr>
          <w:rFonts w:hint="eastAsia" w:ascii="仿宋_GB2312" w:eastAsia="仿宋_GB2312"/>
          <w:color w:val="000000" w:themeColor="text1"/>
          <w:sz w:val="32"/>
          <w:szCs w:val="32"/>
        </w:rPr>
        <w:t>万元，决算数</w:t>
      </w:r>
      <w:r>
        <w:rPr>
          <w:rFonts w:hint="eastAsia" w:ascii="仿宋_GB2312" w:eastAsia="仿宋_GB2312"/>
          <w:sz w:val="32"/>
          <w:szCs w:val="32"/>
        </w:rPr>
        <w:t>292.08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，预决算差异率-4.9%，差异主要原因是本年1月减少1人导致人员经费较预算数降低。</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307.12</w:t>
      </w:r>
      <w:r>
        <w:rPr>
          <w:rFonts w:hint="eastAsia" w:ascii="仿宋_GB2312" w:eastAsia="仿宋_GB2312"/>
          <w:color w:val="000000" w:themeColor="text1"/>
          <w:sz w:val="32"/>
          <w:szCs w:val="32"/>
        </w:rPr>
        <w:t>万元，决算数</w:t>
      </w:r>
      <w:r>
        <w:rPr>
          <w:rFonts w:hint="eastAsia" w:ascii="仿宋_GB2312" w:eastAsia="仿宋_GB2312"/>
          <w:sz w:val="32"/>
          <w:szCs w:val="32"/>
        </w:rPr>
        <w:t>292.08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，预决算差异率-4.9%，差异主要原因是本年1月减少1人导致人员经费较预算数降低。</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292.08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，与上年相比，增加48.82万元，增长20.07%，增加的主要原因是：2018年艰苦边远地区津贴调整及补发2017年艰苦边远地区津贴补贴；2018年发放高海拔地区折算工龄补贴及补发2017年高海拔地区折算工龄补贴。</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292.08</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，与上年相比，增加48.82万元，增长20.07%，增加的主要原因是：2018年艰苦边远地区津贴调整及补发2017年艰苦边远地区津贴补贴；2018年发放高海拔地区折算工龄补贴及补发2017年高海拔地区折算工龄补贴。</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住房保障支出18.17万元,一般公共服务支出247.27万元,社会保障和就业支出26.65万元。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工资福利支出266.35万元,商品和服务支出14.61万元,对个人和家庭的补助11.12万元。</w:t>
      </w:r>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307.12</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292.08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，预决算差异率-4.9%，差异主要原因是本年1月减少1人导致人员经费较预算数降低。</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307.12</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292.08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，预决算差异率-4.9%，差异主要原因是本年1月减少1人导致人员经费较预算数降低。</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1"/>
      <w:bookmarkStart w:id="50" w:name="OLE_LINK72"/>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，预决算差异率0%，差异主要原因是无变化。</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，预决算差异率0%，差异主要原因是无变化。</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_GB2312" w:eastAsia="仿宋_GB2312"/>
          <w:color w:val="000000"/>
          <w:sz w:val="32"/>
          <w:szCs w:val="32"/>
        </w:rPr>
      </w:pPr>
      <w:r>
        <w:rPr>
          <w:rFonts w:hint="eastAsia" w:ascii="仿宋_GB2312" w:eastAsia="仿宋_GB2312"/>
          <w:color w:val="000000"/>
          <w:sz w:val="32"/>
          <w:szCs w:val="32"/>
        </w:rPr>
        <w:t>年末结转结余0万元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与上年相比</w:t>
      </w:r>
      <w:r>
        <w:rPr>
          <w:rFonts w:hint="eastAsia" w:ascii="仿宋_GB2312" w:eastAsia="仿宋_GB2312"/>
          <w:color w:val="000000"/>
          <w:sz w:val="32"/>
          <w:szCs w:val="32"/>
          <w:lang w:eastAsia="zh-CN"/>
        </w:rPr>
        <w:t>，</w:t>
      </w:r>
      <w:r>
        <w:rPr>
          <w:rFonts w:hint="eastAsia" w:ascii="仿宋_GB2312" w:eastAsia="仿宋_GB2312"/>
          <w:color w:val="000000"/>
          <w:sz w:val="32"/>
          <w:szCs w:val="32"/>
        </w:rPr>
        <w:t>增加0万元，增长0%。</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jc w:val="both"/>
        <w:textAlignment w:val="auto"/>
        <w:outlineLvl w:val="9"/>
        <w:rPr>
          <w:rFonts w:ascii="仿宋_GB2312" w:eastAsia="仿宋_GB2312"/>
          <w:color w:val="000000"/>
          <w:sz w:val="32"/>
          <w:szCs w:val="32"/>
        </w:rPr>
      </w:pPr>
      <w:r>
        <w:rPr>
          <w:rFonts w:hint="eastAsia" w:ascii="仿宋_GB2312" w:eastAsia="仿宋_GB2312"/>
          <w:color w:val="000000"/>
          <w:sz w:val="32"/>
          <w:szCs w:val="32"/>
          <w:lang w:val="en-US" w:eastAsia="zh-CN"/>
        </w:rPr>
        <w:t xml:space="preserve">    </w:t>
      </w:r>
      <w:r>
        <w:rPr>
          <w:rFonts w:hint="eastAsia" w:ascii="仿宋_GB2312" w:eastAsia="仿宋_GB2312"/>
          <w:color w:val="000000"/>
          <w:sz w:val="32"/>
          <w:szCs w:val="32"/>
        </w:rPr>
        <w:t>其中财政拨款结转结余0万元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与上年相比</w:t>
      </w:r>
      <w:r>
        <w:rPr>
          <w:rFonts w:hint="eastAsia" w:ascii="仿宋_GB2312" w:eastAsia="仿宋_GB2312"/>
          <w:color w:val="000000"/>
          <w:sz w:val="32"/>
          <w:szCs w:val="32"/>
          <w:lang w:val="en-US" w:eastAsia="zh-CN"/>
        </w:rPr>
        <w:t>,</w:t>
      </w:r>
      <w:r>
        <w:rPr>
          <w:rFonts w:hint="eastAsia" w:ascii="仿宋_GB2312" w:eastAsia="仿宋_GB2312"/>
          <w:color w:val="000000"/>
          <w:sz w:val="32"/>
          <w:szCs w:val="32"/>
        </w:rPr>
        <w:t>增加0万元，增长0%。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sz w:val="32"/>
          <w:szCs w:val="32"/>
        </w:rPr>
      </w:pPr>
      <w:bookmarkStart w:id="52" w:name="OLE_LINK74"/>
      <w:bookmarkStart w:id="53" w:name="OLE_LINK79"/>
      <w:bookmarkStart w:id="54" w:name="OLE_LINK80"/>
      <w:r>
        <w:rPr>
          <w:rFonts w:hint="eastAsia" w:ascii="仿宋_GB2312" w:eastAsia="仿宋_GB2312"/>
          <w:color w:val="000000"/>
          <w:sz w:val="32"/>
          <w:szCs w:val="32"/>
        </w:rPr>
        <w:t>2018年度</w:t>
      </w:r>
      <w:bookmarkStart w:id="55" w:name="OLE_LINK29"/>
      <w:r>
        <w:rPr>
          <w:rFonts w:hint="eastAsia" w:ascii="仿宋_GB2312" w:eastAsia="仿宋_GB2312"/>
          <w:color w:val="000000"/>
          <w:sz w:val="32"/>
          <w:szCs w:val="32"/>
        </w:rPr>
        <w:t>一般公共预算“三公”经费支出决算</w:t>
      </w:r>
      <w:bookmarkEnd w:id="55"/>
      <w:r>
        <w:rPr>
          <w:rFonts w:hint="eastAsia" w:ascii="仿宋_GB2312" w:eastAsia="仿宋_GB2312"/>
          <w:sz w:val="32"/>
          <w:szCs w:val="32"/>
          <w:lang w:val="en-US" w:eastAsia="zh-CN"/>
        </w:rPr>
        <w:t>2</w:t>
      </w:r>
      <w:r>
        <w:rPr>
          <w:rFonts w:hint="eastAsia" w:ascii="仿宋_GB2312" w:eastAsia="仿宋_GB2312"/>
          <w:color w:val="000000"/>
          <w:sz w:val="32"/>
          <w:szCs w:val="32"/>
        </w:rPr>
        <w:t>万元</w:t>
      </w:r>
      <w:r>
        <w:rPr>
          <w:rFonts w:hint="eastAsia" w:ascii="仿宋_GB2312" w:eastAsia="仿宋_GB2312"/>
          <w:sz w:val="32"/>
          <w:szCs w:val="32"/>
        </w:rPr>
        <w:t>，</w:t>
      </w:r>
      <w:r>
        <w:rPr>
          <w:rFonts w:hint="eastAsia" w:ascii="仿宋_GB2312" w:eastAsia="仿宋_GB2312"/>
          <w:sz w:val="32"/>
          <w:szCs w:val="32"/>
          <w:highlight w:val="none"/>
        </w:rPr>
        <w:t>与上年相比</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w:t>
      </w:r>
      <w:r>
        <w:rPr>
          <w:rFonts w:hint="eastAsia" w:ascii="仿宋_GB2312" w:eastAsia="仿宋_GB2312"/>
          <w:sz w:val="32"/>
          <w:szCs w:val="32"/>
          <w:highlight w:val="none"/>
          <w:lang w:val="en-US" w:eastAsia="zh-CN"/>
        </w:rPr>
        <w:t>本年支出与上年支出保持一致，无变化</w:t>
      </w:r>
      <w:r>
        <w:rPr>
          <w:rFonts w:hint="eastAsia" w:ascii="仿宋_GB2312" w:eastAsia="仿宋_GB2312"/>
          <w:sz w:val="32"/>
          <w:szCs w:val="32"/>
          <w:highlight w:val="none"/>
        </w:rPr>
        <w:t>。</w:t>
      </w:r>
      <w:bookmarkEnd w:id="52"/>
      <w:bookmarkStart w:id="56" w:name="OLE_LINK75"/>
      <w:r>
        <w:rPr>
          <w:rFonts w:hint="eastAsia" w:ascii="仿宋_GB2312" w:eastAsia="仿宋_GB2312"/>
          <w:color w:val="000000"/>
          <w:sz w:val="32"/>
          <w:szCs w:val="32"/>
          <w:highlight w:val="none"/>
        </w:rPr>
        <w:t>其中，</w:t>
      </w:r>
      <w:bookmarkStart w:id="57" w:name="OLE_LINK30"/>
      <w:r>
        <w:rPr>
          <w:rFonts w:hint="eastAsia" w:ascii="仿宋_GB2312" w:eastAsia="仿宋_GB2312"/>
          <w:color w:val="000000"/>
          <w:sz w:val="32"/>
          <w:szCs w:val="32"/>
          <w:highlight w:val="none"/>
        </w:rPr>
        <w:t>因公出国（境）费支出</w:t>
      </w:r>
      <w:bookmarkEnd w:id="57"/>
      <w:r>
        <w:rPr>
          <w:rFonts w:hint="eastAsia" w:ascii="仿宋_GB2312" w:eastAsia="仿宋_GB2312"/>
          <w:sz w:val="32"/>
          <w:szCs w:val="32"/>
          <w:highlight w:val="none"/>
        </w:rPr>
        <w:t>0</w:t>
      </w:r>
      <w:r>
        <w:rPr>
          <w:rFonts w:hint="eastAsia" w:ascii="仿宋_GB2312" w:eastAsia="仿宋_GB2312"/>
          <w:color w:val="000000"/>
          <w:sz w:val="32"/>
          <w:szCs w:val="32"/>
          <w:highlight w:val="none"/>
        </w:rPr>
        <w:t>万元，占</w:t>
      </w:r>
      <w:r>
        <w:rPr>
          <w:rFonts w:hint="eastAsia" w:ascii="仿宋_GB2312" w:eastAsia="仿宋_GB2312"/>
          <w:sz w:val="32"/>
          <w:szCs w:val="32"/>
          <w:highlight w:val="none"/>
        </w:rPr>
        <w:t>0%，与上年相比，</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w:t>
      </w:r>
      <w:r>
        <w:rPr>
          <w:rFonts w:ascii="仿宋_GB2312" w:eastAsia="仿宋_GB2312"/>
          <w:color w:val="000000"/>
          <w:sz w:val="32"/>
          <w:szCs w:val="32"/>
        </w:rPr>
        <w:t>本单位无因公出国（境）费支出</w:t>
      </w:r>
      <w:bookmarkEnd w:id="56"/>
      <w:bookmarkStart w:id="58" w:name="OLE_LINK31"/>
      <w:bookmarkStart w:id="59" w:name="OLE_LINK76"/>
      <w:r>
        <w:rPr>
          <w:rFonts w:hint="eastAsia" w:ascii="仿宋_GB2312" w:eastAsia="仿宋_GB2312"/>
          <w:sz w:val="32"/>
          <w:szCs w:val="32"/>
          <w:highlight w:val="none"/>
          <w:lang w:eastAsia="zh-CN"/>
        </w:rPr>
        <w:t>；</w:t>
      </w:r>
      <w:r>
        <w:rPr>
          <w:rFonts w:hint="eastAsia" w:ascii="仿宋_GB2312" w:eastAsia="仿宋_GB2312"/>
          <w:color w:val="000000"/>
          <w:sz w:val="32"/>
          <w:szCs w:val="32"/>
          <w:highlight w:val="none"/>
        </w:rPr>
        <w:t>公务用车购置及运行维护费支出</w:t>
      </w:r>
      <w:bookmarkEnd w:id="58"/>
      <w:r>
        <w:rPr>
          <w:rFonts w:hint="eastAsia" w:ascii="仿宋_GB2312" w:eastAsia="仿宋_GB2312"/>
          <w:sz w:val="32"/>
          <w:szCs w:val="32"/>
          <w:highlight w:val="none"/>
          <w:lang w:val="en-US" w:eastAsia="zh-CN"/>
        </w:rPr>
        <w:t>2</w:t>
      </w:r>
      <w:r>
        <w:rPr>
          <w:rFonts w:hint="eastAsia" w:ascii="仿宋_GB2312" w:eastAsia="仿宋_GB2312"/>
          <w:color w:val="000000"/>
          <w:sz w:val="32"/>
          <w:szCs w:val="32"/>
          <w:highlight w:val="none"/>
        </w:rPr>
        <w:t>万元</w:t>
      </w:r>
      <w:r>
        <w:rPr>
          <w:rFonts w:hint="eastAsia" w:ascii="仿宋_GB2312" w:eastAsia="仿宋_GB2312"/>
          <w:color w:val="000000"/>
          <w:sz w:val="32"/>
          <w:szCs w:val="32"/>
        </w:rPr>
        <w:t>，占</w:t>
      </w:r>
      <w:r>
        <w:rPr>
          <w:rFonts w:hint="eastAsia" w:ascii="仿宋_GB2312" w:eastAsia="仿宋_GB2312"/>
          <w:sz w:val="32"/>
          <w:szCs w:val="32"/>
        </w:rPr>
        <w:t>100%，与上年相比</w:t>
      </w:r>
      <w:r>
        <w:rPr>
          <w:rFonts w:hint="eastAsia" w:ascii="仿宋_GB2312" w:eastAsia="仿宋_GB2312"/>
          <w:sz w:val="32"/>
          <w:szCs w:val="32"/>
          <w:lang w:eastAsia="zh-CN"/>
        </w:rPr>
        <w:t>，</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w:t>
      </w:r>
      <w:r>
        <w:rPr>
          <w:rFonts w:hint="eastAsia" w:ascii="仿宋_GB2312" w:eastAsia="仿宋_GB2312"/>
          <w:sz w:val="32"/>
          <w:szCs w:val="32"/>
          <w:highlight w:val="none"/>
          <w:lang w:val="en-US" w:eastAsia="zh-CN"/>
        </w:rPr>
        <w:t>本年支出与上年支出保持一致，无变化</w:t>
      </w:r>
      <w:r>
        <w:rPr>
          <w:rFonts w:hint="eastAsia" w:ascii="仿宋_GB2312" w:eastAsia="仿宋_GB2312"/>
          <w:sz w:val="32"/>
          <w:szCs w:val="32"/>
        </w:rPr>
        <w:t>；</w:t>
      </w:r>
      <w:bookmarkEnd w:id="59"/>
      <w:bookmarkStart w:id="60" w:name="OLE_LINK32"/>
      <w:bookmarkStart w:id="61" w:name="OLE_LINK77"/>
      <w:bookmarkStart w:id="62" w:name="OLE_LINK78"/>
      <w:r>
        <w:rPr>
          <w:rFonts w:hint="eastAsia" w:ascii="仿宋_GB2312" w:eastAsia="仿宋_GB2312"/>
          <w:color w:val="000000"/>
          <w:sz w:val="32"/>
          <w:szCs w:val="32"/>
        </w:rPr>
        <w:t>公务接待费支出</w:t>
      </w:r>
      <w:bookmarkEnd w:id="60"/>
      <w:r>
        <w:rPr>
          <w:rFonts w:hint="eastAsia" w:ascii="仿宋_GB2312" w:eastAsia="仿宋_GB2312"/>
          <w:sz w:val="32"/>
          <w:szCs w:val="32"/>
        </w:rPr>
        <w:t>0</w:t>
      </w:r>
      <w:r>
        <w:rPr>
          <w:rFonts w:hint="eastAsia" w:ascii="仿宋_GB2312" w:eastAsia="仿宋_GB2312"/>
          <w:color w:val="000000"/>
          <w:sz w:val="32"/>
          <w:szCs w:val="32"/>
        </w:rPr>
        <w:t>万元，占</w:t>
      </w:r>
      <w:r>
        <w:rPr>
          <w:rFonts w:hint="eastAsia" w:ascii="仿宋_GB2312" w:eastAsia="仿宋_GB2312"/>
          <w:sz w:val="32"/>
          <w:szCs w:val="32"/>
        </w:rPr>
        <w:t>0%，与上年相比</w:t>
      </w:r>
      <w:r>
        <w:rPr>
          <w:rFonts w:hint="eastAsia" w:ascii="仿宋_GB2312" w:eastAsia="仿宋_GB2312"/>
          <w:sz w:val="32"/>
          <w:szCs w:val="32"/>
          <w:lang w:eastAsia="zh-CN"/>
        </w:rPr>
        <w:t>，</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的主要原因是：本单位无公务接待费支出。</w:t>
      </w:r>
      <w:bookmarkEnd w:id="61"/>
      <w:bookmarkEnd w:id="62"/>
      <w:r>
        <w:rPr>
          <w:rFonts w:hint="eastAsia" w:ascii="仿宋_GB2312" w:eastAsia="仿宋_GB2312"/>
          <w:color w:val="000000"/>
          <w:sz w:val="32"/>
          <w:szCs w:val="32"/>
        </w:rPr>
        <w:t>具体情况如下：</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新疆喀什地区塔什库尔干县财政国库集中支付中心</w:t>
      </w:r>
      <w:r>
        <w:rPr>
          <w:rFonts w:hint="eastAsia" w:ascii="仿宋_GB2312" w:eastAsia="仿宋_GB2312"/>
          <w:color w:val="000000" w:themeColor="text1"/>
          <w:sz w:val="32"/>
          <w:szCs w:val="32"/>
        </w:rPr>
        <w:t>单位</w:t>
      </w:r>
      <w:bookmarkStart w:id="63" w:name="OLE_LINK33"/>
      <w:r>
        <w:rPr>
          <w:rFonts w:hint="eastAsia" w:ascii="仿宋_GB2312" w:eastAsia="仿宋_GB2312"/>
          <w:color w:val="000000" w:themeColor="text1"/>
          <w:sz w:val="32"/>
          <w:szCs w:val="32"/>
        </w:rPr>
        <w:t>全年</w:t>
      </w:r>
      <w:bookmarkStart w:id="64" w:name="OLE_LINK34"/>
      <w:bookmarkStart w:id="65" w:name="OLE_LINK35"/>
      <w:bookmarkStart w:id="66" w:name="OLE_LINK36"/>
      <w:r>
        <w:rPr>
          <w:rFonts w:hint="eastAsia" w:ascii="仿宋_GB2312" w:eastAsia="仿宋_GB2312"/>
          <w:color w:val="000000" w:themeColor="text1"/>
          <w:sz w:val="32"/>
          <w:szCs w:val="32"/>
        </w:rPr>
        <w:t>使用一般公共预算财政拨款安排的出国（境）团组</w:t>
      </w:r>
      <w:bookmarkEnd w:id="63"/>
      <w:bookmarkEnd w:id="64"/>
      <w:bookmarkEnd w:id="65"/>
      <w:r>
        <w:rPr>
          <w:rFonts w:hint="eastAsia" w:ascii="仿宋_GB2312" w:eastAsia="仿宋_GB2312"/>
          <w:sz w:val="32"/>
          <w:szCs w:val="32"/>
        </w:rPr>
        <w:t>0</w:t>
      </w:r>
      <w:r>
        <w:rPr>
          <w:rFonts w:hint="eastAsia" w:ascii="仿宋_GB2312" w:eastAsia="仿宋_GB2312"/>
          <w:color w:val="000000" w:themeColor="text1"/>
          <w:sz w:val="32"/>
          <w:szCs w:val="32"/>
        </w:rPr>
        <w:t>个</w:t>
      </w:r>
      <w:bookmarkEnd w:id="66"/>
      <w:r>
        <w:rPr>
          <w:rFonts w:hint="eastAsia" w:ascii="仿宋_GB2312" w:eastAsia="仿宋_GB2312"/>
          <w:color w:val="000000" w:themeColor="text1"/>
          <w:sz w:val="32"/>
          <w:szCs w:val="32"/>
        </w:rPr>
        <w:t>，</w:t>
      </w:r>
      <w:bookmarkStart w:id="67"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67"/>
      <w:r>
        <w:rPr>
          <w:rFonts w:hint="eastAsia" w:ascii="仿宋_GB2312" w:eastAsia="仿宋_GB2312"/>
          <w:color w:val="000000" w:themeColor="text1"/>
          <w:sz w:val="32"/>
          <w:szCs w:val="32"/>
        </w:rPr>
        <w:t>。</w:t>
      </w:r>
      <w:bookmarkStart w:id="68" w:name="OLE_LINK38"/>
      <w:r>
        <w:rPr>
          <w:rFonts w:hint="eastAsia" w:ascii="仿宋_GB2312" w:eastAsia="仿宋_GB2312"/>
          <w:color w:val="000000" w:themeColor="text1"/>
          <w:sz w:val="32"/>
          <w:szCs w:val="32"/>
        </w:rPr>
        <w:t>开支内容包括：</w:t>
      </w:r>
      <w:r>
        <w:rPr>
          <w:rFonts w:ascii="仿宋_GB2312" w:eastAsia="仿宋_GB2312"/>
          <w:color w:val="000000"/>
          <w:sz w:val="32"/>
          <w:szCs w:val="32"/>
        </w:rPr>
        <w:t>本单位无因公出国（境）费支出</w:t>
      </w:r>
      <w:r>
        <w:rPr>
          <w:rFonts w:ascii="仿宋_GB2312" w:eastAsia="仿宋_GB2312"/>
          <w:color w:val="000000" w:themeColor="text1"/>
          <w:sz w:val="32"/>
          <w:szCs w:val="32"/>
        </w:rPr>
        <w:t>。</w:t>
      </w:r>
      <w:bookmarkEnd w:id="53"/>
      <w:bookmarkEnd w:id="54"/>
      <w:bookmarkEnd w:id="68"/>
    </w:p>
    <w:p>
      <w:pPr>
        <w:spacing w:line="540" w:lineRule="exact"/>
        <w:ind w:firstLine="640" w:firstLineChars="200"/>
        <w:rPr>
          <w:rFonts w:ascii="仿宋_GB2312" w:eastAsia="仿宋_GB2312"/>
          <w:color w:val="000000" w:themeColor="text1"/>
          <w:sz w:val="32"/>
          <w:szCs w:val="32"/>
        </w:rPr>
      </w:pPr>
      <w:bookmarkStart w:id="69"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2</w:t>
      </w:r>
      <w:r>
        <w:rPr>
          <w:rFonts w:hint="eastAsia" w:ascii="仿宋_GB2312" w:eastAsia="仿宋_GB2312"/>
          <w:color w:val="000000" w:themeColor="text1"/>
          <w:sz w:val="32"/>
          <w:szCs w:val="32"/>
        </w:rPr>
        <w:t>万元,其中，</w:t>
      </w:r>
      <w:bookmarkStart w:id="70"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0"/>
      <w:r>
        <w:rPr>
          <w:rFonts w:hint="eastAsia" w:ascii="仿宋_GB2312" w:eastAsia="仿宋_GB2312"/>
          <w:color w:val="000000" w:themeColor="text1"/>
          <w:sz w:val="32"/>
          <w:szCs w:val="32"/>
        </w:rPr>
        <w:t>，</w:t>
      </w:r>
      <w:bookmarkStart w:id="71" w:name="OLE_LINK41"/>
      <w:bookmarkStart w:id="72" w:name="OLE_LINK40"/>
      <w:r>
        <w:rPr>
          <w:rFonts w:hint="eastAsia" w:ascii="仿宋_GB2312" w:eastAsia="仿宋_GB2312"/>
          <w:color w:val="000000" w:themeColor="text1"/>
          <w:sz w:val="32"/>
          <w:szCs w:val="32"/>
        </w:rPr>
        <w:t>公务用车运行维护费</w:t>
      </w:r>
      <w:r>
        <w:rPr>
          <w:rFonts w:hint="eastAsia" w:ascii="仿宋_GB2312" w:eastAsia="仿宋_GB2312"/>
          <w:sz w:val="32"/>
          <w:szCs w:val="32"/>
        </w:rPr>
        <w:t>2</w:t>
      </w:r>
      <w:r>
        <w:rPr>
          <w:rFonts w:hint="eastAsia" w:ascii="仿宋_GB2312" w:eastAsia="仿宋_GB2312"/>
          <w:color w:val="000000" w:themeColor="text1"/>
          <w:sz w:val="32"/>
          <w:szCs w:val="32"/>
        </w:rPr>
        <w:t>万元</w:t>
      </w:r>
      <w:bookmarkEnd w:id="71"/>
      <w:bookmarkEnd w:id="72"/>
      <w:r>
        <w:rPr>
          <w:rFonts w:hint="eastAsia" w:ascii="仿宋_GB2312" w:eastAsia="仿宋_GB2312"/>
          <w:color w:val="000000" w:themeColor="text1"/>
          <w:sz w:val="32"/>
          <w:szCs w:val="32"/>
        </w:rPr>
        <w:t>。主要用于</w:t>
      </w:r>
      <w:r>
        <w:rPr>
          <w:rFonts w:hint="eastAsia" w:ascii="仿宋_GB2312" w:eastAsia="仿宋_GB2312"/>
          <w:sz w:val="32"/>
          <w:szCs w:val="32"/>
        </w:rPr>
        <w:t>车辆保险费、维修费、燃油费</w:t>
      </w:r>
      <w:r>
        <w:rPr>
          <w:rFonts w:hint="eastAsia" w:ascii="仿宋_GB2312" w:eastAsia="仿宋_GB2312"/>
          <w:color w:val="000000" w:themeColor="text1"/>
          <w:sz w:val="32"/>
          <w:szCs w:val="32"/>
        </w:rPr>
        <w:t>等。</w:t>
      </w:r>
      <w:bookmarkEnd w:id="69"/>
      <w:bookmarkStart w:id="73"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1</w:t>
      </w:r>
      <w:r>
        <w:rPr>
          <w:rFonts w:hint="eastAsia" w:ascii="仿宋_GB2312" w:eastAsia="仿宋_GB2312"/>
          <w:color w:val="000000" w:themeColor="text1"/>
          <w:sz w:val="32"/>
          <w:szCs w:val="32"/>
        </w:rPr>
        <w:t>辆。</w:t>
      </w:r>
      <w:bookmarkEnd w:id="73"/>
    </w:p>
    <w:p>
      <w:pPr>
        <w:spacing w:line="540" w:lineRule="exact"/>
        <w:ind w:firstLine="640" w:firstLineChars="200"/>
        <w:rPr>
          <w:rFonts w:ascii="仿宋_GB2312" w:eastAsia="仿宋_GB2312"/>
          <w:color w:val="000000" w:themeColor="text1"/>
          <w:sz w:val="32"/>
          <w:szCs w:val="32"/>
        </w:rPr>
      </w:pPr>
      <w:bookmarkStart w:id="74"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本单位无公务接待费支出</w:t>
      </w:r>
      <w:r>
        <w:rPr>
          <w:rFonts w:hint="eastAsia" w:ascii="仿宋_GB2312" w:eastAsia="仿宋_GB2312"/>
          <w:color w:val="000000" w:themeColor="text1"/>
          <w:sz w:val="32"/>
          <w:szCs w:val="32"/>
        </w:rPr>
        <w:t>等。</w:t>
      </w:r>
      <w:bookmarkEnd w:id="74"/>
      <w:bookmarkStart w:id="75" w:name="OLE_LINK84"/>
      <w:r>
        <w:rPr>
          <w:rFonts w:hint="eastAsia" w:ascii="仿宋_GB2312" w:eastAsia="仿宋_GB2312"/>
          <w:sz w:val="32"/>
          <w:szCs w:val="32"/>
        </w:rPr>
        <w:t>新疆喀什地区塔什库尔干县财政国库集中支付中心</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5"/>
    </w:p>
    <w:p>
      <w:pPr>
        <w:spacing w:line="540" w:lineRule="exact"/>
        <w:ind w:firstLine="640" w:firstLineChars="200"/>
        <w:rPr>
          <w:rFonts w:ascii="仿宋_GB2312" w:hAnsi="宋体" w:eastAsia="仿宋_GB2312" w:cs="宋体"/>
          <w:color w:val="000000" w:themeColor="text1"/>
          <w:kern w:val="0"/>
          <w:sz w:val="32"/>
          <w:szCs w:val="32"/>
        </w:rPr>
      </w:pPr>
      <w:bookmarkStart w:id="76"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2</w:t>
      </w:r>
      <w:r>
        <w:rPr>
          <w:rFonts w:hint="eastAsia" w:ascii="仿宋_GB2312" w:eastAsia="仿宋_GB2312"/>
          <w:color w:val="000000" w:themeColor="text1"/>
          <w:sz w:val="32"/>
          <w:szCs w:val="32"/>
        </w:rPr>
        <w:t>万元，决算数2万元</w:t>
      </w:r>
      <w:r>
        <w:rPr>
          <w:rFonts w:ascii="仿宋_GB2312" w:eastAsia="仿宋_GB2312"/>
          <w:color w:val="000000" w:themeColor="text1"/>
          <w:sz w:val="32"/>
          <w:szCs w:val="32"/>
        </w:rPr>
        <w:t>，预决算差异率0%，差异主要原因是无变化。</w:t>
      </w:r>
      <w:bookmarkEnd w:id="76"/>
      <w:bookmarkStart w:id="77" w:name="OLE_LINK86"/>
      <w:bookmarkStart w:id="78" w:name="OLE_LINK87"/>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，预决算差异率0%，差异主要原因是无变化；</w:t>
      </w:r>
      <w:bookmarkEnd w:id="77"/>
      <w:bookmarkEnd w:id="78"/>
      <w:bookmarkStart w:id="79" w:name="OLE_LINK89"/>
      <w:bookmarkStart w:id="80" w:name="OLE_LINK88"/>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，预决算差异率0%，差异主要原因是无变化；</w:t>
      </w:r>
      <w:bookmarkEnd w:id="79"/>
      <w:bookmarkEnd w:id="80"/>
      <w:bookmarkStart w:id="81"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2</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，预决算差异率0%，差异主要原因是无变化；</w:t>
      </w:r>
      <w:bookmarkEnd w:id="81"/>
      <w:bookmarkStart w:id="82"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2"/>
      <w:r>
        <w:rPr>
          <w:rFonts w:ascii="仿宋_GB2312" w:eastAsia="仿宋_GB2312"/>
          <w:color w:val="000000" w:themeColor="text1"/>
          <w:sz w:val="32"/>
          <w:szCs w:val="32"/>
        </w:rPr>
        <w:t>无变化。</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新疆喀什地区塔什库尔干县财政国库集中支付中心日常公用经费14.61万元，与上年相比，减少0.32万元，下降2.14%，减少的主要原因是：本年差旅费较上年减少；水电费较上年减少。</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3" w:name="OLE_LINK45"/>
      <w:r>
        <w:rPr>
          <w:rFonts w:hint="eastAsia" w:ascii="仿宋_GB2312" w:eastAsia="仿宋_GB2312"/>
          <w:color w:val="000000" w:themeColor="text1"/>
          <w:sz w:val="32"/>
          <w:szCs w:val="32"/>
        </w:rPr>
        <w:t>政府采购支出总额</w:t>
      </w:r>
      <w:bookmarkEnd w:id="83"/>
      <w:r>
        <w:rPr>
          <w:rFonts w:hint="eastAsia" w:ascii="仿宋_GB2312" w:eastAsia="仿宋_GB2312"/>
          <w:sz w:val="32"/>
          <w:szCs w:val="32"/>
        </w:rPr>
        <w:t>0.39</w:t>
      </w:r>
      <w:r>
        <w:rPr>
          <w:rFonts w:hint="eastAsia" w:ascii="仿宋_GB2312" w:eastAsia="仿宋_GB2312"/>
          <w:color w:val="000000" w:themeColor="text1"/>
          <w:sz w:val="32"/>
          <w:szCs w:val="32"/>
        </w:rPr>
        <w:t>万元，其中：</w:t>
      </w:r>
      <w:bookmarkStart w:id="84" w:name="OLE_LINK46"/>
      <w:r>
        <w:rPr>
          <w:rFonts w:hint="eastAsia" w:ascii="仿宋_GB2312" w:eastAsia="仿宋_GB2312"/>
          <w:color w:val="000000" w:themeColor="text1"/>
          <w:sz w:val="32"/>
          <w:szCs w:val="32"/>
        </w:rPr>
        <w:t>政府采购货物支出</w:t>
      </w:r>
      <w:bookmarkEnd w:id="84"/>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5" w:name="OLE_LINK47"/>
      <w:r>
        <w:rPr>
          <w:rFonts w:hint="eastAsia" w:ascii="仿宋_GB2312" w:eastAsia="仿宋_GB2312"/>
          <w:color w:val="000000" w:themeColor="text1"/>
          <w:sz w:val="32"/>
          <w:szCs w:val="32"/>
        </w:rPr>
        <w:t>政府采购工程支出</w:t>
      </w:r>
      <w:bookmarkEnd w:id="85"/>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6" w:name="OLE_LINK48"/>
      <w:r>
        <w:rPr>
          <w:rFonts w:hint="eastAsia" w:ascii="仿宋_GB2312" w:eastAsia="仿宋_GB2312"/>
          <w:color w:val="000000" w:themeColor="text1"/>
          <w:sz w:val="32"/>
          <w:szCs w:val="32"/>
        </w:rPr>
        <w:t>政府采购服务支出</w:t>
      </w:r>
      <w:bookmarkEnd w:id="86"/>
      <w:r>
        <w:rPr>
          <w:rFonts w:hint="eastAsia" w:ascii="仿宋_GB2312" w:eastAsia="仿宋_GB2312"/>
          <w:sz w:val="32"/>
          <w:szCs w:val="32"/>
        </w:rPr>
        <w:t>0.39</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87"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1</w:t>
      </w:r>
      <w:r>
        <w:rPr>
          <w:rFonts w:hint="eastAsia" w:ascii="仿宋_GB2312" w:eastAsia="仿宋_GB2312"/>
          <w:color w:val="000000" w:themeColor="text1"/>
          <w:sz w:val="32"/>
          <w:szCs w:val="32"/>
        </w:rPr>
        <w:t>辆，价值</w:t>
      </w:r>
      <w:r>
        <w:rPr>
          <w:rFonts w:hint="eastAsia" w:ascii="仿宋_GB2312" w:eastAsia="仿宋_GB2312"/>
          <w:sz w:val="32"/>
          <w:szCs w:val="32"/>
        </w:rPr>
        <w:t>17.63</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1</w:t>
      </w:r>
      <w:r>
        <w:rPr>
          <w:rFonts w:hint="eastAsia" w:ascii="仿宋_GB2312" w:eastAsia="仿宋_GB2312"/>
          <w:color w:val="000000" w:themeColor="text1"/>
          <w:sz w:val="32"/>
          <w:szCs w:val="32"/>
        </w:rPr>
        <w:t>辆，其他用车主要是：</w:t>
      </w:r>
      <w:r>
        <w:rPr>
          <w:rFonts w:hint="eastAsia" w:ascii="仿宋_GB2312" w:eastAsia="仿宋_GB2312"/>
          <w:color w:val="000000" w:themeColor="text1"/>
          <w:sz w:val="32"/>
          <w:szCs w:val="32"/>
          <w:lang w:eastAsia="zh-CN"/>
        </w:rPr>
        <w:t>北京现代轿车新</w:t>
      </w:r>
      <w:r>
        <w:rPr>
          <w:rFonts w:hint="eastAsia" w:ascii="仿宋_GB2312" w:eastAsia="仿宋_GB2312"/>
          <w:color w:val="000000" w:themeColor="text1"/>
          <w:sz w:val="32"/>
          <w:szCs w:val="32"/>
          <w:lang w:val="en-US" w:eastAsia="zh-CN"/>
        </w:rPr>
        <w:t>QA5366一辆，主要用于</w:t>
      </w:r>
      <w:r>
        <w:rPr>
          <w:rFonts w:hint="eastAsia" w:ascii="仿宋_GB2312" w:eastAsia="仿宋_GB2312"/>
          <w:color w:val="000000" w:themeColor="text1"/>
          <w:sz w:val="32"/>
          <w:szCs w:val="32"/>
          <w:lang w:eastAsia="zh-CN"/>
        </w:rPr>
        <w:t>单位日常</w:t>
      </w:r>
      <w:r>
        <w:rPr>
          <w:rFonts w:ascii="仿宋_GB2312" w:eastAsia="仿宋_GB2312"/>
          <w:color w:val="000000" w:themeColor="text1"/>
          <w:sz w:val="32"/>
          <w:szCs w:val="32"/>
        </w:rPr>
        <w:t>公务</w:t>
      </w:r>
      <w:r>
        <w:rPr>
          <w:rFonts w:hint="eastAsia" w:ascii="仿宋_GB2312" w:eastAsia="仿宋_GB2312"/>
          <w:color w:val="000000" w:themeColor="text1"/>
          <w:sz w:val="32"/>
          <w:szCs w:val="32"/>
          <w:lang w:eastAsia="zh-CN"/>
        </w:rPr>
        <w:t>外出</w:t>
      </w:r>
      <w:r>
        <w:rPr>
          <w:rFonts w:ascii="仿宋_GB2312" w:eastAsia="仿宋_GB2312"/>
          <w:color w:val="000000" w:themeColor="text1"/>
          <w:sz w:val="32"/>
          <w:szCs w:val="32"/>
        </w:rPr>
        <w:t>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87"/>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2018年度，本部门单位预算绩效自评情况：</w:t>
      </w:r>
      <w:r>
        <w:rPr>
          <w:rFonts w:ascii="仿宋_GB2312" w:eastAsia="仿宋_GB2312"/>
          <w:color w:val="000000" w:themeColor="text1"/>
          <w:sz w:val="32"/>
          <w:szCs w:val="32"/>
        </w:rPr>
        <w:t>201</w:t>
      </w:r>
      <w:r>
        <w:rPr>
          <w:rFonts w:hint="eastAsia" w:ascii="仿宋_GB2312" w:eastAsia="仿宋_GB2312"/>
          <w:color w:val="000000" w:themeColor="text1"/>
          <w:sz w:val="32"/>
          <w:szCs w:val="32"/>
          <w:lang w:val="en-US" w:eastAsia="zh-CN"/>
        </w:rPr>
        <w:t>8</w:t>
      </w:r>
      <w:r>
        <w:rPr>
          <w:rFonts w:hint="eastAsia" w:ascii="仿宋_GB2312" w:eastAsia="仿宋_GB2312"/>
          <w:color w:val="000000" w:themeColor="text1"/>
          <w:sz w:val="32"/>
          <w:szCs w:val="32"/>
        </w:rPr>
        <w:t>年度，本部门单位实行绩效管理的项目</w:t>
      </w:r>
      <w:r>
        <w:rPr>
          <w:rFonts w:ascii="仿宋_GB2312" w:eastAsia="仿宋_GB2312"/>
          <w:color w:val="000000" w:themeColor="text1"/>
          <w:sz w:val="32"/>
          <w:szCs w:val="32"/>
        </w:rPr>
        <w:t>0</w:t>
      </w:r>
      <w:r>
        <w:rPr>
          <w:rFonts w:hint="eastAsia" w:ascii="仿宋_GB2312" w:eastAsia="仿宋_GB2312"/>
          <w:color w:val="000000" w:themeColor="text1"/>
          <w:sz w:val="32"/>
          <w:szCs w:val="32"/>
        </w:rPr>
        <w:t>个，涉及预算</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万元，项目支出决算</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万元。年末本部门单位民生项目和重点支出项目的绩效评价开展情况及结果：无</w:t>
      </w:r>
      <w:r>
        <w:rPr>
          <w:rFonts w:hint="eastAsia" w:ascii="仿宋_GB2312" w:eastAsia="仿宋_GB2312"/>
          <w:color w:val="000000" w:themeColor="text1"/>
          <w:sz w:val="32"/>
          <w:szCs w:val="32"/>
          <w:lang w:eastAsia="zh-CN"/>
        </w:rPr>
        <w:t>预算绩效情况</w:t>
      </w:r>
      <w:r>
        <w:rPr>
          <w:rFonts w:hint="eastAsia" w:ascii="仿宋_GB2312" w:eastAsia="仿宋_GB2312"/>
          <w:color w:val="000000" w:themeColor="text1"/>
          <w:sz w:val="32"/>
          <w:szCs w:val="32"/>
        </w:rPr>
        <w:t>。</w:t>
      </w:r>
    </w:p>
    <w:p>
      <w:pPr>
        <w:spacing w:line="540" w:lineRule="exact"/>
        <w:jc w:val="center"/>
        <w:rPr>
          <w:rFonts w:ascii="黑体" w:hAnsi="黑体" w:eastAsia="黑体"/>
          <w:sz w:val="32"/>
          <w:szCs w:val="32"/>
        </w:rPr>
      </w:pPr>
      <w:r>
        <w:rPr>
          <w:rFonts w:hint="eastAsia" w:ascii="黑体" w:hAnsi="黑体" w:eastAsia="黑体"/>
          <w:sz w:val="32"/>
          <w:szCs w:val="32"/>
        </w:rPr>
        <w:t>第三部分专业名词解释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201（类）06（款）01（项）指：行政运行。221（类）02（款）01（项）指：住房公积金。208（类）05（款）05（项）指：机关事业单位基本养老保险缴费支出。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9631" w:y="37"/>
      <w:jc w:val="right"/>
      <w:rPr>
        <w:rStyle w:val="8"/>
        <w:rFonts w:hint="eastAsia" w:ascii="宋体" w:hAnsi="宋体" w:eastAsia="宋体"/>
        <w:sz w:val="28"/>
        <w:lang w:eastAsia="zh-CN"/>
      </w:rPr>
    </w:pPr>
    <w:r>
      <w:rPr>
        <w:rStyle w:val="8"/>
        <w:rFonts w:ascii="宋体" w:hAnsi="宋体" w:eastAsia="宋体"/>
        <w:sz w:val="28"/>
      </w:rPr>
      <w:fldChar w:fldCharType="begin"/>
    </w:r>
    <w:r>
      <w:rPr>
        <w:rStyle w:val="8"/>
        <w:rFonts w:ascii="宋体" w:hAnsi="宋体" w:eastAsia="宋体"/>
        <w:sz w:val="28"/>
      </w:rPr>
      <w:instrText xml:space="preserve"> PAGE </w:instrText>
    </w:r>
    <w:r>
      <w:rPr>
        <w:rStyle w:val="8"/>
        <w:rFonts w:ascii="宋体" w:hAnsi="宋体" w:eastAsia="宋体"/>
        <w:sz w:val="28"/>
      </w:rPr>
      <w:fldChar w:fldCharType="separate"/>
    </w:r>
    <w:r>
      <w:rPr>
        <w:rStyle w:val="8"/>
        <w:rFonts w:ascii="宋体" w:hAnsi="宋体" w:eastAsia="宋体"/>
        <w:sz w:val="28"/>
      </w:rPr>
      <w:t>- 1 -</w:t>
    </w:r>
    <w:r>
      <w:rPr>
        <w:rStyle w:val="8"/>
        <w:rFonts w:ascii="宋体" w:hAnsi="宋体" w:eastAsia="宋体"/>
        <w:sz w:val="28"/>
      </w:rPr>
      <w:fldChar w:fldCharType="end"/>
    </w:r>
  </w:p>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1756" w:y="37"/>
      <w:rPr>
        <w:rStyle w:val="8"/>
        <w:rFonts w:ascii="宋体" w:hAnsi="宋体" w:eastAsia="宋体"/>
        <w:sz w:val="28"/>
        <w:szCs w:val="28"/>
      </w:rPr>
    </w:pPr>
    <w:r>
      <w:rPr>
        <w:rStyle w:val="8"/>
        <w:rFonts w:ascii="宋体" w:hAnsi="宋体" w:eastAsia="宋体"/>
        <w:sz w:val="28"/>
        <w:szCs w:val="28"/>
      </w:rPr>
      <w:fldChar w:fldCharType="begin"/>
    </w:r>
    <w:r>
      <w:rPr>
        <w:rStyle w:val="8"/>
        <w:rFonts w:ascii="宋体" w:hAnsi="宋体" w:eastAsia="宋体"/>
        <w:sz w:val="28"/>
        <w:szCs w:val="28"/>
      </w:rPr>
      <w:instrText xml:space="preserve">PAGE  </w:instrText>
    </w:r>
    <w:r>
      <w:rPr>
        <w:rStyle w:val="8"/>
        <w:rFonts w:ascii="宋体" w:hAnsi="宋体" w:eastAsia="宋体"/>
        <w:sz w:val="28"/>
        <w:szCs w:val="28"/>
      </w:rPr>
      <w:fldChar w:fldCharType="separate"/>
    </w:r>
    <w:r>
      <w:rPr>
        <w:rStyle w:val="8"/>
        <w:rFonts w:ascii="宋体" w:hAnsi="宋体" w:eastAsia="宋体"/>
        <w:sz w:val="28"/>
        <w:szCs w:val="28"/>
      </w:rPr>
      <w:t>-12-</w:t>
    </w:r>
    <w:r>
      <w:rPr>
        <w:rStyle w:val="8"/>
        <w:rFonts w:ascii="宋体" w:hAnsi="宋体" w:eastAsia="宋体"/>
        <w:sz w:val="28"/>
        <w:szCs w:val="28"/>
      </w:rPr>
      <w:fldChar w:fldCharType="end"/>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2A42F06"/>
    <w:rsid w:val="03AA79F6"/>
    <w:rsid w:val="04741FE5"/>
    <w:rsid w:val="04DB02C7"/>
    <w:rsid w:val="06445B85"/>
    <w:rsid w:val="06B856EE"/>
    <w:rsid w:val="07FE5938"/>
    <w:rsid w:val="084604BC"/>
    <w:rsid w:val="08883825"/>
    <w:rsid w:val="09725983"/>
    <w:rsid w:val="0A382BB5"/>
    <w:rsid w:val="0AA4543A"/>
    <w:rsid w:val="0B2D2A2B"/>
    <w:rsid w:val="0BE61132"/>
    <w:rsid w:val="0C9B0DD6"/>
    <w:rsid w:val="0CE4791C"/>
    <w:rsid w:val="0E063C64"/>
    <w:rsid w:val="0F4C7B96"/>
    <w:rsid w:val="0F612B57"/>
    <w:rsid w:val="0FFB575E"/>
    <w:rsid w:val="10845F1B"/>
    <w:rsid w:val="11463A00"/>
    <w:rsid w:val="11600918"/>
    <w:rsid w:val="11B0398F"/>
    <w:rsid w:val="13B960C5"/>
    <w:rsid w:val="13F84F6D"/>
    <w:rsid w:val="152777F4"/>
    <w:rsid w:val="15C674B6"/>
    <w:rsid w:val="1644519F"/>
    <w:rsid w:val="180106F8"/>
    <w:rsid w:val="18D54A0D"/>
    <w:rsid w:val="1A3F38E1"/>
    <w:rsid w:val="1A4106A0"/>
    <w:rsid w:val="1A4F5437"/>
    <w:rsid w:val="1AB77CD0"/>
    <w:rsid w:val="1E807156"/>
    <w:rsid w:val="1EA657F6"/>
    <w:rsid w:val="1F097CB6"/>
    <w:rsid w:val="2166156B"/>
    <w:rsid w:val="21B02D83"/>
    <w:rsid w:val="22A236F5"/>
    <w:rsid w:val="23995975"/>
    <w:rsid w:val="23DA2B40"/>
    <w:rsid w:val="2432220E"/>
    <w:rsid w:val="248303BA"/>
    <w:rsid w:val="24837E47"/>
    <w:rsid w:val="252E01AA"/>
    <w:rsid w:val="2680023E"/>
    <w:rsid w:val="29680352"/>
    <w:rsid w:val="2A020F75"/>
    <w:rsid w:val="2A836C88"/>
    <w:rsid w:val="2B007AEE"/>
    <w:rsid w:val="2BC14C56"/>
    <w:rsid w:val="2C1B026F"/>
    <w:rsid w:val="2CC61F55"/>
    <w:rsid w:val="2DC77E65"/>
    <w:rsid w:val="2E55293D"/>
    <w:rsid w:val="2EF7452F"/>
    <w:rsid w:val="2F1D13B4"/>
    <w:rsid w:val="2FAA3DA6"/>
    <w:rsid w:val="2FBD121F"/>
    <w:rsid w:val="30682E1F"/>
    <w:rsid w:val="30E210D2"/>
    <w:rsid w:val="310B57CB"/>
    <w:rsid w:val="311371D6"/>
    <w:rsid w:val="31EB64C9"/>
    <w:rsid w:val="327C7561"/>
    <w:rsid w:val="336D0D6F"/>
    <w:rsid w:val="352E4BEC"/>
    <w:rsid w:val="37DD5594"/>
    <w:rsid w:val="38F24FA8"/>
    <w:rsid w:val="390D4016"/>
    <w:rsid w:val="3A98342A"/>
    <w:rsid w:val="3AB6780E"/>
    <w:rsid w:val="3AD56D70"/>
    <w:rsid w:val="3B2920C2"/>
    <w:rsid w:val="3BE41ABD"/>
    <w:rsid w:val="3C5421A9"/>
    <w:rsid w:val="3D903B21"/>
    <w:rsid w:val="3F440741"/>
    <w:rsid w:val="41FC306C"/>
    <w:rsid w:val="44BE5554"/>
    <w:rsid w:val="451E0908"/>
    <w:rsid w:val="452C2D31"/>
    <w:rsid w:val="45D26E14"/>
    <w:rsid w:val="46A541B1"/>
    <w:rsid w:val="48C57772"/>
    <w:rsid w:val="49782886"/>
    <w:rsid w:val="4A6F0D28"/>
    <w:rsid w:val="4AAF085C"/>
    <w:rsid w:val="4AEB7E60"/>
    <w:rsid w:val="4B4B135B"/>
    <w:rsid w:val="4BC7055F"/>
    <w:rsid w:val="4C426750"/>
    <w:rsid w:val="4CFB7F92"/>
    <w:rsid w:val="4CFC7DB2"/>
    <w:rsid w:val="4E322C3A"/>
    <w:rsid w:val="4E7C187D"/>
    <w:rsid w:val="508941AD"/>
    <w:rsid w:val="50E65530"/>
    <w:rsid w:val="51457139"/>
    <w:rsid w:val="51574DBD"/>
    <w:rsid w:val="51EC1DA8"/>
    <w:rsid w:val="51F75375"/>
    <w:rsid w:val="52FC5524"/>
    <w:rsid w:val="532D7A17"/>
    <w:rsid w:val="534F7943"/>
    <w:rsid w:val="54AF4562"/>
    <w:rsid w:val="54C9674B"/>
    <w:rsid w:val="556318EA"/>
    <w:rsid w:val="55A60AA1"/>
    <w:rsid w:val="56451615"/>
    <w:rsid w:val="57B30D22"/>
    <w:rsid w:val="57FC5774"/>
    <w:rsid w:val="59723CBA"/>
    <w:rsid w:val="59B332C9"/>
    <w:rsid w:val="5A44758A"/>
    <w:rsid w:val="5BEC4BB3"/>
    <w:rsid w:val="5C070B55"/>
    <w:rsid w:val="5CB96DCE"/>
    <w:rsid w:val="5CE61580"/>
    <w:rsid w:val="5D175666"/>
    <w:rsid w:val="5D556A3C"/>
    <w:rsid w:val="5D7B25C9"/>
    <w:rsid w:val="5E2F631C"/>
    <w:rsid w:val="5ECB44B4"/>
    <w:rsid w:val="5EE2043C"/>
    <w:rsid w:val="5FB72FA9"/>
    <w:rsid w:val="602D2E37"/>
    <w:rsid w:val="61460FBE"/>
    <w:rsid w:val="62775810"/>
    <w:rsid w:val="62D83744"/>
    <w:rsid w:val="630F4048"/>
    <w:rsid w:val="63AA02E5"/>
    <w:rsid w:val="64700DE9"/>
    <w:rsid w:val="65C613BD"/>
    <w:rsid w:val="65FD118C"/>
    <w:rsid w:val="66723290"/>
    <w:rsid w:val="682C3D89"/>
    <w:rsid w:val="68611305"/>
    <w:rsid w:val="6A162DE0"/>
    <w:rsid w:val="6A331428"/>
    <w:rsid w:val="6B2E5CB6"/>
    <w:rsid w:val="6B3D4886"/>
    <w:rsid w:val="6DF8675E"/>
    <w:rsid w:val="6EA80098"/>
    <w:rsid w:val="6F8D70FF"/>
    <w:rsid w:val="6FFE5011"/>
    <w:rsid w:val="7178734D"/>
    <w:rsid w:val="71791096"/>
    <w:rsid w:val="717B0C34"/>
    <w:rsid w:val="71CB0EE7"/>
    <w:rsid w:val="71FB78FD"/>
    <w:rsid w:val="7229316D"/>
    <w:rsid w:val="7275064A"/>
    <w:rsid w:val="733F750B"/>
    <w:rsid w:val="735702E2"/>
    <w:rsid w:val="74785861"/>
    <w:rsid w:val="75C82C58"/>
    <w:rsid w:val="765F635A"/>
    <w:rsid w:val="76B73454"/>
    <w:rsid w:val="76D254BD"/>
    <w:rsid w:val="77727ACD"/>
    <w:rsid w:val="78071142"/>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3"/>
    <w:unhideWhenUsed/>
    <w:qFormat/>
    <w:uiPriority w:val="99"/>
    <w:rPr>
      <w:b/>
      <w:bCs/>
    </w:rPr>
  </w:style>
  <w:style w:type="paragraph" w:styleId="3">
    <w:name w:val="annotation text"/>
    <w:basedOn w:val="1"/>
    <w:link w:val="12"/>
    <w:unhideWhenUsed/>
    <w:qFormat/>
    <w:uiPriority w:val="99"/>
    <w:pPr>
      <w:jc w:val="left"/>
    </w:pPr>
  </w:style>
  <w:style w:type="paragraph" w:styleId="4">
    <w:name w:val="Balloon Text"/>
    <w:basedOn w:val="1"/>
    <w:link w:val="14"/>
    <w:unhideWhenUsed/>
    <w:qFormat/>
    <w:uiPriority w:val="99"/>
    <w:rPr>
      <w:sz w:val="18"/>
      <w:szCs w:val="18"/>
    </w:rPr>
  </w:style>
  <w:style w:type="paragraph" w:styleId="5">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styleId="9">
    <w:name w:val="annotation reference"/>
    <w:basedOn w:val="7"/>
    <w:unhideWhenUsed/>
    <w:qFormat/>
    <w:uiPriority w:val="99"/>
    <w:rPr>
      <w:sz w:val="21"/>
      <w:szCs w:val="21"/>
    </w:rPr>
  </w:style>
  <w:style w:type="character" w:customStyle="1" w:styleId="11">
    <w:name w:val="页脚 字符"/>
    <w:basedOn w:val="7"/>
    <w:link w:val="5"/>
    <w:qFormat/>
    <w:uiPriority w:val="0"/>
    <w:rPr>
      <w:rFonts w:ascii="Times New Roman" w:hAnsi="Times New Roman" w:eastAsia="黑体" w:cs="Times New Roman"/>
      <w:snapToGrid w:val="0"/>
      <w:kern w:val="0"/>
      <w:sz w:val="18"/>
      <w:szCs w:val="18"/>
    </w:rPr>
  </w:style>
  <w:style w:type="character" w:customStyle="1" w:styleId="12">
    <w:name w:val="批注文字 字符"/>
    <w:basedOn w:val="7"/>
    <w:link w:val="3"/>
    <w:semiHidden/>
    <w:qFormat/>
    <w:uiPriority w:val="99"/>
    <w:rPr>
      <w:rFonts w:ascii="Times New Roman" w:hAnsi="Times New Roman" w:eastAsia="宋体" w:cs="Times New Roman"/>
      <w:szCs w:val="24"/>
    </w:rPr>
  </w:style>
  <w:style w:type="character" w:customStyle="1" w:styleId="13">
    <w:name w:val="批注主题 字符"/>
    <w:basedOn w:val="12"/>
    <w:link w:val="2"/>
    <w:semiHidden/>
    <w:qFormat/>
    <w:uiPriority w:val="99"/>
    <w:rPr>
      <w:rFonts w:ascii="Times New Roman" w:hAnsi="Times New Roman" w:eastAsia="宋体" w:cs="Times New Roman"/>
      <w:b/>
      <w:bCs/>
      <w:szCs w:val="24"/>
    </w:rPr>
  </w:style>
  <w:style w:type="character" w:customStyle="1" w:styleId="14">
    <w:name w:val="批注框文本 字符"/>
    <w:basedOn w:val="7"/>
    <w:link w:val="4"/>
    <w:semiHidden/>
    <w:qFormat/>
    <w:uiPriority w:val="99"/>
    <w:rPr>
      <w:rFonts w:ascii="Times New Roman" w:hAnsi="Times New Roman" w:eastAsia="宋体" w:cs="Times New Roman"/>
      <w:sz w:val="18"/>
      <w:szCs w:val="18"/>
    </w:rPr>
  </w:style>
  <w:style w:type="character" w:customStyle="1" w:styleId="15">
    <w:name w:val="页眉 字符"/>
    <w:basedOn w:val="7"/>
    <w:link w:val="6"/>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1150</Words>
  <Characters>6560</Characters>
  <Lines>54</Lines>
  <Paragraphs>15</Paragraphs>
  <TotalTime>0</TotalTime>
  <ScaleCrop>false</ScaleCrop>
  <LinksUpToDate>false</LinksUpToDate>
  <CharactersWithSpaces>7695</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Lenovo</cp:lastModifiedBy>
  <dcterms:modified xsi:type="dcterms:W3CDTF">2020-04-05T05:09:56Z</dcterms:modified>
  <cp:revision>810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