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eastAsia="zh-CN"/>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2018年度新疆喀什地区塔什库尔干县乡镇财政管理局部门决算公开说明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1、宣传、落实好党的路线、方针、政策和国家的法律、法规，农村基本经济制度，坚持依法理财，推进财务公开。</w:t>
      </w:r>
      <w:r>
        <w:rPr>
          <w:rFonts w:hint="eastAsia" w:ascii="仿宋_GB2312" w:eastAsia="仿宋_GB2312"/>
          <w:sz w:val="32"/>
          <w:szCs w:val="32"/>
        </w:rPr>
        <w:br w:type="textWrapping"/>
      </w:r>
      <w:r>
        <w:rPr>
          <w:rFonts w:hint="eastAsia" w:ascii="仿宋_GB2312" w:eastAsia="仿宋_GB2312"/>
          <w:sz w:val="32"/>
          <w:szCs w:val="32"/>
        </w:rPr>
        <w:t>2、科学制订发展规划，营造乡村经济发展环境，加强农村市场监督，培育、提升市场功能，搞活市场流通，推广农业技术，完善农业社会化服务体系，引导农民发展现代农业，调整产业结构，加强农村劳动力技能培训，引导农村劳动力转移和就业，不断提高社会主义新农村建设水平。</w:t>
      </w:r>
      <w:r>
        <w:rPr>
          <w:rFonts w:hint="eastAsia" w:ascii="仿宋_GB2312" w:eastAsia="仿宋_GB2312"/>
          <w:sz w:val="32"/>
          <w:szCs w:val="32"/>
        </w:rPr>
        <w:br w:type="textWrapping"/>
      </w:r>
      <w:r>
        <w:rPr>
          <w:rFonts w:hint="eastAsia" w:ascii="仿宋_GB2312" w:eastAsia="仿宋_GB2312"/>
          <w:sz w:val="32"/>
          <w:szCs w:val="32"/>
        </w:rPr>
        <w:t>3、要坚持“立党为公，执政为民”，紧紧围绕实现和维护群众利益开展工作，突出解决人民群众最关心、最直接、最现实的利益问题。</w:t>
      </w:r>
      <w:r>
        <w:rPr>
          <w:rFonts w:hint="eastAsia" w:ascii="仿宋_GB2312" w:eastAsia="仿宋_GB2312"/>
          <w:sz w:val="32"/>
          <w:szCs w:val="32"/>
        </w:rPr>
        <w:br w:type="textWrapping"/>
      </w:r>
      <w:r>
        <w:rPr>
          <w:rFonts w:hint="eastAsia" w:ascii="仿宋_GB2312" w:eastAsia="仿宋_GB2312"/>
          <w:sz w:val="32"/>
          <w:szCs w:val="32"/>
        </w:rPr>
        <w:t>4、加强民政、教育、科技、文化、卫生、计划生育、安全生产、劳动保障和乡村规划等社会管理，加强社会主义精神文明建设，做好防灾减灾工作，加强环境保护，努力改善农村人居环境，不断提高农村人口素质和农民生活质量。</w:t>
      </w:r>
      <w:r>
        <w:rPr>
          <w:rFonts w:hint="eastAsia" w:ascii="仿宋_GB2312" w:eastAsia="仿宋_GB2312"/>
          <w:sz w:val="32"/>
          <w:szCs w:val="32"/>
        </w:rPr>
        <w:br w:type="textWrapping"/>
      </w:r>
      <w:r>
        <w:rPr>
          <w:rFonts w:hint="eastAsia" w:ascii="仿宋_GB2312" w:eastAsia="仿宋_GB2312"/>
          <w:sz w:val="32"/>
          <w:szCs w:val="32"/>
        </w:rPr>
        <w:t>5、进一步发展和完善农业社会化服务体系，引导各类协会和农村专业合作经济组织发展并充分发挥其作用，发展农村社会公益事业和集体公益事业，加强农村基础设施建设，增加公共产品，提供政策、科技、市场信息和社会救济、救助服务，及时向上级党委、政府反映社情民意，进一步密切党和政府与人民群众的关系。</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新疆喀什地区塔什库尔干县乡镇财政管理局</w:t>
      </w:r>
      <w:r>
        <w:rPr>
          <w:rFonts w:hint="eastAsia" w:ascii="仿宋_GB2312" w:eastAsia="仿宋_GB2312"/>
          <w:sz w:val="32"/>
          <w:szCs w:val="32"/>
        </w:rPr>
        <w:t>部门决算包括：</w:t>
      </w:r>
      <w:r>
        <w:rPr>
          <w:rFonts w:ascii="仿宋_GB2312" w:eastAsia="仿宋_GB2312"/>
          <w:sz w:val="32"/>
          <w:szCs w:val="32"/>
        </w:rPr>
        <w:t>新疆喀什地区塔什库尔干县乡镇财政管理局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新疆喀什地区塔什库尔干县乡镇财政管理局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新疆喀什地区塔什库尔干县乡镇财政管理局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411.19</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，与上年相比，增加65.71万元，增长19.02%，增加的主要原因是：</w:t>
      </w:r>
      <w:r>
        <w:rPr>
          <w:rFonts w:hint="eastAsia" w:ascii="仿宋_GB2312" w:eastAsia="仿宋_GB2312"/>
          <w:color w:val="000000" w:themeColor="text1"/>
          <w:sz w:val="32"/>
          <w:szCs w:val="32"/>
        </w:rPr>
        <w:t>政策性工资</w:t>
      </w:r>
      <w:r>
        <w:rPr>
          <w:rFonts w:hint="eastAsia" w:ascii="仿宋_GB2312" w:eastAsia="仿宋_GB2312"/>
          <w:color w:val="000000" w:themeColor="text1"/>
          <w:sz w:val="32"/>
          <w:szCs w:val="32"/>
          <w:lang w:val="en-US" w:eastAsia="zh-CN"/>
        </w:rPr>
        <w:t>调资，</w:t>
      </w:r>
      <w:r>
        <w:rPr>
          <w:rFonts w:hint="eastAsia" w:ascii="仿宋_GB2312" w:eastAsia="仿宋_GB2312"/>
          <w:color w:val="000000" w:themeColor="text1"/>
          <w:sz w:val="32"/>
          <w:szCs w:val="32"/>
        </w:rPr>
        <w:t>增加艰苦边远津贴,高海拔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工龄工资补贴调资及补发,基本工资调资等导致本年决算数较上年数增加；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411.19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，与上年相比，增加65.71万元，增长19.02%，增加的主要原因是：</w:t>
      </w:r>
      <w:r>
        <w:rPr>
          <w:rFonts w:hint="eastAsia" w:ascii="仿宋_GB2312" w:eastAsia="仿宋_GB2312"/>
          <w:color w:val="000000" w:themeColor="text1"/>
          <w:sz w:val="32"/>
          <w:szCs w:val="32"/>
        </w:rPr>
        <w:t>政策性工资</w:t>
      </w:r>
      <w:r>
        <w:rPr>
          <w:rFonts w:hint="eastAsia" w:ascii="仿宋_GB2312" w:eastAsia="仿宋_GB2312"/>
          <w:color w:val="000000" w:themeColor="text1"/>
          <w:sz w:val="32"/>
          <w:szCs w:val="32"/>
          <w:lang w:val="en-US" w:eastAsia="zh-CN"/>
        </w:rPr>
        <w:t>调资，</w:t>
      </w:r>
      <w:r>
        <w:rPr>
          <w:rFonts w:hint="eastAsia" w:ascii="仿宋_GB2312" w:eastAsia="仿宋_GB2312"/>
          <w:color w:val="000000" w:themeColor="text1"/>
          <w:sz w:val="32"/>
          <w:szCs w:val="32"/>
        </w:rPr>
        <w:t>增加艰苦边远津贴,高海拔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工龄工资补贴调资及补发,基本工资调资等导致本年决算数较上年数增加；</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color w:val="000000"/>
          <w:sz w:val="32"/>
          <w:szCs w:val="32"/>
          <w:lang w:val="en-US" w:eastAsia="zh-CN"/>
        </w:rPr>
        <w:t>本年与上年均无结余资金</w:t>
      </w:r>
      <w:r>
        <w:rPr>
          <w:rFonts w:ascii="仿宋_GB2312" w:eastAsia="仿宋_GB2312"/>
          <w:color w:val="000000"/>
          <w:sz w:val="32"/>
          <w:szCs w:val="32"/>
        </w:rPr>
        <w:t>。</w:t>
      </w:r>
      <w:bookmarkEnd w:id="8"/>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（二）部门收入总体情况说明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411.19</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411.19</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况：本年收入年初预算数1,001.01万元</w:t>
      </w:r>
      <w:r>
        <w:rPr>
          <w:rFonts w:hint="eastAsia" w:ascii="仿宋_GB2312" w:eastAsia="仿宋_GB2312"/>
          <w:sz w:val="32"/>
          <w:szCs w:val="32"/>
        </w:rPr>
        <w:t>，决算数411.19万元</w:t>
      </w:r>
      <w:r>
        <w:rPr>
          <w:rFonts w:ascii="仿宋_GB2312" w:eastAsia="仿宋_GB2312"/>
          <w:sz w:val="32"/>
          <w:szCs w:val="32"/>
        </w:rPr>
        <w:t>，预决算差异率-58.92%，差异主要原因是一是乡财所建设经费项目年初预算实际未执行；二是2018年10月调出一个人导致决算数较预算数减少。</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411.19</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408.19</w:t>
      </w:r>
      <w:r>
        <w:rPr>
          <w:rFonts w:hint="eastAsia" w:ascii="仿宋_GB2312" w:eastAsia="仿宋_GB2312"/>
          <w:color w:val="000000" w:themeColor="text1"/>
          <w:sz w:val="32"/>
          <w:szCs w:val="32"/>
        </w:rPr>
        <w:t>万元，占</w:t>
      </w:r>
      <w:r>
        <w:rPr>
          <w:rFonts w:hint="eastAsia" w:ascii="仿宋_GB2312" w:eastAsia="仿宋_GB2312"/>
          <w:sz w:val="32"/>
          <w:szCs w:val="32"/>
        </w:rPr>
        <w:t>99.27%</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3</w:t>
      </w:r>
      <w:r>
        <w:rPr>
          <w:rFonts w:hint="eastAsia" w:ascii="仿宋_GB2312" w:eastAsia="仿宋_GB2312"/>
          <w:color w:val="000000" w:themeColor="text1"/>
          <w:sz w:val="32"/>
          <w:szCs w:val="32"/>
        </w:rPr>
        <w:t>万元，占</w:t>
      </w:r>
      <w:r>
        <w:rPr>
          <w:rFonts w:hint="eastAsia" w:ascii="仿宋_GB2312" w:eastAsia="仿宋_GB2312"/>
          <w:sz w:val="32"/>
          <w:szCs w:val="32"/>
        </w:rPr>
        <w:t>0.73%</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与年初预算数相比情况：本年支出年初预算数1,001.01万元，</w:t>
      </w:r>
      <w:r>
        <w:rPr>
          <w:rFonts w:hint="eastAsia" w:ascii="仿宋_GB2312" w:eastAsia="仿宋_GB2312"/>
          <w:sz w:val="32"/>
          <w:szCs w:val="32"/>
        </w:rPr>
        <w:t>决算数411.19万元</w:t>
      </w:r>
      <w:r>
        <w:rPr>
          <w:rFonts w:ascii="仿宋_GB2312" w:eastAsia="仿宋_GB2312"/>
          <w:sz w:val="32"/>
          <w:szCs w:val="32"/>
        </w:rPr>
        <w:t>，预决算差异率-58.92%，差异主要原因是一是乡财所建设经费项目年初预算实际未执行；二是2018年10月调出一个人导致决算数较预算数减少。</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411.19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，与上年相比，增加65.71万元，增长19.02%，增加的主要原因是：政策性工资增加艰苦边远津贴增加,高海拔</w:t>
      </w:r>
      <w:r>
        <w:rPr>
          <w:rFonts w:hint="eastAsia" w:ascii="仿宋_GB2312" w:eastAsia="仿宋_GB2312"/>
          <w:sz w:val="32"/>
          <w:szCs w:val="32"/>
          <w:lang w:val="en-US" w:eastAsia="zh-CN"/>
        </w:rPr>
        <w:t>地区</w:t>
      </w:r>
      <w:r>
        <w:rPr>
          <w:rFonts w:hint="eastAsia" w:ascii="仿宋_GB2312" w:eastAsia="仿宋_GB2312"/>
          <w:sz w:val="32"/>
          <w:szCs w:val="32"/>
        </w:rPr>
        <w:t>工龄工资补贴调资及补发,基本工资调资等导致本年决算数较上年数增加。</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411.19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，与上年相比，增加65.71万元，增长19.02%，增加的主要原因是：</w:t>
      </w:r>
      <w:r>
        <w:rPr>
          <w:rFonts w:ascii="仿宋_GB2312" w:eastAsia="仿宋_GB2312"/>
          <w:sz w:val="32"/>
          <w:szCs w:val="32"/>
        </w:rPr>
        <w:t>政策性工资增加艰苦边远津贴增加,高海拔</w:t>
      </w:r>
      <w:r>
        <w:rPr>
          <w:rFonts w:hint="eastAsia" w:ascii="仿宋_GB2312" w:eastAsia="仿宋_GB2312"/>
          <w:sz w:val="32"/>
          <w:szCs w:val="32"/>
          <w:lang w:val="en-US" w:eastAsia="zh-CN"/>
        </w:rPr>
        <w:t>地区</w:t>
      </w:r>
      <w:r>
        <w:rPr>
          <w:rFonts w:ascii="仿宋_GB2312" w:eastAsia="仿宋_GB2312"/>
          <w:sz w:val="32"/>
          <w:szCs w:val="32"/>
        </w:rPr>
        <w:t>工龄工资补贴调资及补发,基本工资调资等导致本年决算数较上年数增加。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408.19</w:t>
      </w:r>
      <w:r>
        <w:rPr>
          <w:rFonts w:hint="eastAsia" w:ascii="仿宋_GB2312" w:eastAsia="仿宋_GB2312"/>
          <w:color w:val="000000" w:themeColor="text1"/>
          <w:sz w:val="32"/>
          <w:szCs w:val="32"/>
        </w:rPr>
        <w:t>万元，项目支出</w:t>
      </w:r>
      <w:r>
        <w:rPr>
          <w:rFonts w:hint="eastAsia" w:ascii="仿宋_GB2312" w:eastAsia="仿宋_GB2312"/>
          <w:sz w:val="32"/>
          <w:szCs w:val="32"/>
        </w:rPr>
        <w:t>3</w:t>
      </w:r>
      <w:r>
        <w:rPr>
          <w:rFonts w:hint="eastAsia" w:ascii="仿宋_GB2312" w:eastAsia="仿宋_GB2312"/>
          <w:color w:val="000000" w:themeColor="text1"/>
          <w:sz w:val="32"/>
          <w:szCs w:val="32"/>
        </w:rPr>
        <w:t>万元。</w:t>
      </w:r>
      <w:bookmarkEnd w:id="29"/>
      <w:bookmarkStart w:id="31" w:name="OLE_LINK16"/>
      <w:bookmarkStart w:id="32" w:name="OLE_LINK62"/>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1,001.01</w:t>
      </w:r>
      <w:r>
        <w:rPr>
          <w:rFonts w:hint="eastAsia" w:ascii="仿宋_GB2312" w:eastAsia="仿宋_GB2312"/>
          <w:color w:val="000000" w:themeColor="text1"/>
          <w:sz w:val="32"/>
          <w:szCs w:val="32"/>
        </w:rPr>
        <w:t>万元，决算数</w:t>
      </w:r>
      <w:r>
        <w:rPr>
          <w:rFonts w:hint="eastAsia" w:ascii="仿宋_GB2312" w:eastAsia="仿宋_GB2312"/>
          <w:sz w:val="32"/>
          <w:szCs w:val="32"/>
        </w:rPr>
        <w:t>411.19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，预决算差异率-58.92%，差异主要原因是一是乡财所建设经费项目年初预算实际未执行；二是2018年10月调出一个人导致决算数较预算数减少。</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1,001.01</w:t>
      </w:r>
      <w:r>
        <w:rPr>
          <w:rFonts w:hint="eastAsia" w:ascii="仿宋_GB2312" w:eastAsia="仿宋_GB2312"/>
          <w:color w:val="000000" w:themeColor="text1"/>
          <w:sz w:val="32"/>
          <w:szCs w:val="32"/>
        </w:rPr>
        <w:t>万元，决算数</w:t>
      </w:r>
      <w:r>
        <w:rPr>
          <w:rFonts w:hint="eastAsia" w:ascii="仿宋_GB2312" w:eastAsia="仿宋_GB2312"/>
          <w:sz w:val="32"/>
          <w:szCs w:val="32"/>
        </w:rPr>
        <w:t>411.19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，预决算差异率-58.92%，差异主要原因是一是乡财所建设经费项目年初预算实际未执行；二是2018年10月调出一个人导致决算数较预算数减少。</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411.19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，与上年相比，增加65.71万元，增长19.02%，增加的主要原因是：政策性工资增加艰苦边远津贴增加,高海拔</w:t>
      </w:r>
      <w:r>
        <w:rPr>
          <w:rFonts w:hint="eastAsia" w:ascii="仿宋_GB2312" w:eastAsia="仿宋_GB2312"/>
          <w:color w:val="000000" w:themeColor="text1"/>
          <w:sz w:val="32"/>
          <w:szCs w:val="32"/>
          <w:lang w:val="en-US" w:eastAsia="zh-CN"/>
        </w:rPr>
        <w:t>地区</w:t>
      </w:r>
      <w:r>
        <w:rPr>
          <w:rFonts w:ascii="仿宋_GB2312" w:eastAsia="仿宋_GB2312"/>
          <w:color w:val="000000" w:themeColor="text1"/>
          <w:sz w:val="32"/>
          <w:szCs w:val="32"/>
        </w:rPr>
        <w:t>工龄工资补贴调资及补发,基本工资调资等导致本年决算数较上年数增加。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411.19</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，与上年相比，增加65.71万元，增长19.02%，增加的主要原因是：政策性工资增加艰苦边远津贴增加,高海拔</w:t>
      </w:r>
      <w:r>
        <w:rPr>
          <w:rFonts w:hint="eastAsia" w:ascii="仿宋_GB2312" w:eastAsia="仿宋_GB2312"/>
          <w:sz w:val="32"/>
          <w:szCs w:val="32"/>
          <w:lang w:val="en-US" w:eastAsia="zh-CN"/>
        </w:rPr>
        <w:t>地区</w:t>
      </w:r>
      <w:r>
        <w:rPr>
          <w:rFonts w:hint="eastAsia" w:ascii="仿宋_GB2312" w:eastAsia="仿宋_GB2312"/>
          <w:sz w:val="32"/>
          <w:szCs w:val="32"/>
        </w:rPr>
        <w:t>工龄工资补贴调资及补发,基本工资调资等导致本年决算数较上年数增加。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住房保障支出24.72万元,一般公共服务支出350.09万元,社会保障和就业支出36.37万元。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工资福利支出377.19万元,商品和服务支出15.4万元,资本性支出18.59万元。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1,001.01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411.19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，预决算差异率-58.92%，差异主要原因是一是乡财所建设经费项目年初预算实际未执行；二是2018年10月调出一个人导致决算数较预算数减少。</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1,001.01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411.19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，预决算差异率-58.92%，差异主要原因是一是乡财所建设经费项目年初预算实际未执行；二是2018年10月调出一个人导致决算数较预算数减少。</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，与上年相比，2018年度无政府性基金预算财政拨款收入，无变化。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eastAsia="仿宋_GB2312"/>
          <w:color w:val="000000"/>
          <w:sz w:val="32"/>
          <w:szCs w:val="32"/>
        </w:rPr>
      </w:pP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sz w:val="32"/>
          <w:szCs w:val="32"/>
        </w:rPr>
      </w:pPr>
      <w:bookmarkStart w:id="52" w:name="OLE_LINK74"/>
      <w:bookmarkStart w:id="53" w:name="OLE_LINK80"/>
      <w:bookmarkStart w:id="54" w:name="OLE_LINK79"/>
      <w:r>
        <w:rPr>
          <w:rFonts w:hint="eastAsia" w:ascii="仿宋_GB2312" w:eastAsia="仿宋_GB2312"/>
          <w:color w:val="000000"/>
          <w:sz w:val="32"/>
          <w:szCs w:val="32"/>
        </w:rPr>
        <w:t>2018年度</w:t>
      </w:r>
      <w:bookmarkStart w:id="55" w:name="OLE_LINK29"/>
      <w:r>
        <w:rPr>
          <w:rFonts w:hint="eastAsia" w:ascii="仿宋_GB2312" w:eastAsia="仿宋_GB2312"/>
          <w:color w:val="000000"/>
          <w:sz w:val="32"/>
          <w:szCs w:val="32"/>
        </w:rPr>
        <w:t>一般公共预算“三公”经费支出决算</w:t>
      </w:r>
      <w:bookmarkEnd w:id="55"/>
      <w:r>
        <w:rPr>
          <w:rFonts w:hint="eastAsia" w:ascii="仿宋_GB2312" w:eastAsia="仿宋_GB2312"/>
          <w:sz w:val="32"/>
          <w:szCs w:val="32"/>
          <w:lang w:val="en-US" w:eastAsia="zh-CN"/>
        </w:rPr>
        <w:t>2</w:t>
      </w:r>
      <w:r>
        <w:rPr>
          <w:rFonts w:hint="eastAsia" w:ascii="仿宋_GB2312" w:eastAsia="仿宋_GB2312"/>
          <w:color w:val="000000"/>
          <w:sz w:val="32"/>
          <w:szCs w:val="32"/>
        </w:rPr>
        <w:t>万元</w:t>
      </w:r>
      <w:r>
        <w:rPr>
          <w:rFonts w:hint="eastAsia" w:ascii="仿宋_GB2312" w:eastAsia="仿宋_GB2312"/>
          <w:sz w:val="32"/>
          <w:szCs w:val="32"/>
        </w:rPr>
        <w:t>，</w:t>
      </w:r>
      <w:r>
        <w:rPr>
          <w:rFonts w:hint="eastAsia" w:ascii="仿宋_GB2312" w:eastAsia="仿宋_GB2312"/>
          <w:sz w:val="32"/>
          <w:szCs w:val="32"/>
          <w:highlight w:val="none"/>
        </w:rPr>
        <w:t>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本年支出与上年支出保持一致，无变化</w:t>
      </w:r>
      <w:r>
        <w:rPr>
          <w:rFonts w:hint="eastAsia" w:ascii="仿宋_GB2312" w:eastAsia="仿宋_GB2312"/>
          <w:sz w:val="32"/>
          <w:szCs w:val="32"/>
          <w:highlight w:val="none"/>
        </w:rPr>
        <w:t>。</w:t>
      </w:r>
      <w:bookmarkEnd w:id="52"/>
      <w:bookmarkStart w:id="56" w:name="OLE_LINK75"/>
      <w:r>
        <w:rPr>
          <w:rFonts w:hint="eastAsia" w:ascii="仿宋_GB2312" w:eastAsia="仿宋_GB2312"/>
          <w:color w:val="000000"/>
          <w:sz w:val="32"/>
          <w:szCs w:val="32"/>
          <w:highlight w:val="none"/>
        </w:rPr>
        <w:t>其中，</w:t>
      </w:r>
      <w:bookmarkStart w:id="57" w:name="OLE_LINK30"/>
      <w:r>
        <w:rPr>
          <w:rFonts w:hint="eastAsia" w:ascii="仿宋_GB2312" w:eastAsia="仿宋_GB2312"/>
          <w:color w:val="000000"/>
          <w:sz w:val="32"/>
          <w:szCs w:val="32"/>
          <w:highlight w:val="none"/>
        </w:rPr>
        <w:t>因公出国（境）费支出</w:t>
      </w:r>
      <w:bookmarkEnd w:id="57"/>
      <w:r>
        <w:rPr>
          <w:rFonts w:hint="eastAsia" w:ascii="仿宋_GB2312" w:eastAsia="仿宋_GB2312"/>
          <w:sz w:val="32"/>
          <w:szCs w:val="32"/>
          <w:highlight w:val="none"/>
        </w:rPr>
        <w:t>0</w:t>
      </w:r>
      <w:r>
        <w:rPr>
          <w:rFonts w:hint="eastAsia" w:ascii="仿宋_GB2312" w:eastAsia="仿宋_GB2312"/>
          <w:color w:val="000000"/>
          <w:sz w:val="32"/>
          <w:szCs w:val="32"/>
          <w:highlight w:val="none"/>
        </w:rPr>
        <w:t>万元，占</w:t>
      </w:r>
      <w:r>
        <w:rPr>
          <w:rFonts w:hint="eastAsia" w:ascii="仿宋_GB2312" w:eastAsia="仿宋_GB2312"/>
          <w:sz w:val="32"/>
          <w:szCs w:val="32"/>
          <w:highlight w:val="none"/>
        </w:rPr>
        <w:t>0%，与上年相比，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bookmarkEnd w:id="56"/>
      <w:bookmarkStart w:id="58" w:name="OLE_LINK31"/>
      <w:bookmarkStart w:id="59" w:name="OLE_LINK76"/>
      <w:r>
        <w:rPr>
          <w:rFonts w:hint="eastAsia" w:ascii="仿宋_GB2312" w:eastAsia="仿宋_GB2312"/>
          <w:sz w:val="32"/>
          <w:szCs w:val="32"/>
          <w:highlight w:val="none"/>
          <w:lang w:eastAsia="zh-CN"/>
        </w:rPr>
        <w:t>；</w:t>
      </w:r>
      <w:r>
        <w:rPr>
          <w:rFonts w:hint="eastAsia" w:ascii="仿宋_GB2312" w:eastAsia="仿宋_GB2312"/>
          <w:color w:val="000000"/>
          <w:sz w:val="32"/>
          <w:szCs w:val="32"/>
          <w:highlight w:val="none"/>
        </w:rPr>
        <w:t>公务用车购置及运行维护费支出</w:t>
      </w:r>
      <w:bookmarkEnd w:id="58"/>
      <w:r>
        <w:rPr>
          <w:rFonts w:hint="eastAsia" w:ascii="仿宋_GB2312" w:eastAsia="仿宋_GB2312"/>
          <w:sz w:val="32"/>
          <w:szCs w:val="32"/>
          <w:highlight w:val="none"/>
          <w:lang w:val="en-US" w:eastAsia="zh-CN"/>
        </w:rPr>
        <w:t>2</w:t>
      </w:r>
      <w:r>
        <w:rPr>
          <w:rFonts w:hint="eastAsia" w:ascii="仿宋_GB2312" w:eastAsia="仿宋_GB2312"/>
          <w:color w:val="000000"/>
          <w:sz w:val="32"/>
          <w:szCs w:val="32"/>
          <w:highlight w:val="none"/>
        </w:rPr>
        <w:t>万元</w:t>
      </w:r>
      <w:r>
        <w:rPr>
          <w:rFonts w:hint="eastAsia" w:ascii="仿宋_GB2312" w:eastAsia="仿宋_GB2312"/>
          <w:color w:val="000000"/>
          <w:sz w:val="32"/>
          <w:szCs w:val="32"/>
        </w:rPr>
        <w:t>，占</w:t>
      </w:r>
      <w:r>
        <w:rPr>
          <w:rFonts w:hint="eastAsia" w:ascii="仿宋_GB2312" w:eastAsia="仿宋_GB2312"/>
          <w:sz w:val="32"/>
          <w:szCs w:val="32"/>
        </w:rPr>
        <w:t>100%，与上年相比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本年支出与上年支出保持一致，无变化</w:t>
      </w:r>
      <w:r>
        <w:rPr>
          <w:rFonts w:hint="eastAsia" w:ascii="仿宋_GB2312" w:eastAsia="仿宋_GB2312"/>
          <w:sz w:val="32"/>
          <w:szCs w:val="32"/>
        </w:rPr>
        <w:t>；</w:t>
      </w:r>
      <w:bookmarkEnd w:id="59"/>
      <w:bookmarkStart w:id="60" w:name="OLE_LINK32"/>
      <w:bookmarkStart w:id="61" w:name="OLE_LINK78"/>
      <w:bookmarkStart w:id="62" w:name="OLE_LINK77"/>
      <w:r>
        <w:rPr>
          <w:rFonts w:hint="eastAsia" w:ascii="仿宋_GB2312" w:eastAsia="仿宋_GB2312"/>
          <w:color w:val="000000"/>
          <w:sz w:val="32"/>
          <w:szCs w:val="32"/>
        </w:rPr>
        <w:t>公务接待费支出</w:t>
      </w:r>
      <w:bookmarkEnd w:id="60"/>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bookmarkEnd w:id="61"/>
      <w:bookmarkEnd w:id="62"/>
      <w:r>
        <w:rPr>
          <w:rFonts w:hint="eastAsia" w:ascii="仿宋_GB2312" w:eastAsia="仿宋_GB2312"/>
          <w:color w:val="000000"/>
          <w:sz w:val="32"/>
          <w:szCs w:val="32"/>
        </w:rPr>
        <w:t>具体情况如下：</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新疆喀什地区塔什库尔干县乡镇财政管理局</w:t>
      </w:r>
      <w:r>
        <w:rPr>
          <w:rFonts w:hint="eastAsia" w:ascii="仿宋_GB2312" w:eastAsia="仿宋_GB2312"/>
          <w:color w:val="000000" w:themeColor="text1"/>
          <w:sz w:val="32"/>
          <w:szCs w:val="32"/>
        </w:rPr>
        <w:t>单位</w:t>
      </w:r>
      <w:bookmarkStart w:id="63" w:name="OLE_LINK33"/>
      <w:r>
        <w:rPr>
          <w:rFonts w:hint="eastAsia" w:ascii="仿宋_GB2312" w:eastAsia="仿宋_GB2312"/>
          <w:color w:val="000000" w:themeColor="text1"/>
          <w:sz w:val="32"/>
          <w:szCs w:val="32"/>
        </w:rPr>
        <w:t>全年</w:t>
      </w:r>
      <w:bookmarkStart w:id="64" w:name="OLE_LINK35"/>
      <w:bookmarkStart w:id="65" w:name="OLE_LINK34"/>
      <w:bookmarkStart w:id="66" w:name="OLE_LINK36"/>
      <w:r>
        <w:rPr>
          <w:rFonts w:hint="eastAsia" w:ascii="仿宋_GB2312" w:eastAsia="仿宋_GB2312"/>
          <w:color w:val="000000" w:themeColor="text1"/>
          <w:sz w:val="32"/>
          <w:szCs w:val="32"/>
        </w:rPr>
        <w:t>使用一般公共预算财政拨款安排的出国（境）团组</w:t>
      </w:r>
      <w:bookmarkEnd w:id="63"/>
      <w:bookmarkEnd w:id="64"/>
      <w:bookmarkEnd w:id="65"/>
      <w:r>
        <w:rPr>
          <w:rFonts w:hint="eastAsia" w:ascii="仿宋_GB2312" w:eastAsia="仿宋_GB2312"/>
          <w:sz w:val="32"/>
          <w:szCs w:val="32"/>
        </w:rPr>
        <w:t>0</w:t>
      </w:r>
      <w:r>
        <w:rPr>
          <w:rFonts w:hint="eastAsia" w:ascii="仿宋_GB2312" w:eastAsia="仿宋_GB2312"/>
          <w:color w:val="000000" w:themeColor="text1"/>
          <w:sz w:val="32"/>
          <w:szCs w:val="32"/>
        </w:rPr>
        <w:t>个</w:t>
      </w:r>
      <w:bookmarkEnd w:id="66"/>
      <w:r>
        <w:rPr>
          <w:rFonts w:hint="eastAsia" w:ascii="仿宋_GB2312" w:eastAsia="仿宋_GB2312"/>
          <w:color w:val="000000" w:themeColor="text1"/>
          <w:sz w:val="32"/>
          <w:szCs w:val="32"/>
        </w:rPr>
        <w:t>，</w:t>
      </w:r>
      <w:bookmarkStart w:id="67"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7"/>
      <w:r>
        <w:rPr>
          <w:rFonts w:hint="eastAsia" w:ascii="仿宋_GB2312" w:eastAsia="仿宋_GB2312"/>
          <w:color w:val="000000" w:themeColor="text1"/>
          <w:sz w:val="32"/>
          <w:szCs w:val="32"/>
        </w:rPr>
        <w:t>。</w:t>
      </w:r>
      <w:bookmarkStart w:id="68"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本单位无因公出国（境）费支出。</w:t>
      </w:r>
      <w:bookmarkEnd w:id="53"/>
      <w:bookmarkEnd w:id="54"/>
      <w:bookmarkEnd w:id="68"/>
    </w:p>
    <w:p>
      <w:pPr>
        <w:spacing w:line="540" w:lineRule="exact"/>
        <w:ind w:firstLine="640" w:firstLineChars="200"/>
        <w:rPr>
          <w:rFonts w:ascii="仿宋_GB2312" w:eastAsia="仿宋_GB2312"/>
          <w:color w:val="000000" w:themeColor="text1"/>
          <w:sz w:val="32"/>
          <w:szCs w:val="32"/>
        </w:rPr>
      </w:pPr>
      <w:bookmarkStart w:id="69"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2</w:t>
      </w:r>
      <w:r>
        <w:rPr>
          <w:rFonts w:hint="eastAsia" w:ascii="仿宋_GB2312" w:eastAsia="仿宋_GB2312"/>
          <w:color w:val="000000" w:themeColor="text1"/>
          <w:sz w:val="32"/>
          <w:szCs w:val="32"/>
        </w:rPr>
        <w:t>万元,其中，</w:t>
      </w:r>
      <w:bookmarkStart w:id="70"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0"/>
      <w:r>
        <w:rPr>
          <w:rFonts w:hint="eastAsia" w:ascii="仿宋_GB2312" w:eastAsia="仿宋_GB2312"/>
          <w:color w:val="000000" w:themeColor="text1"/>
          <w:sz w:val="32"/>
          <w:szCs w:val="32"/>
        </w:rPr>
        <w:t>，</w:t>
      </w:r>
      <w:bookmarkStart w:id="71" w:name="OLE_LINK41"/>
      <w:bookmarkStart w:id="72"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2</w:t>
      </w:r>
      <w:r>
        <w:rPr>
          <w:rFonts w:hint="eastAsia" w:ascii="仿宋_GB2312" w:eastAsia="仿宋_GB2312"/>
          <w:color w:val="000000" w:themeColor="text1"/>
          <w:sz w:val="32"/>
          <w:szCs w:val="32"/>
        </w:rPr>
        <w:t>万元</w:t>
      </w:r>
      <w:bookmarkEnd w:id="71"/>
      <w:bookmarkEnd w:id="72"/>
      <w:r>
        <w:rPr>
          <w:rFonts w:hint="eastAsia" w:ascii="仿宋_GB2312" w:eastAsia="仿宋_GB2312"/>
          <w:color w:val="000000" w:themeColor="text1"/>
          <w:sz w:val="32"/>
          <w:szCs w:val="32"/>
        </w:rPr>
        <w:t>。主要用于</w:t>
      </w:r>
      <w:r>
        <w:rPr>
          <w:rFonts w:hint="eastAsia" w:ascii="仿宋_GB2312" w:eastAsia="仿宋_GB2312"/>
          <w:sz w:val="32"/>
          <w:szCs w:val="32"/>
        </w:rPr>
        <w:t>公务用车加油、车辆维修，车辆保险费支出</w:t>
      </w:r>
      <w:r>
        <w:rPr>
          <w:rFonts w:hint="eastAsia" w:ascii="仿宋_GB2312" w:eastAsia="仿宋_GB2312"/>
          <w:color w:val="000000" w:themeColor="text1"/>
          <w:sz w:val="32"/>
          <w:szCs w:val="32"/>
        </w:rPr>
        <w:t>等。</w:t>
      </w:r>
      <w:bookmarkEnd w:id="69"/>
      <w:bookmarkStart w:id="73"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lang w:val="en-US" w:eastAsia="zh-CN"/>
        </w:rPr>
        <w:t>3</w:t>
      </w:r>
      <w:r>
        <w:rPr>
          <w:rFonts w:hint="eastAsia" w:ascii="仿宋_GB2312" w:eastAsia="仿宋_GB2312"/>
          <w:color w:val="000000" w:themeColor="text1"/>
          <w:sz w:val="32"/>
          <w:szCs w:val="32"/>
        </w:rPr>
        <w:t>辆。</w:t>
      </w:r>
      <w:bookmarkEnd w:id="73"/>
    </w:p>
    <w:p>
      <w:pPr>
        <w:spacing w:line="540" w:lineRule="exact"/>
        <w:ind w:firstLine="640" w:firstLineChars="200"/>
        <w:rPr>
          <w:rFonts w:ascii="仿宋_GB2312" w:eastAsia="仿宋_GB2312"/>
          <w:color w:val="000000" w:themeColor="text1"/>
          <w:sz w:val="32"/>
          <w:szCs w:val="32"/>
        </w:rPr>
      </w:pPr>
      <w:bookmarkStart w:id="74"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本单位无公务接待费支出</w:t>
      </w:r>
      <w:r>
        <w:rPr>
          <w:rFonts w:hint="eastAsia" w:ascii="仿宋_GB2312" w:eastAsia="仿宋_GB2312"/>
          <w:color w:val="000000" w:themeColor="text1"/>
          <w:sz w:val="32"/>
          <w:szCs w:val="32"/>
        </w:rPr>
        <w:t>等。</w:t>
      </w:r>
      <w:bookmarkEnd w:id="74"/>
      <w:bookmarkStart w:id="75" w:name="OLE_LINK84"/>
      <w:r>
        <w:rPr>
          <w:rFonts w:hint="eastAsia" w:ascii="仿宋_GB2312" w:eastAsia="仿宋_GB2312"/>
          <w:sz w:val="32"/>
          <w:szCs w:val="32"/>
        </w:rPr>
        <w:t>新疆喀什地区塔什库尔干县乡镇财政管理局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5"/>
    </w:p>
    <w:p>
      <w:pPr>
        <w:spacing w:line="540" w:lineRule="exact"/>
        <w:ind w:firstLine="640" w:firstLineChars="200"/>
        <w:rPr>
          <w:rFonts w:ascii="仿宋_GB2312" w:hAnsi="宋体" w:eastAsia="仿宋_GB2312" w:cs="宋体"/>
          <w:color w:val="000000" w:themeColor="text1"/>
          <w:kern w:val="0"/>
          <w:sz w:val="32"/>
          <w:szCs w:val="32"/>
        </w:rPr>
      </w:pPr>
      <w:bookmarkStart w:id="76"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万元，决算数2万元</w:t>
      </w:r>
      <w:r>
        <w:rPr>
          <w:rFonts w:ascii="仿宋_GB2312" w:eastAsia="仿宋_GB2312"/>
          <w:color w:val="000000" w:themeColor="text1"/>
          <w:sz w:val="32"/>
          <w:szCs w:val="32"/>
        </w:rPr>
        <w:t>，预决算差异率0%，差异主要原因是无差异。</w:t>
      </w:r>
      <w:bookmarkEnd w:id="76"/>
      <w:bookmarkStart w:id="77" w:name="OLE_LINK86"/>
      <w:bookmarkStart w:id="78"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77"/>
      <w:bookmarkEnd w:id="78"/>
      <w:bookmarkStart w:id="79" w:name="OLE_LINK89"/>
      <w:bookmarkStart w:id="80"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79"/>
      <w:bookmarkEnd w:id="80"/>
      <w:bookmarkStart w:id="81"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1"/>
      <w:bookmarkStart w:id="82"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2"/>
      <w:r>
        <w:rPr>
          <w:rFonts w:ascii="仿宋_GB2312" w:eastAsia="仿宋_GB2312"/>
          <w:color w:val="000000" w:themeColor="text1"/>
          <w:sz w:val="32"/>
          <w:szCs w:val="32"/>
        </w:rPr>
        <w:t>无差异。</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新疆喀什地区塔什库尔干县乡镇财政管理局日常公用经费30.99万元，与上年相比，增加23.89万元，增长336.48%，增加的主要原因是：购买乡财所办公设备电脑办公桌办公椅等费用支出。</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3" w:name="OLE_LINK45"/>
      <w:r>
        <w:rPr>
          <w:rFonts w:hint="eastAsia" w:ascii="仿宋_GB2312" w:eastAsia="仿宋_GB2312"/>
          <w:color w:val="000000" w:themeColor="text1"/>
          <w:sz w:val="32"/>
          <w:szCs w:val="32"/>
        </w:rPr>
        <w:t>政府采购支出总额</w:t>
      </w:r>
      <w:bookmarkEnd w:id="83"/>
      <w:r>
        <w:rPr>
          <w:rFonts w:hint="eastAsia" w:ascii="仿宋_GB2312" w:eastAsia="仿宋_GB2312"/>
          <w:sz w:val="32"/>
          <w:szCs w:val="32"/>
        </w:rPr>
        <w:t>14.74</w:t>
      </w:r>
      <w:r>
        <w:rPr>
          <w:rFonts w:hint="eastAsia" w:ascii="仿宋_GB2312" w:eastAsia="仿宋_GB2312"/>
          <w:color w:val="000000" w:themeColor="text1"/>
          <w:sz w:val="32"/>
          <w:szCs w:val="32"/>
        </w:rPr>
        <w:t>万元，其中：</w:t>
      </w:r>
      <w:bookmarkStart w:id="84" w:name="OLE_LINK46"/>
      <w:r>
        <w:rPr>
          <w:rFonts w:hint="eastAsia" w:ascii="仿宋_GB2312" w:eastAsia="仿宋_GB2312"/>
          <w:color w:val="000000" w:themeColor="text1"/>
          <w:sz w:val="32"/>
          <w:szCs w:val="32"/>
        </w:rPr>
        <w:t>政府采购货物支出</w:t>
      </w:r>
      <w:bookmarkEnd w:id="84"/>
      <w:r>
        <w:rPr>
          <w:rFonts w:hint="eastAsia" w:ascii="仿宋_GB2312" w:eastAsia="仿宋_GB2312"/>
          <w:sz w:val="32"/>
          <w:szCs w:val="32"/>
        </w:rPr>
        <w:t>14.33</w:t>
      </w:r>
      <w:r>
        <w:rPr>
          <w:rFonts w:hint="eastAsia" w:ascii="仿宋_GB2312" w:eastAsia="仿宋_GB2312"/>
          <w:color w:val="000000" w:themeColor="text1"/>
          <w:sz w:val="32"/>
          <w:szCs w:val="32"/>
        </w:rPr>
        <w:t>万元、</w:t>
      </w:r>
      <w:bookmarkStart w:id="85" w:name="OLE_LINK47"/>
      <w:r>
        <w:rPr>
          <w:rFonts w:hint="eastAsia" w:ascii="仿宋_GB2312" w:eastAsia="仿宋_GB2312"/>
          <w:color w:val="000000" w:themeColor="text1"/>
          <w:sz w:val="32"/>
          <w:szCs w:val="32"/>
        </w:rPr>
        <w:t>政府采购工程支出</w:t>
      </w:r>
      <w:bookmarkEnd w:id="8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6" w:name="OLE_LINK48"/>
      <w:r>
        <w:rPr>
          <w:rFonts w:hint="eastAsia" w:ascii="仿宋_GB2312" w:eastAsia="仿宋_GB2312"/>
          <w:color w:val="000000" w:themeColor="text1"/>
          <w:sz w:val="32"/>
          <w:szCs w:val="32"/>
        </w:rPr>
        <w:t>政府采购服务支出</w:t>
      </w:r>
      <w:bookmarkEnd w:id="86"/>
      <w:r>
        <w:rPr>
          <w:rFonts w:hint="eastAsia" w:ascii="仿宋_GB2312" w:eastAsia="仿宋_GB2312"/>
          <w:sz w:val="32"/>
          <w:szCs w:val="32"/>
        </w:rPr>
        <w:t>0.41</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7"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3</w:t>
      </w:r>
      <w:r>
        <w:rPr>
          <w:rFonts w:hint="eastAsia" w:ascii="仿宋_GB2312" w:eastAsia="仿宋_GB2312"/>
          <w:color w:val="000000" w:themeColor="text1"/>
          <w:sz w:val="32"/>
          <w:szCs w:val="32"/>
        </w:rPr>
        <w:t>辆，价值</w:t>
      </w:r>
      <w:r>
        <w:rPr>
          <w:rFonts w:hint="eastAsia" w:ascii="仿宋_GB2312" w:eastAsia="仿宋_GB2312"/>
          <w:sz w:val="32"/>
          <w:szCs w:val="32"/>
        </w:rPr>
        <w:t>58.29</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3</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江铃越野车一辆主要用于单位</w:t>
      </w:r>
      <w:r>
        <w:rPr>
          <w:rFonts w:ascii="仿宋_GB2312" w:eastAsia="仿宋_GB2312"/>
          <w:color w:val="000000" w:themeColor="text1"/>
          <w:sz w:val="32"/>
          <w:szCs w:val="32"/>
        </w:rPr>
        <w:t>一般</w:t>
      </w:r>
      <w:r>
        <w:rPr>
          <w:rFonts w:hint="eastAsia" w:ascii="仿宋_GB2312" w:eastAsia="仿宋_GB2312"/>
          <w:color w:val="000000" w:themeColor="text1"/>
          <w:sz w:val="32"/>
          <w:szCs w:val="32"/>
          <w:lang w:eastAsia="zh-CN"/>
        </w:rPr>
        <w:t>日常</w:t>
      </w:r>
      <w:r>
        <w:rPr>
          <w:rFonts w:ascii="仿宋_GB2312" w:eastAsia="仿宋_GB2312"/>
          <w:color w:val="000000" w:themeColor="text1"/>
          <w:sz w:val="32"/>
          <w:szCs w:val="32"/>
        </w:rPr>
        <w:t>公务</w:t>
      </w:r>
      <w:r>
        <w:rPr>
          <w:rFonts w:hint="eastAsia" w:ascii="仿宋_GB2312" w:eastAsia="仿宋_GB2312"/>
          <w:color w:val="000000" w:themeColor="text1"/>
          <w:sz w:val="32"/>
          <w:szCs w:val="32"/>
          <w:lang w:eastAsia="zh-CN"/>
        </w:rPr>
        <w:t>外出</w:t>
      </w:r>
      <w:r>
        <w:rPr>
          <w:rFonts w:ascii="仿宋_GB2312" w:eastAsia="仿宋_GB2312"/>
          <w:color w:val="000000" w:themeColor="text1"/>
          <w:sz w:val="32"/>
          <w:szCs w:val="32"/>
        </w:rPr>
        <w:t>用车</w:t>
      </w:r>
      <w:r>
        <w:rPr>
          <w:rFonts w:hint="eastAsia" w:ascii="仿宋_GB2312" w:eastAsia="仿宋_GB2312"/>
          <w:color w:val="000000" w:themeColor="text1"/>
          <w:sz w:val="32"/>
          <w:szCs w:val="32"/>
          <w:lang w:eastAsia="zh-CN"/>
        </w:rPr>
        <w:t>，小轿车一辆实际移交给其他单位使用，皮卡车一辆主要用于下各乡镇站所检查工作使用</w:t>
      </w:r>
      <w:r>
        <w:rPr>
          <w:rFonts w:ascii="仿宋_GB2312" w:eastAsia="仿宋_GB2312"/>
          <w:color w:val="000000" w:themeColor="text1"/>
          <w:sz w:val="32"/>
          <w:szCs w:val="32"/>
        </w:rPr>
        <w:t>；</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7"/>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2018年度本部门实行绩效管理的项目1个，涉及预算数3万元，决算数3万元，执行率100%。1、乡镇财政工作经费项目。本单位2018年严格执行预算绩效管理工作要求，成立绩效管理领导小组，对项目严格进行事前、事中、事后全过程</w:t>
      </w:r>
      <w:r>
        <w:rPr>
          <w:rFonts w:hint="eastAsia" w:ascii="仿宋_GB2312" w:eastAsia="仿宋_GB2312"/>
          <w:sz w:val="32"/>
          <w:szCs w:val="32"/>
          <w:lang w:val="en-US" w:eastAsia="zh-CN"/>
        </w:rPr>
        <w:t>监督</w:t>
      </w:r>
      <w:r>
        <w:rPr>
          <w:rFonts w:ascii="仿宋_GB2312" w:eastAsia="仿宋_GB2312"/>
          <w:sz w:val="32"/>
          <w:szCs w:val="32"/>
        </w:rPr>
        <w:t>，按时申报项目绩效目标表、自评表，自评报告，总结经验，发现不足，及时进行整改，确保各项目如期完成。</w:t>
      </w:r>
    </w:p>
    <w:p>
      <w:pPr>
        <w:spacing w:line="540" w:lineRule="exact"/>
        <w:ind w:left="-1" w:right="-1" w:firstLine="646"/>
        <w:jc w:val="left"/>
      </w:pPr>
      <w:r>
        <w:rPr>
          <w:rFonts w:ascii="仿宋_GB2312" w:hAnsi="仿宋_GB2312" w:eastAsia="仿宋_GB2312" w:cs="仿宋_GB2312"/>
          <w:b w:val="0"/>
          <w:color w:val="000000"/>
          <w:sz w:val="32"/>
          <w:u w:val="none"/>
        </w:rPr>
        <w:t>乡镇财政工作经费项目项目绩效自评综述：根据年初设定的绩效目标，该项目绩效自评得分为92分。项目全年预算数为3万元，执行数为3万元，完成预算的100%。主要产出和效果：财政业务的开展，集中学习财政法律法规及对财政专业知识进行数次培训，以提高工作人员</w:t>
      </w:r>
      <w:r>
        <w:rPr>
          <w:rFonts w:hint="eastAsia" w:ascii="仿宋_GB2312" w:hAnsi="仿宋_GB2312" w:eastAsia="仿宋_GB2312" w:cs="仿宋_GB2312"/>
          <w:b w:val="0"/>
          <w:color w:val="000000"/>
          <w:sz w:val="32"/>
          <w:u w:val="none"/>
          <w:lang w:val="en-US" w:eastAsia="zh-CN"/>
        </w:rPr>
        <w:t>的</w:t>
      </w:r>
      <w:r>
        <w:rPr>
          <w:rFonts w:ascii="仿宋_GB2312" w:hAnsi="仿宋_GB2312" w:eastAsia="仿宋_GB2312" w:cs="仿宋_GB2312"/>
          <w:b w:val="0"/>
          <w:color w:val="000000"/>
          <w:sz w:val="32"/>
          <w:u w:val="none"/>
        </w:rPr>
        <w:t>业务能力。发现</w:t>
      </w:r>
      <w:bookmarkStart w:id="88" w:name="_GoBack"/>
      <w:bookmarkEnd w:id="88"/>
      <w:r>
        <w:rPr>
          <w:rFonts w:ascii="仿宋_GB2312" w:hAnsi="仿宋_GB2312" w:eastAsia="仿宋_GB2312" w:cs="仿宋_GB2312"/>
          <w:b w:val="0"/>
          <w:color w:val="000000"/>
          <w:sz w:val="32"/>
          <w:u w:val="none"/>
        </w:rPr>
        <w:t>的问题及原因：对预算工作缺乏认识，仍需继续加强预算管理。下一步改进措施：在今后工作一方面严格预算编制，做到细化精确，争取一些费用纳入财政预算中；另一方面严格落实项目费用使用管理规定，做到专款专用。</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201（类）06（款）99（项）指：其他财政事务支出。221（类）02（款）01（项）指：住房公积金。201（类）06（款）50（项）指：事业运行。208（类）05（款）05（项）指：机关事业单位基本养老保险缴费支出。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6D64F5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5FC2152"/>
    <w:rsid w:val="18D54A0D"/>
    <w:rsid w:val="18DC5B57"/>
    <w:rsid w:val="1A4106A0"/>
    <w:rsid w:val="1A4F5437"/>
    <w:rsid w:val="1AB77CD0"/>
    <w:rsid w:val="1E807156"/>
    <w:rsid w:val="1EA657F6"/>
    <w:rsid w:val="1F097CB6"/>
    <w:rsid w:val="1F3A7C5E"/>
    <w:rsid w:val="1FD459C4"/>
    <w:rsid w:val="20221CEE"/>
    <w:rsid w:val="2166156B"/>
    <w:rsid w:val="21B02D83"/>
    <w:rsid w:val="22A236F5"/>
    <w:rsid w:val="236C2081"/>
    <w:rsid w:val="23995975"/>
    <w:rsid w:val="2432220E"/>
    <w:rsid w:val="248303BA"/>
    <w:rsid w:val="24837E47"/>
    <w:rsid w:val="252E01AA"/>
    <w:rsid w:val="26685FCC"/>
    <w:rsid w:val="2680023E"/>
    <w:rsid w:val="27C24728"/>
    <w:rsid w:val="29287B27"/>
    <w:rsid w:val="29680352"/>
    <w:rsid w:val="2A020F75"/>
    <w:rsid w:val="2B007AEE"/>
    <w:rsid w:val="2BC14C56"/>
    <w:rsid w:val="2C1B026F"/>
    <w:rsid w:val="2C927246"/>
    <w:rsid w:val="2CC61F55"/>
    <w:rsid w:val="2EF7452F"/>
    <w:rsid w:val="2F1D13B4"/>
    <w:rsid w:val="2FAA3DA6"/>
    <w:rsid w:val="2FE744D0"/>
    <w:rsid w:val="30682E1F"/>
    <w:rsid w:val="30E210D2"/>
    <w:rsid w:val="311371D6"/>
    <w:rsid w:val="31EB64C9"/>
    <w:rsid w:val="32845C5D"/>
    <w:rsid w:val="336D0D6F"/>
    <w:rsid w:val="352E4BEC"/>
    <w:rsid w:val="36D23849"/>
    <w:rsid w:val="37DD5594"/>
    <w:rsid w:val="38F24FA8"/>
    <w:rsid w:val="3A98342A"/>
    <w:rsid w:val="3AB6780E"/>
    <w:rsid w:val="3AD56D70"/>
    <w:rsid w:val="3B2920C2"/>
    <w:rsid w:val="3BE41ABD"/>
    <w:rsid w:val="3C5421A9"/>
    <w:rsid w:val="3C616766"/>
    <w:rsid w:val="3D903B21"/>
    <w:rsid w:val="3F440741"/>
    <w:rsid w:val="41FC306C"/>
    <w:rsid w:val="44BE5554"/>
    <w:rsid w:val="451E0908"/>
    <w:rsid w:val="452C2D31"/>
    <w:rsid w:val="45D26E14"/>
    <w:rsid w:val="463271A2"/>
    <w:rsid w:val="46A541B1"/>
    <w:rsid w:val="47836F5A"/>
    <w:rsid w:val="4799688D"/>
    <w:rsid w:val="48591D83"/>
    <w:rsid w:val="48C57772"/>
    <w:rsid w:val="49782886"/>
    <w:rsid w:val="4A6F0D28"/>
    <w:rsid w:val="4AAF085C"/>
    <w:rsid w:val="4AEB7E60"/>
    <w:rsid w:val="4B286D21"/>
    <w:rsid w:val="4B4B135B"/>
    <w:rsid w:val="4BC7055F"/>
    <w:rsid w:val="4CFC7DB2"/>
    <w:rsid w:val="4E1D080C"/>
    <w:rsid w:val="4E62314E"/>
    <w:rsid w:val="4E7C187D"/>
    <w:rsid w:val="508941AD"/>
    <w:rsid w:val="50E65530"/>
    <w:rsid w:val="51457139"/>
    <w:rsid w:val="51574DBD"/>
    <w:rsid w:val="51EC1DA8"/>
    <w:rsid w:val="52FC5524"/>
    <w:rsid w:val="532D7A17"/>
    <w:rsid w:val="53AB2A96"/>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5FCD5579"/>
    <w:rsid w:val="602D2E37"/>
    <w:rsid w:val="61460FBE"/>
    <w:rsid w:val="62775810"/>
    <w:rsid w:val="62D83744"/>
    <w:rsid w:val="630F4048"/>
    <w:rsid w:val="63AA02E5"/>
    <w:rsid w:val="64700DE9"/>
    <w:rsid w:val="64C24A66"/>
    <w:rsid w:val="655615D7"/>
    <w:rsid w:val="65C613BD"/>
    <w:rsid w:val="65FD118C"/>
    <w:rsid w:val="68081D81"/>
    <w:rsid w:val="682C3D89"/>
    <w:rsid w:val="68611305"/>
    <w:rsid w:val="6A162DE0"/>
    <w:rsid w:val="6A331428"/>
    <w:rsid w:val="6B2E5CB6"/>
    <w:rsid w:val="6B3D4886"/>
    <w:rsid w:val="6B494A53"/>
    <w:rsid w:val="6C370506"/>
    <w:rsid w:val="6C9A5E30"/>
    <w:rsid w:val="6DF8675E"/>
    <w:rsid w:val="6E571155"/>
    <w:rsid w:val="6EA80098"/>
    <w:rsid w:val="6F140E53"/>
    <w:rsid w:val="6F8D70FF"/>
    <w:rsid w:val="6FFE5011"/>
    <w:rsid w:val="7178734D"/>
    <w:rsid w:val="71791096"/>
    <w:rsid w:val="717B0C34"/>
    <w:rsid w:val="71FB78FD"/>
    <w:rsid w:val="7275064A"/>
    <w:rsid w:val="733F750B"/>
    <w:rsid w:val="735702E2"/>
    <w:rsid w:val="765F635A"/>
    <w:rsid w:val="76A747D2"/>
    <w:rsid w:val="76B73454"/>
    <w:rsid w:val="76D254BD"/>
    <w:rsid w:val="77727ACD"/>
    <w:rsid w:val="78071142"/>
    <w:rsid w:val="79296B37"/>
    <w:rsid w:val="7A4C4C40"/>
    <w:rsid w:val="7AA0518E"/>
    <w:rsid w:val="7B041636"/>
    <w:rsid w:val="7B492CD1"/>
    <w:rsid w:val="7C395B45"/>
    <w:rsid w:val="7CA86749"/>
    <w:rsid w:val="7CE75B0D"/>
    <w:rsid w:val="7EC92370"/>
    <w:rsid w:val="7F2238BD"/>
    <w:rsid w:val="7F3E22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2</TotalTime>
  <ScaleCrop>false</ScaleCrop>
  <LinksUpToDate>false</LinksUpToDate>
  <CharactersWithSpaces>7696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2020-04-05T05:13:55Z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