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2018年度新疆喀什地区塔什库尔干县旅游局部门决算公开说明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1、贯彻执行党和国家、自治区、地区、我县有关文化体育、广播电视、旅游工作方面的方针政策和法律法规,牢牢掌握意识形态工作的领导权和主动权。</w:t>
      </w:r>
      <w:r>
        <w:rPr>
          <w:rFonts w:hint="eastAsia" w:ascii="仿宋_GB2312" w:eastAsia="仿宋_GB2312"/>
          <w:sz w:val="32"/>
          <w:szCs w:val="32"/>
        </w:rPr>
        <w:br w:type="textWrapping"/>
      </w:r>
      <w:r>
        <w:rPr>
          <w:rFonts w:hint="eastAsia" w:ascii="仿宋_GB2312" w:eastAsia="仿宋_GB2312"/>
          <w:sz w:val="32"/>
          <w:szCs w:val="32"/>
        </w:rPr>
        <w:t>2、统筹文化、体育、广播电视和旅游事业、产业振兴展,研究制定和组织实施全县文化、体育、广播电视、旅游事业产业发展规划;指导推进全县文化、体育、广播电视、旅游工作结合乡村振兴战略,推进文化和旅游扶贫工作。</w:t>
      </w:r>
      <w:r>
        <w:rPr>
          <w:rFonts w:hint="eastAsia" w:ascii="仿宋_GB2312" w:eastAsia="仿宋_GB2312"/>
          <w:sz w:val="32"/>
          <w:szCs w:val="32"/>
        </w:rPr>
        <w:br w:type="textWrapping"/>
      </w:r>
      <w:r>
        <w:rPr>
          <w:rFonts w:hint="eastAsia" w:ascii="仿宋_GB2312" w:eastAsia="仿宋_GB2312"/>
          <w:sz w:val="32"/>
          <w:szCs w:val="32"/>
        </w:rPr>
        <w:t>3、指导、管理文化体育和旅游对外交流、合作、宣传、推广;研究拟定塔什库尔干县国际、国内文化旅游市场开发规划并组织实施;组织塔什库尔干县文化和旅游整体形象的对外推广信传和重大促销活动,组织大型文化和旅游对外交流活动,推动中华文化走出去。</w:t>
      </w:r>
      <w:r>
        <w:rPr>
          <w:rFonts w:hint="eastAsia" w:ascii="仿宋_GB2312" w:eastAsia="仿宋_GB2312"/>
          <w:sz w:val="32"/>
          <w:szCs w:val="32"/>
        </w:rPr>
        <w:br w:type="textWrapping"/>
      </w:r>
      <w:r>
        <w:rPr>
          <w:rFonts w:hint="eastAsia" w:ascii="仿宋_GB2312" w:eastAsia="仿宋_GB2312"/>
          <w:sz w:val="32"/>
          <w:szCs w:val="32"/>
        </w:rPr>
        <w:t>4、构建全媒体时代的宣传营销平台和机制,组织、指导童要文化旅游产品的开发;组织开展文化、体育、广播电视、施游对口援疆工作。</w:t>
      </w:r>
      <w:r>
        <w:rPr>
          <w:rFonts w:hint="eastAsia" w:ascii="仿宋_GB2312" w:eastAsia="仿宋_GB2312"/>
          <w:sz w:val="32"/>
          <w:szCs w:val="32"/>
        </w:rPr>
        <w:br w:type="textWrapping"/>
      </w:r>
      <w:r>
        <w:rPr>
          <w:rFonts w:hint="eastAsia" w:ascii="仿宋_GB2312" w:eastAsia="仿宋_GB2312"/>
          <w:sz w:val="32"/>
          <w:szCs w:val="32"/>
        </w:rPr>
        <w:t>5、统筹规划和综合管理文化、体育、广播电视、旅游产业,协调指导文化、体育、广播电视、旅游产业基地和特色文化、民间体育、广播电视、旅游产业群建设;引导文化、体育、广播电视、旅游产业的社会投资和利用外资工作,推动文化和旅游产业投融资体系建设。</w:t>
      </w:r>
      <w:r>
        <w:rPr>
          <w:rFonts w:hint="eastAsia" w:ascii="仿宋_GB2312" w:eastAsia="仿宋_GB2312"/>
          <w:sz w:val="32"/>
          <w:szCs w:val="32"/>
        </w:rPr>
        <w:br w:type="textWrapping"/>
      </w:r>
      <w:r>
        <w:rPr>
          <w:rFonts w:hint="eastAsia" w:ascii="仿宋_GB2312" w:eastAsia="仿宋_GB2312"/>
          <w:sz w:val="32"/>
          <w:szCs w:val="32"/>
        </w:rPr>
        <w:t>6、负责全县文化、体育、广播电视、旅游统计及行业信息发布;指导文化和旅游科技创新发展,推进文化和旅游行业信息化、标准化建设。</w:t>
      </w:r>
      <w:r>
        <w:rPr>
          <w:rFonts w:hint="eastAsia" w:ascii="仿宋_GB2312" w:eastAsia="仿宋_GB2312"/>
          <w:sz w:val="32"/>
          <w:szCs w:val="32"/>
        </w:rPr>
        <w:br w:type="textWrapping"/>
      </w:r>
      <w:r>
        <w:rPr>
          <w:rFonts w:hint="eastAsia" w:ascii="仿宋_GB2312" w:eastAsia="仿宋_GB2312"/>
          <w:sz w:val="32"/>
          <w:szCs w:val="32"/>
        </w:rPr>
        <w:t>7、推进文化、体育、广播电视、旅游创新融合绿色发展,实施“文化体育广播电视和旅游+”;指导和实施全县文化、体育、广播电视、旅游体制机制改革。</w:t>
      </w:r>
      <w:r>
        <w:rPr>
          <w:rFonts w:hint="eastAsia" w:ascii="仿宋_GB2312" w:eastAsia="仿宋_GB2312"/>
          <w:sz w:val="32"/>
          <w:szCs w:val="32"/>
        </w:rPr>
        <w:br w:type="textWrapping"/>
      </w:r>
      <w:r>
        <w:rPr>
          <w:rFonts w:hint="eastAsia" w:ascii="仿宋_GB2312" w:eastAsia="仿宋_GB2312"/>
          <w:sz w:val="32"/>
          <w:szCs w:val="32"/>
        </w:rPr>
        <w:t>8、组织实施全县文化、体育、广播电视、旅游重大工程,指导监督文化、体育、广播电视、旅游重点基础设施建设;组织实施和协调指导全县重大文化、体育、广播电视、旅游活动。</w:t>
      </w:r>
      <w:r>
        <w:rPr>
          <w:rFonts w:hint="eastAsia" w:ascii="仿宋_GB2312" w:eastAsia="仿宋_GB2312"/>
          <w:sz w:val="32"/>
          <w:szCs w:val="32"/>
        </w:rPr>
        <w:br w:type="textWrapping"/>
      </w:r>
      <w:r>
        <w:rPr>
          <w:rFonts w:hint="eastAsia" w:ascii="仿宋_GB2312" w:eastAsia="仿宋_GB2312"/>
          <w:sz w:val="32"/>
          <w:szCs w:val="32"/>
        </w:rPr>
        <w:t>9、依照法律法规,负责全县文化、体育、广播电视、旅游行政审批和执法工作。</w:t>
      </w:r>
      <w:r>
        <w:rPr>
          <w:rFonts w:hint="eastAsia" w:ascii="仿宋_GB2312" w:eastAsia="仿宋_GB2312"/>
          <w:sz w:val="32"/>
          <w:szCs w:val="32"/>
        </w:rPr>
        <w:br w:type="textWrapping"/>
      </w:r>
      <w:r>
        <w:rPr>
          <w:rFonts w:hint="eastAsia" w:ascii="仿宋_GB2312" w:eastAsia="仿宋_GB2312"/>
          <w:sz w:val="32"/>
          <w:szCs w:val="32"/>
        </w:rPr>
        <w:t>10、依法管理文化、体育、广播电视、旅游、文物经营活动,组织和指导文化、体育、广播电视、旅游文物市场稽查作;开展文化市场“扫黄打非”,依法查处文化、体育、广播电视、旅游、文物市场违法活动;开展文化、体育广播电视、旅游文物行业领域“扫黑除恶”工作。</w:t>
      </w:r>
      <w:r>
        <w:rPr>
          <w:rFonts w:hint="eastAsia" w:ascii="仿宋_GB2312" w:eastAsia="仿宋_GB2312"/>
          <w:sz w:val="32"/>
          <w:szCs w:val="32"/>
        </w:rPr>
        <w:br w:type="textWrapping"/>
      </w:r>
      <w:r>
        <w:rPr>
          <w:rFonts w:hint="eastAsia" w:ascii="仿宋_GB2312" w:eastAsia="仿宋_GB2312"/>
          <w:sz w:val="32"/>
          <w:szCs w:val="32"/>
        </w:rPr>
        <w:t>11、指导全县文化市场综合执法,组织查处全县范围内文化、旅游、文物、广播电视等市场的违法行为,督察督办大案和要案,维护市场秩序。</w:t>
      </w:r>
      <w:r>
        <w:rPr>
          <w:rFonts w:hint="eastAsia" w:ascii="仿宋_GB2312" w:eastAsia="仿宋_GB2312"/>
          <w:sz w:val="32"/>
          <w:szCs w:val="32"/>
        </w:rPr>
        <w:br w:type="textWrapping"/>
      </w:r>
      <w:r>
        <w:rPr>
          <w:rFonts w:hint="eastAsia" w:ascii="仿宋_GB2312" w:eastAsia="仿宋_GB2312"/>
          <w:sz w:val="32"/>
          <w:szCs w:val="32"/>
        </w:rPr>
        <w:t>12、负责指导和实施全县文化、体育、广播电视、旅游设施、群众活动及社会市场的安全工作,负责全县文化、体育广播电视、旅游安全的综合协调和监督管理;指导文化、体育广播电视、旅游应急救援工作。</w:t>
      </w:r>
      <w:r>
        <w:rPr>
          <w:rFonts w:hint="eastAsia" w:ascii="仿宋_GB2312" w:eastAsia="仿宋_GB2312"/>
          <w:sz w:val="32"/>
          <w:szCs w:val="32"/>
        </w:rPr>
        <w:br w:type="textWrapping"/>
      </w:r>
      <w:r>
        <w:rPr>
          <w:rFonts w:hint="eastAsia" w:ascii="仿宋_GB2312" w:eastAsia="仿宋_GB2312"/>
          <w:sz w:val="32"/>
          <w:szCs w:val="32"/>
        </w:rPr>
        <w:t>13、负责全县公共文化事业发展,推进县公共文化服务体系建设和旅游公共服务建设,深入实施文化惠民工程,统筹推进基本公共文化服务标准化、均等化;管理公共文化事业,指导图书馆、文化馆、博物馆、纪念馆、影剧院等公共文化服务。</w:t>
      </w:r>
      <w:r>
        <w:rPr>
          <w:rFonts w:hint="eastAsia" w:ascii="仿宋_GB2312" w:eastAsia="仿宋_GB2312"/>
          <w:sz w:val="32"/>
          <w:szCs w:val="32"/>
        </w:rPr>
        <w:br w:type="textWrapping"/>
      </w:r>
      <w:r>
        <w:rPr>
          <w:rFonts w:hint="eastAsia" w:ascii="仿宋_GB2312" w:eastAsia="仿宋_GB2312"/>
          <w:sz w:val="32"/>
          <w:szCs w:val="32"/>
        </w:rPr>
        <w:t>14、指导各乡镇、各部门、各社会团体开展体育工作和实施《全民健身计划纲要》。指导组织全县性的体育竞赛,对技体育进行宏观管理和指导。大力开展业余训练,为国家培育输送更多的优秀后备入才。组织协调及统筹安排在我县举办的比赛。组织和指导体育科学研究工作和对外交流合作,分级培训体育干部和专业技术人才。</w:t>
      </w:r>
      <w:r>
        <w:rPr>
          <w:rFonts w:hint="eastAsia" w:ascii="仿宋_GB2312" w:eastAsia="仿宋_GB2312"/>
          <w:sz w:val="32"/>
          <w:szCs w:val="32"/>
        </w:rPr>
        <w:br w:type="textWrapping"/>
      </w:r>
      <w:r>
        <w:rPr>
          <w:rFonts w:hint="eastAsia" w:ascii="仿宋_GB2312" w:eastAsia="仿宋_GB2312"/>
          <w:sz w:val="32"/>
          <w:szCs w:val="32"/>
        </w:rPr>
        <w:t>15、指导、管理文艺事业,指导全县艺术创作生产,组织开展文化艺术研究和对外文化艺术合作与交流;指导扶持坚守。</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新疆喀什地区塔什库尔干县旅游局</w:t>
      </w:r>
      <w:r>
        <w:rPr>
          <w:rFonts w:hint="eastAsia" w:ascii="仿宋_GB2312" w:eastAsia="仿宋_GB2312"/>
          <w:sz w:val="32"/>
          <w:szCs w:val="32"/>
        </w:rPr>
        <w:t>部门决算包括：</w:t>
      </w:r>
      <w:r>
        <w:rPr>
          <w:rFonts w:ascii="仿宋_GB2312" w:eastAsia="仿宋_GB2312"/>
          <w:sz w:val="32"/>
          <w:szCs w:val="32"/>
        </w:rPr>
        <w:t>新疆喀什地区塔什库尔干县旅游局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新疆喀什地区塔什库尔干县旅游局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新疆喀什地区塔什库尔干县旅游局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1,391.61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，与上年相比，增加15.36万元，增长1.12%，增加的主要原因是：</w:t>
      </w:r>
      <w:r>
        <w:rPr>
          <w:rFonts w:hint="eastAsia" w:ascii="仿宋_GB2312" w:eastAsia="仿宋_GB2312"/>
          <w:color w:val="000000" w:themeColor="text1"/>
          <w:sz w:val="32"/>
          <w:szCs w:val="32"/>
        </w:rPr>
        <w:t>一是政策性工资上调：其中基本工资上调、津贴补贴上调、高海拔地区工龄工资上调及补发；二是机关运行经费增加，以上费用的增加导致本年决算数较上年数增加；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1,391.61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，与上年相比，增加15.36万元，增长1.12%，增加的主要原因是：</w:t>
      </w:r>
      <w:r>
        <w:rPr>
          <w:rFonts w:hint="eastAsia" w:ascii="仿宋_GB2312" w:eastAsia="仿宋_GB2312"/>
          <w:color w:val="000000" w:themeColor="text1"/>
          <w:sz w:val="32"/>
          <w:szCs w:val="32"/>
        </w:rPr>
        <w:t>一是政策性工资上调：其中基本工资上调、津贴补贴上调、高海拔地区工龄工资上调及补发；二是机关运行经费增加，以上费用的增加导致本年决算数较上年数增加；</w:t>
      </w:r>
      <w:bookmarkEnd w:id="7"/>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ascii="仿宋_GB2312" w:eastAsia="仿宋_GB2312"/>
          <w:color w:val="000000"/>
          <w:sz w:val="32"/>
          <w:szCs w:val="32"/>
        </w:rPr>
        <w:t>无变化。</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1,391.61</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1,391.61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况：本年收入年初预算数145.33万元</w:t>
      </w:r>
      <w:r>
        <w:rPr>
          <w:rFonts w:hint="eastAsia" w:ascii="仿宋_GB2312" w:eastAsia="仿宋_GB2312"/>
          <w:sz w:val="32"/>
          <w:szCs w:val="32"/>
        </w:rPr>
        <w:t>，决算数1,391.61万元</w:t>
      </w:r>
      <w:r>
        <w:rPr>
          <w:rFonts w:ascii="仿宋_GB2312" w:eastAsia="仿宋_GB2312"/>
          <w:sz w:val="32"/>
          <w:szCs w:val="32"/>
        </w:rPr>
        <w:t>，预决算差异率857.55%，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bookmarkEnd w:id="1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1,391.61</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233.96</w:t>
      </w:r>
      <w:r>
        <w:rPr>
          <w:rFonts w:hint="eastAsia" w:ascii="仿宋_GB2312" w:eastAsia="仿宋_GB2312"/>
          <w:color w:val="000000" w:themeColor="text1"/>
          <w:sz w:val="32"/>
          <w:szCs w:val="32"/>
        </w:rPr>
        <w:t>万元，占</w:t>
      </w:r>
      <w:r>
        <w:rPr>
          <w:rFonts w:hint="eastAsia" w:ascii="仿宋_GB2312" w:eastAsia="仿宋_GB2312"/>
          <w:sz w:val="32"/>
          <w:szCs w:val="32"/>
        </w:rPr>
        <w:t>16.81%</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1,157.65</w:t>
      </w:r>
      <w:r>
        <w:rPr>
          <w:rFonts w:hint="eastAsia" w:ascii="仿宋_GB2312" w:eastAsia="仿宋_GB2312"/>
          <w:color w:val="000000" w:themeColor="text1"/>
          <w:sz w:val="32"/>
          <w:szCs w:val="32"/>
        </w:rPr>
        <w:t>万元，占</w:t>
      </w:r>
      <w:r>
        <w:rPr>
          <w:rFonts w:hint="eastAsia" w:ascii="仿宋_GB2312" w:eastAsia="仿宋_GB2312"/>
          <w:sz w:val="32"/>
          <w:szCs w:val="32"/>
        </w:rPr>
        <w:t>83.19%</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b/>
          <w:bCs/>
          <w:sz w:val="32"/>
          <w:szCs w:val="32"/>
          <w:lang w:eastAsia="zh-CN"/>
        </w:rPr>
        <w:t>。</w:t>
      </w:r>
    </w:p>
    <w:p>
      <w:pPr>
        <w:spacing w:line="540" w:lineRule="exact"/>
        <w:ind w:firstLine="640" w:firstLineChars="200"/>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与年初预算数相比情况：本年支出年初预算数145.33万元，</w:t>
      </w:r>
      <w:r>
        <w:rPr>
          <w:rFonts w:hint="eastAsia" w:ascii="仿宋_GB2312" w:eastAsia="仿宋_GB2312"/>
          <w:sz w:val="32"/>
          <w:szCs w:val="32"/>
        </w:rPr>
        <w:t>决算数1,391.61万元</w:t>
      </w:r>
      <w:r>
        <w:rPr>
          <w:rFonts w:ascii="仿宋_GB2312" w:eastAsia="仿宋_GB2312"/>
          <w:sz w:val="32"/>
          <w:szCs w:val="32"/>
        </w:rPr>
        <w:t>，预决算差异率857.55%，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p>
    <w:bookmarkEnd w:id="21"/>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2" w:name="OLE_LINK57"/>
      <w:bookmarkStart w:id="23" w:name="OLE_LINK58"/>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1,391.61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15.36万元，增长1.12%，增加的主要原因是：一是政策性工资上调：其中基本工资上调、津贴补贴上调、高海拔地区工龄工资上调及补发；二是机关运行经费增加，以上费用的增加导致本年决算数较上年数增加。</w:t>
      </w:r>
      <w:bookmarkEnd w:id="22"/>
      <w:bookmarkEnd w:id="23"/>
      <w:bookmarkStart w:id="25" w:name="OLE_LINK14"/>
      <w:bookmarkStart w:id="26" w:name="OLE_LINK60"/>
      <w:bookmarkStart w:id="27" w:name="OLE_LINK59"/>
      <w:r>
        <w:rPr>
          <w:rFonts w:hint="eastAsia" w:ascii="仿宋_GB2312" w:eastAsia="仿宋_GB2312"/>
          <w:color w:val="000000" w:themeColor="text1"/>
          <w:sz w:val="32"/>
          <w:szCs w:val="32"/>
        </w:rPr>
        <w:t>财政拨款支出</w:t>
      </w:r>
      <w:bookmarkEnd w:id="25"/>
      <w:r>
        <w:rPr>
          <w:rFonts w:hint="eastAsia" w:ascii="仿宋_GB2312" w:eastAsia="仿宋_GB2312"/>
          <w:sz w:val="32"/>
          <w:szCs w:val="32"/>
        </w:rPr>
        <w:t>1,391.61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，与上年相比，增加15.36万元，增长1.12%，增加的主要原因是：</w:t>
      </w:r>
      <w:r>
        <w:rPr>
          <w:rFonts w:ascii="仿宋_GB2312" w:eastAsia="仿宋_GB2312"/>
          <w:sz w:val="32"/>
          <w:szCs w:val="32"/>
        </w:rPr>
        <w:t>一是政策性工资上调：其中基本工资上调、津贴补贴上调、高海拔地区工龄工资上调及补发；二是机关运行经费增加，以上费用的增加导致本年决算数较上年数增加。</w:t>
      </w:r>
      <w:bookmarkEnd w:id="26"/>
      <w:bookmarkEnd w:id="27"/>
      <w:bookmarkStart w:id="28" w:name="OLE_LINK61"/>
      <w:r>
        <w:rPr>
          <w:rFonts w:hint="eastAsia" w:ascii="仿宋_GB2312" w:eastAsia="仿宋_GB2312"/>
          <w:color w:val="000000" w:themeColor="text1"/>
          <w:sz w:val="32"/>
          <w:szCs w:val="32"/>
        </w:rPr>
        <w:t>其中：</w:t>
      </w:r>
      <w:bookmarkStart w:id="29" w:name="OLE_LINK15"/>
      <w:r>
        <w:rPr>
          <w:rFonts w:hint="eastAsia" w:ascii="仿宋_GB2312" w:eastAsia="仿宋_GB2312"/>
          <w:color w:val="000000" w:themeColor="text1"/>
          <w:sz w:val="32"/>
          <w:szCs w:val="32"/>
        </w:rPr>
        <w:t>基本支出</w:t>
      </w:r>
      <w:bookmarkEnd w:id="29"/>
      <w:r>
        <w:rPr>
          <w:rFonts w:hint="eastAsia" w:ascii="仿宋_GB2312" w:eastAsia="仿宋_GB2312"/>
          <w:sz w:val="32"/>
          <w:szCs w:val="32"/>
        </w:rPr>
        <w:t>233.96</w:t>
      </w:r>
      <w:r>
        <w:rPr>
          <w:rFonts w:hint="eastAsia" w:ascii="仿宋_GB2312" w:eastAsia="仿宋_GB2312"/>
          <w:color w:val="000000" w:themeColor="text1"/>
          <w:sz w:val="32"/>
          <w:szCs w:val="32"/>
        </w:rPr>
        <w:t>万元，项目支出</w:t>
      </w:r>
      <w:r>
        <w:rPr>
          <w:rFonts w:hint="eastAsia" w:ascii="仿宋_GB2312" w:eastAsia="仿宋_GB2312"/>
          <w:sz w:val="32"/>
          <w:szCs w:val="32"/>
        </w:rPr>
        <w:t>1,157.65</w:t>
      </w:r>
      <w:r>
        <w:rPr>
          <w:rFonts w:hint="eastAsia" w:ascii="仿宋_GB2312" w:eastAsia="仿宋_GB2312"/>
          <w:color w:val="000000" w:themeColor="text1"/>
          <w:sz w:val="32"/>
          <w:szCs w:val="32"/>
        </w:rPr>
        <w:t>万元。</w:t>
      </w:r>
      <w:bookmarkEnd w:id="28"/>
      <w:bookmarkStart w:id="30" w:name="OLE_LINK16"/>
      <w:bookmarkStart w:id="31" w:name="OLE_LINK62"/>
      <w:r>
        <w:rPr>
          <w:rFonts w:hint="eastAsia" w:ascii="仿宋_GB2312" w:eastAsia="仿宋_GB2312"/>
          <w:color w:val="000000"/>
          <w:sz w:val="32"/>
          <w:szCs w:val="32"/>
        </w:rPr>
        <w:t>财政拨款结转结余</w:t>
      </w:r>
      <w:bookmarkEnd w:id="30"/>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145.33</w:t>
      </w:r>
      <w:r>
        <w:rPr>
          <w:rFonts w:hint="eastAsia" w:ascii="仿宋_GB2312" w:eastAsia="仿宋_GB2312"/>
          <w:color w:val="000000" w:themeColor="text1"/>
          <w:sz w:val="32"/>
          <w:szCs w:val="32"/>
        </w:rPr>
        <w:t>万元，决算数</w:t>
      </w:r>
      <w:r>
        <w:rPr>
          <w:rFonts w:hint="eastAsia" w:ascii="仿宋_GB2312" w:eastAsia="仿宋_GB2312"/>
          <w:sz w:val="32"/>
          <w:szCs w:val="32"/>
        </w:rPr>
        <w:t>1,391.61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857.55%，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145.33</w:t>
      </w:r>
      <w:r>
        <w:rPr>
          <w:rFonts w:hint="eastAsia" w:ascii="仿宋_GB2312" w:eastAsia="仿宋_GB2312"/>
          <w:color w:val="000000" w:themeColor="text1"/>
          <w:sz w:val="32"/>
          <w:szCs w:val="32"/>
        </w:rPr>
        <w:t>万元，决算数</w:t>
      </w:r>
      <w:r>
        <w:rPr>
          <w:rFonts w:hint="eastAsia" w:ascii="仿宋_GB2312" w:eastAsia="仿宋_GB2312"/>
          <w:sz w:val="32"/>
          <w:szCs w:val="32"/>
        </w:rPr>
        <w:t>1,391.61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857.55%，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1,201.61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，与上年相比，减少24.64万元，下降2.01%，减少的主要原因是：2018年相比较2017年项目经费压缩减少导致一般公共预算财政拨款收入减少。</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1,201.61</w:t>
      </w:r>
      <w:r>
        <w:rPr>
          <w:rFonts w:hint="eastAsia" w:ascii="仿宋_GB2312" w:eastAsia="仿宋_GB2312"/>
          <w:color w:val="000000" w:themeColor="text1"/>
          <w:sz w:val="32"/>
          <w:szCs w:val="32"/>
        </w:rPr>
        <w:t>万元</w:t>
      </w:r>
      <w:bookmarkEnd w:id="35"/>
      <w:r>
        <w:rPr>
          <w:rFonts w:hint="eastAsia" w:ascii="仿宋_GB2312" w:eastAsia="仿宋_GB2312"/>
          <w:sz w:val="32"/>
          <w:szCs w:val="32"/>
        </w:rPr>
        <w:t>，与上年相比，减少24.64万元，下降2.01%，减少的主要原因是：2018年相比较2017年项目经费压缩减少导致一般公共预算财政拨款收入减少。</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住房保障支出9.21万元,城乡社区支出14.05万元,农林水支出953.6万元,商业服务业等支出211.25万元,社会保障和就业支出13.5万元。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工资福利支出139.85万元,商品和服务支出94.11万元</w:t>
      </w:r>
      <w:r>
        <w:rPr>
          <w:rFonts w:hint="eastAsia" w:ascii="仿宋_GB2312" w:eastAsia="仿宋_GB2312"/>
          <w:sz w:val="32"/>
          <w:szCs w:val="32"/>
          <w:lang w:val="en-US" w:eastAsia="zh-CN"/>
        </w:rPr>
        <w:t>,资本性支967.65万元</w:t>
      </w:r>
      <w:r>
        <w:rPr>
          <w:rFonts w:hint="eastAsia" w:ascii="仿宋_GB2312" w:eastAsia="仿宋_GB2312"/>
          <w:sz w:val="32"/>
          <w:szCs w:val="32"/>
        </w:rPr>
        <w:t>。</w:t>
      </w:r>
      <w:bookmarkStart w:id="87" w:name="_GoBack"/>
      <w:bookmarkEnd w:id="87"/>
    </w:p>
    <w:p>
      <w:pPr>
        <w:spacing w:line="540" w:lineRule="exact"/>
        <w:ind w:firstLine="640" w:firstLineChars="200"/>
        <w:rPr>
          <w:rFonts w:ascii="仿宋_GB2312" w:eastAsia="仿宋_GB2312"/>
          <w:color w:val="000000" w:themeColor="text1"/>
          <w:sz w:val="32"/>
          <w:szCs w:val="32"/>
        </w:rPr>
      </w:pPr>
      <w:bookmarkStart w:id="40" w:name="OLE_LINK67"/>
      <w:bookmarkStart w:id="41"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145.33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1,201.61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726.81%，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bookmarkEnd w:id="40"/>
      <w:bookmarkEnd w:id="41"/>
      <w:bookmarkStart w:id="42"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145.33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1,201.61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726.81%，差异主要原因是2018年项目支出未纳入年初预算，其中：帕米尔旅游景区塔吉克民俗村风貌景观改造建设项目、塔什库尔干县314国道道路景观提升改造建设项目、塔什库尔干县帕米尔景区星级旅游厕所建设项目，以上三个项目合计支出1157.65万元导致2018年预决算数出现差异。</w:t>
      </w:r>
      <w:bookmarkEnd w:id="4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3" w:name="OLE_LINK69"/>
      <w:r>
        <w:rPr>
          <w:rFonts w:hint="eastAsia" w:ascii="仿宋_GB2312" w:eastAsia="仿宋_GB2312"/>
          <w:color w:val="000000" w:themeColor="text1"/>
          <w:sz w:val="32"/>
          <w:szCs w:val="32"/>
        </w:rPr>
        <w:t>2018年度</w:t>
      </w:r>
      <w:bookmarkStart w:id="44" w:name="OLE_LINK22"/>
      <w:r>
        <w:rPr>
          <w:rFonts w:hint="eastAsia" w:ascii="仿宋_GB2312" w:eastAsia="仿宋_GB2312"/>
          <w:color w:val="000000" w:themeColor="text1"/>
          <w:sz w:val="32"/>
          <w:szCs w:val="32"/>
        </w:rPr>
        <w:t>政府性基金预算财政拨款收入</w:t>
      </w:r>
      <w:bookmarkEnd w:id="44"/>
      <w:r>
        <w:rPr>
          <w:rFonts w:hint="eastAsia" w:ascii="仿宋_GB2312" w:eastAsia="仿宋_GB2312"/>
          <w:sz w:val="32"/>
          <w:szCs w:val="32"/>
        </w:rPr>
        <w:t>190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40万元，增长26.67%，增加的主要原因是：2018年度政府性专项基金上级补助比上年多40万元，主要用于塔什库尔干县帕米尔景区星级旅游厕所建设项目，导致2018年度政府性基金预算财政拨款收入增加。</w:t>
      </w:r>
      <w:bookmarkEnd w:id="43"/>
      <w:bookmarkStart w:id="45" w:name="OLE_LINK23"/>
      <w:bookmarkStart w:id="46" w:name="OLE_LINK70"/>
      <w:r>
        <w:rPr>
          <w:rFonts w:hint="eastAsia" w:ascii="仿宋_GB2312" w:eastAsia="仿宋_GB2312"/>
          <w:color w:val="000000" w:themeColor="text1"/>
          <w:sz w:val="32"/>
          <w:szCs w:val="32"/>
        </w:rPr>
        <w:t>政府性基金预算支出</w:t>
      </w:r>
      <w:bookmarkEnd w:id="45"/>
      <w:r>
        <w:rPr>
          <w:rFonts w:hint="eastAsia" w:ascii="仿宋_GB2312" w:eastAsia="仿宋_GB2312"/>
          <w:sz w:val="32"/>
          <w:szCs w:val="32"/>
        </w:rPr>
        <w:t>190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40万元，增长26.67%，增加的主要原因是：2018年度政府性专项基金上级补助比上年多40万元，主要用于塔什库尔干县帕米尔景区星级旅游厕所建设项目，导致2018年度政府性基金预算财政拨款支出增加。</w:t>
      </w:r>
      <w:bookmarkEnd w:id="46"/>
      <w:r>
        <w:rPr>
          <w:rFonts w:hint="eastAsia" w:ascii="仿宋_GB2312" w:eastAsia="仿宋_GB2312"/>
          <w:color w:val="000000" w:themeColor="text1"/>
          <w:sz w:val="32"/>
          <w:szCs w:val="32"/>
        </w:rPr>
        <w:t>其中：</w:t>
      </w:r>
      <w:bookmarkStart w:id="47" w:name="OLE_LINK24"/>
      <w:r>
        <w:rPr>
          <w:rFonts w:hint="eastAsia" w:ascii="仿宋_GB2312" w:eastAsia="仿宋_GB2312"/>
          <w:color w:val="000000" w:themeColor="text1"/>
          <w:sz w:val="32"/>
          <w:szCs w:val="32"/>
        </w:rPr>
        <w:t>按功能分类科目（按类级科目公开）</w:t>
      </w:r>
      <w:bookmarkEnd w:id="47"/>
      <w:r>
        <w:rPr>
          <w:rFonts w:hint="eastAsia" w:ascii="仿宋_GB2312" w:eastAsia="仿宋_GB2312"/>
          <w:color w:val="000000" w:themeColor="text1"/>
          <w:sz w:val="32"/>
          <w:szCs w:val="32"/>
        </w:rPr>
        <w:t>，商业服务业等支出190万元。按经济分类科目（按类级科目公开），资本性支出190万元。</w:t>
      </w:r>
    </w:p>
    <w:p>
      <w:pPr>
        <w:spacing w:line="540" w:lineRule="exact"/>
        <w:ind w:firstLine="640" w:firstLineChars="200"/>
        <w:rPr>
          <w:rFonts w:ascii="仿宋_GB2312" w:eastAsia="仿宋_GB2312"/>
          <w:color w:val="000000" w:themeColor="text1"/>
          <w:sz w:val="32"/>
          <w:szCs w:val="32"/>
        </w:rPr>
      </w:pPr>
      <w:bookmarkStart w:id="48" w:name="OLE_LINK72"/>
      <w:bookmarkStart w:id="49"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190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w:t>
      </w:r>
      <w:r>
        <w:rPr>
          <w:rFonts w:hint="eastAsia" w:ascii="仿宋_GB2312" w:eastAsia="仿宋_GB2312"/>
          <w:color w:val="000000" w:themeColor="text1"/>
          <w:sz w:val="32"/>
          <w:szCs w:val="32"/>
          <w:lang w:val="en-US" w:eastAsia="zh-CN"/>
        </w:rPr>
        <w:t>2018年</w:t>
      </w:r>
      <w:r>
        <w:rPr>
          <w:rFonts w:hint="eastAsia" w:ascii="仿宋_GB2312" w:eastAsia="仿宋_GB2312"/>
          <w:sz w:val="32"/>
          <w:szCs w:val="32"/>
        </w:rPr>
        <w:t>塔什库尔干县帕米尔景区星级旅游厕所建设项目</w:t>
      </w:r>
      <w:r>
        <w:rPr>
          <w:rFonts w:hint="eastAsia" w:ascii="仿宋_GB2312" w:eastAsia="仿宋_GB2312"/>
          <w:sz w:val="32"/>
          <w:szCs w:val="32"/>
          <w:lang w:eastAsia="zh-CN"/>
        </w:rPr>
        <w:t>年初未纳入预算</w:t>
      </w:r>
      <w:r>
        <w:rPr>
          <w:rFonts w:ascii="仿宋_GB2312" w:eastAsia="仿宋_GB2312"/>
          <w:color w:val="000000" w:themeColor="text1"/>
          <w:sz w:val="32"/>
          <w:szCs w:val="32"/>
        </w:rPr>
        <w:t>。</w:t>
      </w:r>
      <w:bookmarkEnd w:id="48"/>
      <w:bookmarkEnd w:id="49"/>
      <w:bookmarkStart w:id="50"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190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w:t>
      </w:r>
      <w:r>
        <w:rPr>
          <w:rFonts w:hint="eastAsia" w:ascii="仿宋_GB2312" w:eastAsia="仿宋_GB2312"/>
          <w:sz w:val="32"/>
          <w:szCs w:val="32"/>
        </w:rPr>
        <w:t>塔什库尔干县帕米尔景区星级旅游厕所建设项目</w:t>
      </w:r>
      <w:r>
        <w:rPr>
          <w:rFonts w:hint="eastAsia" w:ascii="仿宋_GB2312" w:eastAsia="仿宋_GB2312"/>
          <w:sz w:val="32"/>
          <w:szCs w:val="32"/>
          <w:lang w:eastAsia="zh-CN"/>
        </w:rPr>
        <w:t>年初未纳入预算</w:t>
      </w:r>
      <w:r>
        <w:rPr>
          <w:rFonts w:ascii="仿宋_GB2312" w:eastAsia="仿宋_GB2312"/>
          <w:color w:val="000000" w:themeColor="text1"/>
          <w:sz w:val="32"/>
          <w:szCs w:val="32"/>
        </w:rPr>
        <w:t>。</w:t>
      </w:r>
      <w:bookmarkEnd w:id="50"/>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1" w:name="OLE_LINK74"/>
      <w:r>
        <w:rPr>
          <w:rFonts w:hint="eastAsia" w:ascii="仿宋_GB2312" w:eastAsia="仿宋_GB2312"/>
          <w:color w:val="000000" w:themeColor="text1"/>
          <w:sz w:val="32"/>
          <w:szCs w:val="32"/>
        </w:rPr>
        <w:t>2018年度</w:t>
      </w:r>
      <w:bookmarkStart w:id="52" w:name="OLE_LINK29"/>
      <w:r>
        <w:rPr>
          <w:rFonts w:hint="eastAsia" w:ascii="仿宋_GB2312" w:eastAsia="仿宋_GB2312"/>
          <w:color w:val="000000" w:themeColor="text1"/>
          <w:sz w:val="32"/>
          <w:szCs w:val="32"/>
        </w:rPr>
        <w:t>一般公共预算“三公”经费支出决算</w:t>
      </w:r>
      <w:bookmarkEnd w:id="52"/>
      <w:r>
        <w:rPr>
          <w:rFonts w:hint="eastAsia" w:ascii="仿宋_GB2312" w:eastAsia="仿宋_GB2312"/>
          <w:sz w:val="32"/>
          <w:szCs w:val="32"/>
        </w:rPr>
        <w:t>1.84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，与上年相比，增加0.17万元，增长10.18%，增加的主要原因是：公务用车运行维护费增加。</w:t>
      </w:r>
      <w:bookmarkEnd w:id="51"/>
      <w:bookmarkStart w:id="53" w:name="OLE_LINK75"/>
      <w:r>
        <w:rPr>
          <w:rFonts w:hint="eastAsia" w:ascii="仿宋_GB2312" w:eastAsia="仿宋_GB2312"/>
          <w:color w:val="000000" w:themeColor="text1"/>
          <w:sz w:val="32"/>
          <w:szCs w:val="32"/>
        </w:rPr>
        <w:t>其中，</w:t>
      </w:r>
      <w:bookmarkStart w:id="54" w:name="OLE_LINK30"/>
      <w:r>
        <w:rPr>
          <w:rFonts w:hint="eastAsia" w:ascii="仿宋_GB2312" w:eastAsia="仿宋_GB2312"/>
          <w:color w:val="000000" w:themeColor="text1"/>
          <w:sz w:val="32"/>
          <w:szCs w:val="32"/>
        </w:rPr>
        <w:t>因公出国（境）费支出</w:t>
      </w:r>
      <w:bookmarkEnd w:id="5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3"/>
      <w:bookmarkStart w:id="55" w:name="OLE_LINK31"/>
      <w:bookmarkStart w:id="56" w:name="OLE_LINK76"/>
      <w:r>
        <w:rPr>
          <w:rFonts w:hint="eastAsia" w:ascii="仿宋_GB2312" w:eastAsia="仿宋_GB2312"/>
          <w:color w:val="000000" w:themeColor="text1"/>
          <w:sz w:val="32"/>
          <w:szCs w:val="32"/>
        </w:rPr>
        <w:t>公务用车购置及运行维护费支出</w:t>
      </w:r>
      <w:bookmarkEnd w:id="55"/>
      <w:r>
        <w:rPr>
          <w:rFonts w:hint="eastAsia" w:ascii="仿宋_GB2312" w:eastAsia="仿宋_GB2312"/>
          <w:sz w:val="32"/>
          <w:szCs w:val="32"/>
        </w:rPr>
        <w:t>1.84</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100%，与上年相比，增加0.17万元，增长10.18%，增加的主要原因是：公务用车运行维护费增加；</w:t>
      </w:r>
      <w:bookmarkEnd w:id="56"/>
      <w:bookmarkStart w:id="57" w:name="OLE_LINK32"/>
      <w:bookmarkStart w:id="58" w:name="OLE_LINK77"/>
      <w:bookmarkStart w:id="59" w:name="OLE_LINK78"/>
      <w:r>
        <w:rPr>
          <w:rFonts w:hint="eastAsia" w:ascii="仿宋_GB2312" w:eastAsia="仿宋_GB2312"/>
          <w:color w:val="000000" w:themeColor="text1"/>
          <w:sz w:val="32"/>
          <w:szCs w:val="32"/>
        </w:rPr>
        <w:t>公务接待费支出</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8"/>
      <w:bookmarkEnd w:id="59"/>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0" w:name="OLE_LINK79"/>
      <w:bookmarkStart w:id="61"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新疆喀什地区塔什库尔干县旅游局</w:t>
      </w:r>
      <w:r>
        <w:rPr>
          <w:rFonts w:hint="eastAsia" w:ascii="仿宋_GB2312" w:eastAsia="仿宋_GB2312"/>
          <w:color w:val="000000" w:themeColor="text1"/>
          <w:sz w:val="32"/>
          <w:szCs w:val="32"/>
        </w:rPr>
        <w:t>单位</w:t>
      </w:r>
      <w:bookmarkStart w:id="62" w:name="OLE_LINK33"/>
      <w:r>
        <w:rPr>
          <w:rFonts w:hint="eastAsia" w:ascii="仿宋_GB2312" w:eastAsia="仿宋_GB2312"/>
          <w:color w:val="000000" w:themeColor="text1"/>
          <w:sz w:val="32"/>
          <w:szCs w:val="32"/>
        </w:rPr>
        <w:t>全年</w:t>
      </w:r>
      <w:bookmarkStart w:id="63" w:name="OLE_LINK34"/>
      <w:bookmarkStart w:id="64" w:name="OLE_LINK35"/>
      <w:bookmarkStart w:id="65" w:name="OLE_LINK36"/>
      <w:r>
        <w:rPr>
          <w:rFonts w:hint="eastAsia" w:ascii="仿宋_GB2312" w:eastAsia="仿宋_GB2312"/>
          <w:color w:val="000000" w:themeColor="text1"/>
          <w:sz w:val="32"/>
          <w:szCs w:val="32"/>
        </w:rPr>
        <w:t>使用一般公共预算财政拨款安排的出国（境）团组</w:t>
      </w:r>
      <w:bookmarkEnd w:id="62"/>
      <w:bookmarkEnd w:id="63"/>
      <w:bookmarkEnd w:id="64"/>
      <w:r>
        <w:rPr>
          <w:rFonts w:hint="eastAsia" w:ascii="仿宋_GB2312" w:eastAsia="仿宋_GB2312"/>
          <w:sz w:val="32"/>
          <w:szCs w:val="32"/>
        </w:rPr>
        <w:t>0</w:t>
      </w:r>
      <w:r>
        <w:rPr>
          <w:rFonts w:hint="eastAsia" w:ascii="仿宋_GB2312" w:eastAsia="仿宋_GB2312"/>
          <w:color w:val="000000" w:themeColor="text1"/>
          <w:sz w:val="32"/>
          <w:szCs w:val="32"/>
        </w:rPr>
        <w:t>个</w:t>
      </w:r>
      <w:bookmarkEnd w:id="65"/>
      <w:r>
        <w:rPr>
          <w:rFonts w:hint="eastAsia" w:ascii="仿宋_GB2312" w:eastAsia="仿宋_GB2312"/>
          <w:color w:val="000000" w:themeColor="text1"/>
          <w:sz w:val="32"/>
          <w:szCs w:val="32"/>
        </w:rPr>
        <w:t>，</w:t>
      </w:r>
      <w:bookmarkStart w:id="66"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r>
        <w:rPr>
          <w:rFonts w:hint="eastAsia" w:ascii="仿宋_GB2312" w:eastAsia="仿宋_GB2312"/>
          <w:color w:val="000000" w:themeColor="text1"/>
          <w:sz w:val="32"/>
          <w:szCs w:val="32"/>
        </w:rPr>
        <w:t>。</w:t>
      </w:r>
      <w:bookmarkStart w:id="67"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60"/>
      <w:bookmarkEnd w:id="61"/>
      <w:bookmarkEnd w:id="67"/>
    </w:p>
    <w:p>
      <w:pPr>
        <w:spacing w:line="540" w:lineRule="exact"/>
        <w:ind w:firstLine="640" w:firstLineChars="200"/>
        <w:rPr>
          <w:rFonts w:ascii="仿宋_GB2312" w:eastAsia="仿宋_GB2312"/>
          <w:color w:val="000000" w:themeColor="text1"/>
          <w:sz w:val="32"/>
          <w:szCs w:val="32"/>
        </w:rPr>
      </w:pPr>
      <w:bookmarkStart w:id="68"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1.84</w:t>
      </w:r>
      <w:r>
        <w:rPr>
          <w:rFonts w:hint="eastAsia" w:ascii="仿宋_GB2312" w:eastAsia="仿宋_GB2312"/>
          <w:color w:val="000000" w:themeColor="text1"/>
          <w:sz w:val="32"/>
          <w:szCs w:val="32"/>
        </w:rPr>
        <w:t>万元,其中，</w:t>
      </w:r>
      <w:bookmarkStart w:id="69"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9"/>
      <w:r>
        <w:rPr>
          <w:rFonts w:hint="eastAsia" w:ascii="仿宋_GB2312" w:eastAsia="仿宋_GB2312"/>
          <w:color w:val="000000" w:themeColor="text1"/>
          <w:sz w:val="32"/>
          <w:szCs w:val="32"/>
        </w:rPr>
        <w:t>，</w:t>
      </w:r>
      <w:bookmarkStart w:id="70" w:name="OLE_LINK41"/>
      <w:bookmarkStart w:id="71"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1.84</w:t>
      </w:r>
      <w:r>
        <w:rPr>
          <w:rFonts w:hint="eastAsia" w:ascii="仿宋_GB2312" w:eastAsia="仿宋_GB2312"/>
          <w:color w:val="000000" w:themeColor="text1"/>
          <w:sz w:val="32"/>
          <w:szCs w:val="32"/>
        </w:rPr>
        <w:t>万元</w:t>
      </w:r>
      <w:bookmarkEnd w:id="70"/>
      <w:bookmarkEnd w:id="71"/>
      <w:r>
        <w:rPr>
          <w:rFonts w:hint="eastAsia" w:ascii="仿宋_GB2312" w:eastAsia="仿宋_GB2312"/>
          <w:color w:val="000000" w:themeColor="text1"/>
          <w:sz w:val="32"/>
          <w:szCs w:val="32"/>
        </w:rPr>
        <w:t>。主要用于</w:t>
      </w:r>
      <w:r>
        <w:rPr>
          <w:rFonts w:hint="eastAsia" w:ascii="仿宋_GB2312" w:eastAsia="仿宋_GB2312"/>
          <w:sz w:val="32"/>
          <w:szCs w:val="32"/>
        </w:rPr>
        <w:t>车辆维修维护费、加油费、保险费等支出</w:t>
      </w:r>
      <w:r>
        <w:rPr>
          <w:rFonts w:hint="eastAsia" w:ascii="仿宋_GB2312" w:eastAsia="仿宋_GB2312"/>
          <w:color w:val="000000" w:themeColor="text1"/>
          <w:sz w:val="32"/>
          <w:szCs w:val="32"/>
        </w:rPr>
        <w:t>。</w:t>
      </w:r>
      <w:bookmarkEnd w:id="68"/>
      <w:bookmarkStart w:id="72"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2"/>
    </w:p>
    <w:p>
      <w:pPr>
        <w:spacing w:line="540" w:lineRule="exact"/>
        <w:ind w:firstLine="640" w:firstLineChars="200"/>
        <w:rPr>
          <w:rFonts w:ascii="仿宋_GB2312" w:eastAsia="仿宋_GB2312"/>
          <w:color w:val="000000" w:themeColor="text1"/>
          <w:sz w:val="32"/>
          <w:szCs w:val="32"/>
        </w:rPr>
      </w:pPr>
      <w:bookmarkStart w:id="73"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本年无国内公务接待支出</w:t>
      </w:r>
      <w:r>
        <w:rPr>
          <w:rFonts w:hint="eastAsia" w:ascii="仿宋_GB2312" w:eastAsia="仿宋_GB2312"/>
          <w:color w:val="000000" w:themeColor="text1"/>
          <w:sz w:val="32"/>
          <w:szCs w:val="32"/>
        </w:rPr>
        <w:t>等。</w:t>
      </w:r>
      <w:bookmarkEnd w:id="73"/>
      <w:bookmarkStart w:id="74" w:name="OLE_LINK84"/>
      <w:r>
        <w:rPr>
          <w:rFonts w:hint="eastAsia" w:ascii="仿宋_GB2312" w:eastAsia="仿宋_GB2312"/>
          <w:sz w:val="32"/>
          <w:szCs w:val="32"/>
        </w:rPr>
        <w:t>新疆喀什地区塔什库尔干县旅游局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4"/>
    </w:p>
    <w:p>
      <w:pPr>
        <w:spacing w:line="540" w:lineRule="exact"/>
        <w:ind w:firstLine="640" w:firstLineChars="200"/>
        <w:rPr>
          <w:rFonts w:ascii="仿宋_GB2312" w:hAnsi="宋体" w:eastAsia="仿宋_GB2312" w:cs="宋体"/>
          <w:color w:val="000000" w:themeColor="text1"/>
          <w:kern w:val="0"/>
          <w:sz w:val="32"/>
          <w:szCs w:val="32"/>
        </w:rPr>
      </w:pPr>
      <w:bookmarkStart w:id="75"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万元，决算数1.84万元</w:t>
      </w:r>
      <w:r>
        <w:rPr>
          <w:rFonts w:ascii="仿宋_GB2312" w:eastAsia="仿宋_GB2312"/>
          <w:color w:val="000000" w:themeColor="text1"/>
          <w:sz w:val="32"/>
          <w:szCs w:val="32"/>
        </w:rPr>
        <w:t>，预决算差异率-54%，差异主要原因是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5"/>
      <w:bookmarkStart w:id="76" w:name="OLE_LINK86"/>
      <w:bookmarkStart w:id="77"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6"/>
      <w:bookmarkEnd w:id="77"/>
      <w:bookmarkStart w:id="78" w:name="OLE_LINK89"/>
      <w:bookmarkStart w:id="79"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8"/>
      <w:bookmarkEnd w:id="79"/>
      <w:bookmarkStart w:id="80"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0"/>
      <w:bookmarkStart w:id="81"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1"/>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2018年度新疆喀什地区塔什库尔干县旅游局机关运行经费支出94.11万元，与上年相比，增加54.53万元，增长137.77%，增加的主要原因是：因2018年我县创建国家5A级旅游景区，发生</w:t>
      </w:r>
      <w:r>
        <w:rPr>
          <w:rFonts w:hint="eastAsia" w:ascii="仿宋_GB2312" w:eastAsia="仿宋_GB2312"/>
          <w:color w:val="000000" w:themeColor="text1"/>
          <w:sz w:val="32"/>
          <w:szCs w:val="32"/>
          <w:lang w:val="en-US" w:eastAsia="zh-CN"/>
        </w:rPr>
        <w:t>各类迎检经费</w:t>
      </w:r>
      <w:r>
        <w:rPr>
          <w:rFonts w:hint="eastAsia" w:ascii="仿宋_GB2312" w:eastAsia="仿宋_GB2312"/>
          <w:color w:val="000000" w:themeColor="text1"/>
          <w:sz w:val="32"/>
          <w:szCs w:val="32"/>
        </w:rPr>
        <w:t>较多、专家咨询</w:t>
      </w:r>
      <w:r>
        <w:rPr>
          <w:rFonts w:hint="eastAsia" w:ascii="仿宋_GB2312" w:eastAsia="仿宋_GB2312"/>
          <w:color w:val="000000" w:themeColor="text1"/>
          <w:sz w:val="32"/>
          <w:szCs w:val="32"/>
          <w:lang w:val="en-US" w:eastAsia="zh-CN"/>
        </w:rPr>
        <w:t>费</w:t>
      </w:r>
      <w:r>
        <w:rPr>
          <w:rFonts w:hint="eastAsia" w:ascii="仿宋_GB2312" w:eastAsia="仿宋_GB2312"/>
          <w:color w:val="000000" w:themeColor="text1"/>
          <w:sz w:val="32"/>
          <w:szCs w:val="32"/>
        </w:rPr>
        <w:t>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2" w:name="OLE_LINK45"/>
      <w:r>
        <w:rPr>
          <w:rFonts w:hint="eastAsia" w:ascii="仿宋_GB2312" w:eastAsia="仿宋_GB2312"/>
          <w:color w:val="000000" w:themeColor="text1"/>
          <w:sz w:val="32"/>
          <w:szCs w:val="32"/>
        </w:rPr>
        <w:t>政府采购支出总额</w:t>
      </w:r>
      <w:bookmarkEnd w:id="82"/>
      <w:r>
        <w:rPr>
          <w:rFonts w:hint="eastAsia" w:ascii="仿宋_GB2312" w:eastAsia="仿宋_GB2312"/>
          <w:sz w:val="32"/>
          <w:szCs w:val="32"/>
        </w:rPr>
        <w:t>283.02</w:t>
      </w:r>
      <w:r>
        <w:rPr>
          <w:rFonts w:hint="eastAsia" w:ascii="仿宋_GB2312" w:eastAsia="仿宋_GB2312"/>
          <w:color w:val="000000" w:themeColor="text1"/>
          <w:sz w:val="32"/>
          <w:szCs w:val="32"/>
        </w:rPr>
        <w:t>万元，其中：</w:t>
      </w:r>
      <w:bookmarkStart w:id="83" w:name="OLE_LINK46"/>
      <w:r>
        <w:rPr>
          <w:rFonts w:hint="eastAsia" w:ascii="仿宋_GB2312" w:eastAsia="仿宋_GB2312"/>
          <w:color w:val="000000" w:themeColor="text1"/>
          <w:sz w:val="32"/>
          <w:szCs w:val="32"/>
        </w:rPr>
        <w:t>政府采购货物支出</w:t>
      </w:r>
      <w:bookmarkEnd w:id="83"/>
      <w:r>
        <w:rPr>
          <w:rFonts w:hint="eastAsia" w:ascii="仿宋_GB2312" w:eastAsia="仿宋_GB2312"/>
          <w:sz w:val="32"/>
          <w:szCs w:val="32"/>
        </w:rPr>
        <w:t>169.29</w:t>
      </w:r>
      <w:r>
        <w:rPr>
          <w:rFonts w:hint="eastAsia" w:ascii="仿宋_GB2312" w:eastAsia="仿宋_GB2312"/>
          <w:color w:val="000000" w:themeColor="text1"/>
          <w:sz w:val="32"/>
          <w:szCs w:val="32"/>
        </w:rPr>
        <w:t>万元、</w:t>
      </w:r>
      <w:bookmarkStart w:id="84" w:name="OLE_LINK47"/>
      <w:r>
        <w:rPr>
          <w:rFonts w:hint="eastAsia" w:ascii="仿宋_GB2312" w:eastAsia="仿宋_GB2312"/>
          <w:color w:val="000000" w:themeColor="text1"/>
          <w:sz w:val="32"/>
          <w:szCs w:val="32"/>
        </w:rPr>
        <w:t>政府采购工程支出</w:t>
      </w:r>
      <w:bookmarkEnd w:id="84"/>
      <w:r>
        <w:rPr>
          <w:rFonts w:hint="eastAsia" w:ascii="仿宋_GB2312" w:eastAsia="仿宋_GB2312"/>
          <w:sz w:val="32"/>
          <w:szCs w:val="32"/>
        </w:rPr>
        <w:t>63.67</w:t>
      </w:r>
      <w:r>
        <w:rPr>
          <w:rFonts w:hint="eastAsia" w:ascii="仿宋_GB2312" w:eastAsia="仿宋_GB2312"/>
          <w:color w:val="000000" w:themeColor="text1"/>
          <w:sz w:val="32"/>
          <w:szCs w:val="32"/>
        </w:rPr>
        <w:t>万元、</w:t>
      </w:r>
      <w:bookmarkStart w:id="85" w:name="OLE_LINK48"/>
      <w:r>
        <w:rPr>
          <w:rFonts w:hint="eastAsia" w:ascii="仿宋_GB2312" w:eastAsia="仿宋_GB2312"/>
          <w:color w:val="000000" w:themeColor="text1"/>
          <w:sz w:val="32"/>
          <w:szCs w:val="32"/>
        </w:rPr>
        <w:t>政府采购服务支出</w:t>
      </w:r>
      <w:bookmarkEnd w:id="85"/>
      <w:r>
        <w:rPr>
          <w:rFonts w:hint="eastAsia" w:ascii="仿宋_GB2312" w:eastAsia="仿宋_GB2312"/>
          <w:sz w:val="32"/>
          <w:szCs w:val="32"/>
        </w:rPr>
        <w:t>50.06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6"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22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东风新</w:t>
      </w:r>
      <w:r>
        <w:rPr>
          <w:rFonts w:hint="eastAsia" w:ascii="仿宋_GB2312" w:eastAsia="仿宋_GB2312"/>
          <w:color w:val="000000" w:themeColor="text1"/>
          <w:sz w:val="32"/>
          <w:szCs w:val="32"/>
          <w:lang w:val="en-US" w:eastAsia="zh-CN"/>
        </w:rPr>
        <w:t>QLYU018一辆，主要用于</w:t>
      </w:r>
      <w:r>
        <w:rPr>
          <w:rFonts w:ascii="仿宋_GB2312" w:eastAsia="仿宋_GB2312"/>
          <w:color w:val="000000" w:themeColor="text1"/>
          <w:sz w:val="32"/>
          <w:szCs w:val="32"/>
        </w:rPr>
        <w:t>旅游执法</w:t>
      </w:r>
      <w:r>
        <w:rPr>
          <w:rFonts w:hint="eastAsia" w:ascii="仿宋_GB2312" w:eastAsia="仿宋_GB2312"/>
          <w:color w:val="000000" w:themeColor="text1"/>
          <w:sz w:val="32"/>
          <w:szCs w:val="32"/>
          <w:lang w:eastAsia="zh-CN"/>
        </w:rPr>
        <w:t>检查用</w:t>
      </w:r>
      <w:r>
        <w:rPr>
          <w:rFonts w:ascii="仿宋_GB2312" w:eastAsia="仿宋_GB2312"/>
          <w:color w:val="000000" w:themeColor="text1"/>
          <w:sz w:val="32"/>
          <w:szCs w:val="32"/>
        </w:rPr>
        <w:t>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预算纳入项目共3个，分别是：1、帕米尔旅游景区塔吉克民俗村风貌景观改造建设项目；2、塔什库尔干县314国道道路景观提升改造建设项目；3、塔什库尔干县帕米尔景区星级旅游厕所建设项目；预算数共计：1154.05万元，执行数共计：1157.65万元，执行率100.31%，在项目实施过程中出现的问题主要是：在项目实施过程中虽然有单位项目管理监察小组，但是存在组成人员由单位相关领导干部兼任，且项目执行过程中存在人员力量不足，项目推进缓慢等问题。针对存在问题，我单位按照项目实施管理办法、成立项目推进小组、配齐人员、明确职责分工，确保项目顺利完成。</w:t>
      </w:r>
    </w:p>
    <w:p>
      <w:pPr>
        <w:spacing w:line="540" w:lineRule="exact"/>
        <w:ind w:left="-1" w:right="-1" w:firstLine="646"/>
        <w:jc w:val="left"/>
      </w:pPr>
      <w:r>
        <w:rPr>
          <w:rFonts w:ascii="仿宋_GB2312" w:hAnsi="仿宋_GB2312" w:eastAsia="仿宋_GB2312" w:cs="仿宋_GB2312"/>
          <w:b w:val="0"/>
          <w:color w:val="auto"/>
          <w:sz w:val="32"/>
          <w:u w:val="none"/>
        </w:rPr>
        <w:t>1、帕米尔旅游景区塔吉克民俗村风貌景观改造建设项目绩效自评综述：根据年初设定的绩效目标，该项目绩效自评得分为98分。项目全年预算数为</w:t>
      </w:r>
      <w:r>
        <w:rPr>
          <w:rFonts w:hint="eastAsia" w:ascii="仿宋_GB2312" w:hAnsi="仿宋_GB2312" w:eastAsia="仿宋_GB2312" w:cs="仿宋_GB2312"/>
          <w:b w:val="0"/>
          <w:color w:val="auto"/>
          <w:sz w:val="32"/>
          <w:u w:val="none"/>
        </w:rPr>
        <w:t>953.6</w:t>
      </w:r>
      <w:r>
        <w:rPr>
          <w:rFonts w:ascii="仿宋_GB2312" w:hAnsi="仿宋_GB2312" w:eastAsia="仿宋_GB2312" w:cs="仿宋_GB2312"/>
          <w:b w:val="0"/>
          <w:color w:val="auto"/>
          <w:sz w:val="32"/>
          <w:u w:val="none"/>
        </w:rPr>
        <w:t>万元，执行数为953.6万元，完成预算的100%。主要产出和效果：1、对塔吉克民俗村22户居民房屋以及院落进行景观化处理。2、将院落原有围墙、路面、大门以及附属生产生活实施进行拆除，按照景区景观化要求进行改造，同时按照牧家乐建设标准，对房屋外立面，以及内部进行装饰装修。3、在民俗村新建一座演艺广场,面积250平方米。改造后的22户居民户和广场符合5A级景区标准，并投入使用，使居民接待游客进行经营生产，增收致富。发现的问题及原因：在项目实施过程中设置单位项目管理组织机构，但是存在组成人员由单位相关领导干部兼任，且项目执行过程中存在人员力量不足，项目推进乏力。下一步改进措施：针对存在相关问题，我单位将按照项目实施管理办法、成立组织机构、配齐人员、明确职责分工，同时在项目申报过程中进行科学论证、研究，确保项目实施中减少误差。</w:t>
      </w:r>
    </w:p>
    <w:p>
      <w:pPr>
        <w:spacing w:line="540" w:lineRule="exact"/>
        <w:ind w:left="-1" w:right="-1" w:firstLine="646"/>
        <w:jc w:val="left"/>
      </w:pPr>
      <w:r>
        <w:rPr>
          <w:rFonts w:ascii="仿宋_GB2312" w:hAnsi="仿宋_GB2312" w:eastAsia="仿宋_GB2312" w:cs="仿宋_GB2312"/>
          <w:b w:val="0"/>
          <w:color w:val="auto"/>
          <w:sz w:val="32"/>
          <w:u w:val="none"/>
        </w:rPr>
        <w:t>2、塔什库尔干县帕米尔景区星级旅游厕所建设项目绩效自评综述：根据年初设定的绩效目标，该项目绩效自评得分为100分。项目全年预算数为190万元，执行数为190万元，完成预算的100%。主要产出和效果：1、在帕米尔景区新建4座星级旅游厕所，完善厕所配套设施，新建后的厕所符合5A级旅游景区标准，改善了县城内人居环境，景区服务质量得到大幅提升。发现的问题及原因：在项目实施过程中虽然有单位项目管理监察小组，但是存在组成人员由单位相关领导干部兼任，且项目执行过程中存在人员力量不足，项目推进缓慢等问题。下一步改进措施：针对存在相关问题，我单位按照项目实施管理办法、成立项目管理监察小组、配齐人员、明确职责分工，确保以后在执行项目过程中，严格按照绩效监控工作计划以及相应的监控方案执行，确保项目实施中节约成本、及时完成，投入使用、产生效益。</w:t>
      </w:r>
    </w:p>
    <w:p>
      <w:pPr>
        <w:spacing w:line="540" w:lineRule="exact"/>
        <w:ind w:left="-1" w:right="-1" w:firstLine="646"/>
        <w:jc w:val="left"/>
      </w:pPr>
      <w:r>
        <w:rPr>
          <w:rFonts w:ascii="仿宋_GB2312" w:hAnsi="仿宋_GB2312" w:eastAsia="仿宋_GB2312" w:cs="仿宋_GB2312"/>
          <w:b w:val="0"/>
          <w:color w:val="auto"/>
          <w:sz w:val="32"/>
          <w:u w:val="none"/>
        </w:rPr>
        <w:t>3、塔什库尔干县314国道道路景观提升改造建设项目绩效自评综述：根据年初设定的绩效目标，该项目绩效自评得分为95分。项目全年预算数为14.05万元，执行数为14.05万元，完成预算的100%。主要产出和效果：对314国道位于塔什库尔干县境内的320㎡游步道进行景观化处理，使其符合国家5A级旅游景区验收标准，美化了景区环境，提升了景区形象。发现的问题及原因：在项目实施过程中虽然有单位项目管理监察小组，但是存在组成人员由单位相关领导干部兼任，且项目执行过程中存在人员力量不足，项目推进缓慢等问题。下一步改进措施：针对存在问题，我单位按照项目实施管理办法、成立项目推进小组、配齐人员、明确职责分工，确保项目顺利完成。</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216（类）60（款）04（项）指：地方旅游开发项目补助。213（类）05（款）99（项）指：其他扶贫支出。212（类）03（款）03（项）指：小城镇基础设施建设。221（类）02（款）01（项）指：住房公积金。216（类）05（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6B6D7E"/>
    <w:rsid w:val="02303ACA"/>
    <w:rsid w:val="028847F9"/>
    <w:rsid w:val="03AA79F6"/>
    <w:rsid w:val="04741FE5"/>
    <w:rsid w:val="04DB02C7"/>
    <w:rsid w:val="06B856EE"/>
    <w:rsid w:val="076C612A"/>
    <w:rsid w:val="07FE5938"/>
    <w:rsid w:val="084604BC"/>
    <w:rsid w:val="08883825"/>
    <w:rsid w:val="09725983"/>
    <w:rsid w:val="0A382BB5"/>
    <w:rsid w:val="0AA4543A"/>
    <w:rsid w:val="0B987F59"/>
    <w:rsid w:val="0BE61132"/>
    <w:rsid w:val="0C9B0DD6"/>
    <w:rsid w:val="0CE4791C"/>
    <w:rsid w:val="0CEA1D3D"/>
    <w:rsid w:val="0E063C64"/>
    <w:rsid w:val="0F4C7B96"/>
    <w:rsid w:val="0F523D86"/>
    <w:rsid w:val="0FFB575E"/>
    <w:rsid w:val="10845F1B"/>
    <w:rsid w:val="11463A00"/>
    <w:rsid w:val="11600918"/>
    <w:rsid w:val="11B0398F"/>
    <w:rsid w:val="122B07DF"/>
    <w:rsid w:val="13B960C5"/>
    <w:rsid w:val="15157F0C"/>
    <w:rsid w:val="152777F4"/>
    <w:rsid w:val="154544A5"/>
    <w:rsid w:val="15C674B6"/>
    <w:rsid w:val="18D54A0D"/>
    <w:rsid w:val="19E2289F"/>
    <w:rsid w:val="1A4106A0"/>
    <w:rsid w:val="1A4F5437"/>
    <w:rsid w:val="1AB77CD0"/>
    <w:rsid w:val="1BE60C84"/>
    <w:rsid w:val="1C4E0E08"/>
    <w:rsid w:val="1D70707F"/>
    <w:rsid w:val="1E807156"/>
    <w:rsid w:val="1EA657F6"/>
    <w:rsid w:val="1F097CB6"/>
    <w:rsid w:val="1FFE3323"/>
    <w:rsid w:val="20856757"/>
    <w:rsid w:val="215E2673"/>
    <w:rsid w:val="2166156B"/>
    <w:rsid w:val="21B02D83"/>
    <w:rsid w:val="2259657C"/>
    <w:rsid w:val="22A236F5"/>
    <w:rsid w:val="23995975"/>
    <w:rsid w:val="2432220E"/>
    <w:rsid w:val="248303BA"/>
    <w:rsid w:val="24837E47"/>
    <w:rsid w:val="252E01AA"/>
    <w:rsid w:val="25EA4A3E"/>
    <w:rsid w:val="2680023E"/>
    <w:rsid w:val="29680352"/>
    <w:rsid w:val="2A020F75"/>
    <w:rsid w:val="2B007AEE"/>
    <w:rsid w:val="2BC14C56"/>
    <w:rsid w:val="2C1B026F"/>
    <w:rsid w:val="2C652AE4"/>
    <w:rsid w:val="2CC61F55"/>
    <w:rsid w:val="2EF7452F"/>
    <w:rsid w:val="2F1D13B4"/>
    <w:rsid w:val="2F2B26DA"/>
    <w:rsid w:val="2FAA3DA6"/>
    <w:rsid w:val="302D4A5C"/>
    <w:rsid w:val="30682E1F"/>
    <w:rsid w:val="30E210D2"/>
    <w:rsid w:val="311371D6"/>
    <w:rsid w:val="31EB64C9"/>
    <w:rsid w:val="336D0D6F"/>
    <w:rsid w:val="352E4BEC"/>
    <w:rsid w:val="36871757"/>
    <w:rsid w:val="37C60854"/>
    <w:rsid w:val="37DD5594"/>
    <w:rsid w:val="384C42D1"/>
    <w:rsid w:val="38F24FA8"/>
    <w:rsid w:val="3A98342A"/>
    <w:rsid w:val="3AB6780E"/>
    <w:rsid w:val="3AD56D70"/>
    <w:rsid w:val="3B2920C2"/>
    <w:rsid w:val="3BE41ABD"/>
    <w:rsid w:val="3C5421A9"/>
    <w:rsid w:val="3D903B21"/>
    <w:rsid w:val="3F440741"/>
    <w:rsid w:val="3FC07C28"/>
    <w:rsid w:val="414E4D66"/>
    <w:rsid w:val="41FC306C"/>
    <w:rsid w:val="44BE5554"/>
    <w:rsid w:val="451E0908"/>
    <w:rsid w:val="452C2D31"/>
    <w:rsid w:val="45D26E14"/>
    <w:rsid w:val="46A541B1"/>
    <w:rsid w:val="47781E78"/>
    <w:rsid w:val="483834F4"/>
    <w:rsid w:val="48C57772"/>
    <w:rsid w:val="49782886"/>
    <w:rsid w:val="4A6F0D28"/>
    <w:rsid w:val="4AAF085C"/>
    <w:rsid w:val="4AD241F4"/>
    <w:rsid w:val="4AEB7E60"/>
    <w:rsid w:val="4B4B135B"/>
    <w:rsid w:val="4BC7055F"/>
    <w:rsid w:val="4C567AA6"/>
    <w:rsid w:val="4CFC7DB2"/>
    <w:rsid w:val="4E7C187D"/>
    <w:rsid w:val="4E867B88"/>
    <w:rsid w:val="4F093466"/>
    <w:rsid w:val="508941AD"/>
    <w:rsid w:val="50DA6C8C"/>
    <w:rsid w:val="50E65530"/>
    <w:rsid w:val="51457139"/>
    <w:rsid w:val="51574DBD"/>
    <w:rsid w:val="51EC1DA8"/>
    <w:rsid w:val="52FC5524"/>
    <w:rsid w:val="532D7A17"/>
    <w:rsid w:val="54AF4562"/>
    <w:rsid w:val="54C9674B"/>
    <w:rsid w:val="54F61F8F"/>
    <w:rsid w:val="556318EA"/>
    <w:rsid w:val="55A60AA1"/>
    <w:rsid w:val="55B82058"/>
    <w:rsid w:val="56451615"/>
    <w:rsid w:val="57FC5774"/>
    <w:rsid w:val="59B332C9"/>
    <w:rsid w:val="5A44758A"/>
    <w:rsid w:val="5BE93095"/>
    <w:rsid w:val="5BEC4BB3"/>
    <w:rsid w:val="5C070B55"/>
    <w:rsid w:val="5C1B2F5A"/>
    <w:rsid w:val="5C714D2C"/>
    <w:rsid w:val="5CB96DCE"/>
    <w:rsid w:val="5CC35795"/>
    <w:rsid w:val="5CE61580"/>
    <w:rsid w:val="5D175666"/>
    <w:rsid w:val="5D556A3C"/>
    <w:rsid w:val="5D7B25C9"/>
    <w:rsid w:val="5DFA05FB"/>
    <w:rsid w:val="5ECB44B4"/>
    <w:rsid w:val="5EE2043C"/>
    <w:rsid w:val="5F9E1260"/>
    <w:rsid w:val="602D2E37"/>
    <w:rsid w:val="61460FBE"/>
    <w:rsid w:val="61871899"/>
    <w:rsid w:val="62775810"/>
    <w:rsid w:val="62D83744"/>
    <w:rsid w:val="630F4048"/>
    <w:rsid w:val="63AA02E5"/>
    <w:rsid w:val="64700DE9"/>
    <w:rsid w:val="65C613BD"/>
    <w:rsid w:val="65FD118C"/>
    <w:rsid w:val="662973B1"/>
    <w:rsid w:val="67966E47"/>
    <w:rsid w:val="682C3D89"/>
    <w:rsid w:val="68611305"/>
    <w:rsid w:val="6A162DE0"/>
    <w:rsid w:val="6A331428"/>
    <w:rsid w:val="6B2E5CB6"/>
    <w:rsid w:val="6B3D4886"/>
    <w:rsid w:val="6B424098"/>
    <w:rsid w:val="6DF8675E"/>
    <w:rsid w:val="6EA80098"/>
    <w:rsid w:val="6ECC349C"/>
    <w:rsid w:val="6F6F384D"/>
    <w:rsid w:val="6F8D70FF"/>
    <w:rsid w:val="6FFE5011"/>
    <w:rsid w:val="7178734D"/>
    <w:rsid w:val="71791096"/>
    <w:rsid w:val="717B0C34"/>
    <w:rsid w:val="71FB78FD"/>
    <w:rsid w:val="72446576"/>
    <w:rsid w:val="7275064A"/>
    <w:rsid w:val="733F750B"/>
    <w:rsid w:val="735702E2"/>
    <w:rsid w:val="73CA061E"/>
    <w:rsid w:val="73D5311D"/>
    <w:rsid w:val="757926C5"/>
    <w:rsid w:val="765F635A"/>
    <w:rsid w:val="76B73454"/>
    <w:rsid w:val="76D254BD"/>
    <w:rsid w:val="77727ACD"/>
    <w:rsid w:val="78071142"/>
    <w:rsid w:val="780D2869"/>
    <w:rsid w:val="79296B37"/>
    <w:rsid w:val="7A4C4C40"/>
    <w:rsid w:val="7AA0518E"/>
    <w:rsid w:val="7B041636"/>
    <w:rsid w:val="7BD875DE"/>
    <w:rsid w:val="7C7176F5"/>
    <w:rsid w:val="7CA86749"/>
    <w:rsid w:val="7CEC611D"/>
    <w:rsid w:val="7DED62BE"/>
    <w:rsid w:val="7E4F648A"/>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character" w:customStyle="1" w:styleId="11">
    <w:name w:val="页脚 字符"/>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字符"/>
    <w:basedOn w:val="8"/>
    <w:link w:val="2"/>
    <w:semiHidden/>
    <w:qFormat/>
    <w:uiPriority w:val="99"/>
    <w:rPr>
      <w:rFonts w:ascii="Times New Roman" w:hAnsi="Times New Roman" w:eastAsia="宋体" w:cs="Times New Roman"/>
      <w:szCs w:val="24"/>
    </w:rPr>
  </w:style>
  <w:style w:type="character" w:customStyle="1" w:styleId="13">
    <w:name w:val="批注主题 字符"/>
    <w:basedOn w:val="12"/>
    <w:link w:val="6"/>
    <w:semiHidden/>
    <w:qFormat/>
    <w:uiPriority w:val="99"/>
    <w:rPr>
      <w:rFonts w:ascii="Times New Roman" w:hAnsi="Times New Roman" w:eastAsia="宋体" w:cs="Times New Roman"/>
      <w:b/>
      <w:bCs/>
      <w:szCs w:val="24"/>
    </w:rPr>
  </w:style>
  <w:style w:type="character" w:customStyle="1" w:styleId="14">
    <w:name w:val="批注框文本 字符"/>
    <w:basedOn w:val="8"/>
    <w:link w:val="3"/>
    <w:semiHidden/>
    <w:qFormat/>
    <w:uiPriority w:val="99"/>
    <w:rPr>
      <w:rFonts w:ascii="Times New Roman" w:hAnsi="Times New Roman" w:eastAsia="宋体" w:cs="Times New Roman"/>
      <w:sz w:val="18"/>
      <w:szCs w:val="18"/>
    </w:rPr>
  </w:style>
  <w:style w:type="character" w:customStyle="1" w:styleId="15">
    <w:name w:val="页眉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2</TotalTime>
  <ScaleCrop>false</ScaleCrop>
  <LinksUpToDate>false</LinksUpToDate>
  <CharactersWithSpaces>7695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zfg</cp:lastModifiedBy>
  <dcterms:modified xsi:type="dcterms:W3CDTF">2021-06-18T10:44:38Z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