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2018年度新疆喀什地区塔什库尔干县市场监督管理局部门决算公开说明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1、贯彻执行国家、省人民政府和上级工商行政管理机关关于工商行政管理工作的方针、政策、法律、法规和规章制度。</w:t>
      </w:r>
      <w:r>
        <w:rPr>
          <w:rFonts w:hint="eastAsia" w:ascii="仿宋_GB2312" w:eastAsia="仿宋_GB2312"/>
          <w:sz w:val="32"/>
          <w:szCs w:val="32"/>
        </w:rPr>
        <w:br w:type="textWrapping"/>
      </w:r>
      <w:r>
        <w:rPr>
          <w:rFonts w:hint="eastAsia" w:ascii="仿宋_GB2312" w:eastAsia="仿宋_GB2312"/>
          <w:sz w:val="32"/>
          <w:szCs w:val="32"/>
        </w:rPr>
        <w:t>2、组织管理工商企业和从事经营活动的单位、个人的登记注册，依法核定注册单位名称，审定、批准、颁发有关证照，对其登记注册事项及经营活动进行监督管理。</w:t>
      </w:r>
      <w:r>
        <w:rPr>
          <w:rFonts w:hint="eastAsia" w:ascii="仿宋_GB2312" w:eastAsia="仿宋_GB2312"/>
          <w:sz w:val="32"/>
          <w:szCs w:val="32"/>
        </w:rPr>
        <w:br w:type="textWrapping"/>
      </w:r>
      <w:r>
        <w:rPr>
          <w:rFonts w:hint="eastAsia" w:ascii="仿宋_GB2312" w:eastAsia="仿宋_GB2312"/>
          <w:sz w:val="32"/>
          <w:szCs w:val="32"/>
        </w:rPr>
        <w:t>3、依法组织监督管理市场竞争行为，查处垄断、不正当竞争、流通领域的走私贩私行为，打击传销和变相传销等经济违法行为。</w:t>
      </w:r>
      <w:r>
        <w:rPr>
          <w:rFonts w:hint="eastAsia" w:ascii="仿宋_GB2312" w:eastAsia="仿宋_GB2312"/>
          <w:sz w:val="32"/>
          <w:szCs w:val="32"/>
        </w:rPr>
        <w:br w:type="textWrapping"/>
      </w:r>
      <w:r>
        <w:rPr>
          <w:rFonts w:hint="eastAsia" w:ascii="仿宋_GB2312" w:eastAsia="仿宋_GB2312"/>
          <w:sz w:val="32"/>
          <w:szCs w:val="32"/>
        </w:rPr>
        <w:t>4、依法组织监督市场交易行为，组织监督流通领域商品质量，组织查处假冒伪劣商品行为，受理消费者申诉，组织查处侵犯消费者权益案件，保护经营者、消费者合法权益。</w:t>
      </w:r>
      <w:r>
        <w:rPr>
          <w:rFonts w:hint="eastAsia" w:ascii="仿宋_GB2312" w:eastAsia="仿宋_GB2312"/>
          <w:sz w:val="32"/>
          <w:szCs w:val="32"/>
        </w:rPr>
        <w:br w:type="textWrapping"/>
      </w:r>
      <w:r>
        <w:rPr>
          <w:rFonts w:hint="eastAsia" w:ascii="仿宋_GB2312" w:eastAsia="仿宋_GB2312"/>
          <w:sz w:val="32"/>
          <w:szCs w:val="32"/>
        </w:rPr>
        <w:t>5、组织实施各类市场经营秩序的规范管理与监督；监督管理电子网络经营行为。</w:t>
      </w:r>
      <w:r>
        <w:rPr>
          <w:rFonts w:hint="eastAsia" w:ascii="仿宋_GB2312" w:eastAsia="仿宋_GB2312"/>
          <w:sz w:val="32"/>
          <w:szCs w:val="32"/>
        </w:rPr>
        <w:br w:type="textWrapping"/>
      </w:r>
      <w:r>
        <w:rPr>
          <w:rFonts w:hint="eastAsia" w:ascii="仿宋_GB2312" w:eastAsia="仿宋_GB2312"/>
          <w:sz w:val="32"/>
          <w:szCs w:val="32"/>
        </w:rPr>
        <w:t>6、查处商标侵权行为，保护注册商标专用权，监督管理商标的使用和印制；指导商标代理机构工作。</w:t>
      </w:r>
      <w:r>
        <w:rPr>
          <w:rFonts w:hint="eastAsia" w:ascii="仿宋_GB2312" w:eastAsia="仿宋_GB2312"/>
          <w:sz w:val="32"/>
          <w:szCs w:val="32"/>
        </w:rPr>
        <w:br w:type="textWrapping"/>
      </w:r>
      <w:r>
        <w:rPr>
          <w:rFonts w:hint="eastAsia" w:ascii="仿宋_GB2312" w:eastAsia="仿宋_GB2312"/>
          <w:sz w:val="32"/>
          <w:szCs w:val="32"/>
        </w:rPr>
        <w:t>7、组织管理广告审批发布与广告经营活动，指导广告审查机构的工作。</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新疆喀什地区塔什库尔干县市场监督管理局</w:t>
      </w:r>
      <w:r>
        <w:rPr>
          <w:rFonts w:hint="eastAsia" w:ascii="仿宋_GB2312" w:eastAsia="仿宋_GB2312"/>
          <w:sz w:val="32"/>
          <w:szCs w:val="32"/>
        </w:rPr>
        <w:t>部门决算包括：</w:t>
      </w:r>
      <w:r>
        <w:rPr>
          <w:rFonts w:ascii="仿宋_GB2312" w:eastAsia="仿宋_GB2312"/>
          <w:sz w:val="32"/>
          <w:szCs w:val="32"/>
        </w:rPr>
        <w:t>新疆喀什地区塔什库尔干县市场监督管理局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新疆喀什地区塔什库尔干县市场监督管理局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新疆喀什地区塔什库尔干县市场监督管理局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495.41</w:t>
      </w:r>
      <w:r>
        <w:rPr>
          <w:rFonts w:hint="eastAsia" w:ascii="仿宋_GB2312" w:eastAsia="仿宋_GB2312"/>
          <w:color w:val="000000" w:themeColor="text1"/>
          <w:sz w:val="32"/>
          <w:szCs w:val="32"/>
        </w:rPr>
        <w:t>万元</w:t>
      </w:r>
      <w:bookmarkEnd w:id="4"/>
      <w:bookmarkEnd w:id="5"/>
      <w:r>
        <w:rPr>
          <w:rFonts w:hint="eastAsia" w:ascii="仿宋_GB2312" w:eastAsia="仿宋_GB2312"/>
          <w:color w:val="000000" w:themeColor="text1"/>
          <w:sz w:val="32"/>
          <w:szCs w:val="32"/>
          <w:lang w:eastAsia="zh-CN"/>
        </w:rPr>
        <w:t>，</w:t>
      </w:r>
      <w:bookmarkEnd w:id="6"/>
      <w:r>
        <w:rPr>
          <w:rFonts w:hint="eastAsia" w:ascii="仿宋_GB2312" w:eastAsia="仿宋_GB2312"/>
          <w:color w:val="000000" w:themeColor="text1"/>
          <w:sz w:val="32"/>
          <w:szCs w:val="32"/>
          <w:lang w:val="en-US" w:eastAsia="zh-CN"/>
        </w:rPr>
        <w:t>与上年相比，增加</w:t>
      </w:r>
      <w:r>
        <w:rPr>
          <w:rFonts w:hint="eastAsia" w:ascii="仿宋_GB2312" w:eastAsia="仿宋_GB2312"/>
          <w:sz w:val="32"/>
          <w:szCs w:val="32"/>
          <w:lang w:val="en-US" w:eastAsia="zh-CN"/>
        </w:rPr>
        <w:t>495.41</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hint="eastAsia" w:ascii="仿宋_GB2312" w:eastAsia="仿宋_GB2312"/>
          <w:sz w:val="32"/>
          <w:szCs w:val="32"/>
        </w:rPr>
        <w:t>由于本单位是2018年新增单位，</w:t>
      </w:r>
      <w:r>
        <w:rPr>
          <w:rFonts w:hint="eastAsia" w:ascii="仿宋_GB2312" w:eastAsia="仿宋_GB2312"/>
          <w:color w:val="000000" w:themeColor="text1"/>
          <w:sz w:val="32"/>
          <w:szCs w:val="32"/>
        </w:rPr>
        <w:t>因此无上年对比数据；</w:t>
      </w:r>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lang w:val="en-US" w:eastAsia="zh-CN"/>
        </w:rPr>
        <w:t>495.41</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val="en-US" w:eastAsia="zh-CN"/>
        </w:rPr>
        <w:t>,与上年相比，增加</w:t>
      </w:r>
      <w:r>
        <w:rPr>
          <w:rFonts w:hint="eastAsia" w:ascii="仿宋_GB2312" w:eastAsia="仿宋_GB2312"/>
          <w:sz w:val="32"/>
          <w:szCs w:val="32"/>
          <w:lang w:val="en-US" w:eastAsia="zh-CN"/>
        </w:rPr>
        <w:t>495.41</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hint="eastAsia" w:ascii="仿宋_GB2312" w:eastAsia="仿宋_GB2312"/>
          <w:sz w:val="32"/>
          <w:szCs w:val="32"/>
        </w:rPr>
        <w:t>由于本单位是2018年新增单位，</w:t>
      </w:r>
      <w:r>
        <w:rPr>
          <w:rFonts w:hint="eastAsia" w:ascii="仿宋_GB2312" w:eastAsia="仿宋_GB2312"/>
          <w:color w:val="000000" w:themeColor="text1"/>
          <w:sz w:val="32"/>
          <w:szCs w:val="32"/>
        </w:rPr>
        <w:t>因此无上年对比数据</w:t>
      </w:r>
      <w:r>
        <w:rPr>
          <w:rFonts w:hint="eastAsia" w:ascii="仿宋_GB2312" w:eastAsia="仿宋_GB2312"/>
          <w:color w:val="000000" w:themeColor="text1"/>
          <w:sz w:val="32"/>
          <w:szCs w:val="32"/>
          <w:lang w:eastAsia="zh-CN"/>
        </w:rPr>
        <w:t>；</w:t>
      </w:r>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主要原因是：由于本单位是2018年新增单位，</w:t>
      </w:r>
      <w:r>
        <w:rPr>
          <w:rFonts w:hint="eastAsia" w:ascii="仿宋_GB2312" w:eastAsia="仿宋_GB2312"/>
          <w:color w:val="000000" w:themeColor="text1"/>
          <w:sz w:val="32"/>
          <w:szCs w:val="32"/>
        </w:rPr>
        <w:t>因此无上年对比数据</w:t>
      </w:r>
      <w:bookmarkEnd w:id="7"/>
      <w:r>
        <w:rPr>
          <w:rFonts w:hint="eastAsia" w:ascii="仿宋_GB2312" w:eastAsia="仿宋_GB2312"/>
          <w:color w:val="000000" w:themeColor="text1"/>
          <w:sz w:val="32"/>
          <w:szCs w:val="32"/>
          <w:lang w:eastAsia="zh-CN"/>
        </w:rPr>
        <w:t>。</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495.41</w:t>
      </w:r>
      <w:r>
        <w:rPr>
          <w:rFonts w:hint="eastAsia" w:ascii="仿宋_GB2312" w:eastAsia="仿宋_GB2312"/>
          <w:color w:val="000000" w:themeColor="text1"/>
          <w:sz w:val="32"/>
          <w:szCs w:val="32"/>
        </w:rPr>
        <w:t>万元，其中：</w:t>
      </w:r>
      <w:bookmarkStart w:id="8" w:name="OLE_LINK1"/>
      <w:r>
        <w:rPr>
          <w:rFonts w:hint="eastAsia" w:ascii="仿宋_GB2312" w:eastAsia="仿宋_GB2312"/>
          <w:color w:val="000000" w:themeColor="text1"/>
          <w:sz w:val="32"/>
          <w:szCs w:val="32"/>
        </w:rPr>
        <w:t>财政拨款收入</w:t>
      </w:r>
      <w:bookmarkEnd w:id="8"/>
      <w:r>
        <w:rPr>
          <w:rFonts w:hint="eastAsia" w:ascii="仿宋_GB2312" w:eastAsia="仿宋_GB2312"/>
          <w:sz w:val="32"/>
          <w:szCs w:val="32"/>
        </w:rPr>
        <w:t>495.41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9" w:name="OLE_LINK2"/>
      <w:r>
        <w:rPr>
          <w:rFonts w:hint="eastAsia" w:ascii="仿宋_GB2312" w:eastAsia="仿宋_GB2312"/>
          <w:color w:val="000000" w:themeColor="text1"/>
          <w:sz w:val="32"/>
          <w:szCs w:val="32"/>
        </w:rPr>
        <w:t>上级补助收入</w:t>
      </w:r>
      <w:bookmarkEnd w:id="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0" w:name="OLE_LINK3"/>
      <w:r>
        <w:rPr>
          <w:rFonts w:hint="eastAsia" w:ascii="仿宋_GB2312" w:eastAsia="仿宋_GB2312"/>
          <w:color w:val="000000" w:themeColor="text1"/>
          <w:sz w:val="32"/>
          <w:szCs w:val="32"/>
        </w:rPr>
        <w:t>事业收入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4"/>
      <w:r>
        <w:rPr>
          <w:rFonts w:hint="eastAsia" w:ascii="仿宋_GB2312" w:eastAsia="仿宋_GB2312"/>
          <w:color w:val="000000" w:themeColor="text1"/>
          <w:sz w:val="32"/>
          <w:szCs w:val="32"/>
        </w:rPr>
        <w:t>经营收入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5"/>
      <w:r>
        <w:rPr>
          <w:rFonts w:hint="eastAsia" w:ascii="仿宋_GB2312" w:eastAsia="仿宋_GB2312"/>
          <w:color w:val="000000" w:themeColor="text1"/>
          <w:sz w:val="32"/>
          <w:szCs w:val="32"/>
        </w:rPr>
        <w:t>附属单位缴款</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6"/>
      <w:r>
        <w:rPr>
          <w:rFonts w:hint="eastAsia" w:ascii="仿宋_GB2312" w:eastAsia="仿宋_GB2312"/>
          <w:color w:val="000000" w:themeColor="text1"/>
          <w:sz w:val="32"/>
          <w:szCs w:val="32"/>
        </w:rPr>
        <w:t>其他收入</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4"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况：本年收入年初预算数454.66万元</w:t>
      </w:r>
      <w:r>
        <w:rPr>
          <w:rFonts w:hint="eastAsia" w:ascii="仿宋_GB2312" w:eastAsia="仿宋_GB2312"/>
          <w:sz w:val="32"/>
          <w:szCs w:val="32"/>
        </w:rPr>
        <w:t>，决算数495.41万元</w:t>
      </w:r>
      <w:r>
        <w:rPr>
          <w:rFonts w:ascii="仿宋_GB2312" w:eastAsia="仿宋_GB2312"/>
          <w:sz w:val="32"/>
          <w:szCs w:val="32"/>
        </w:rPr>
        <w:t>，预决算差异率8.96%，差异主要原因是政策性调资</w:t>
      </w:r>
      <w:r>
        <w:rPr>
          <w:rFonts w:hint="eastAsia" w:ascii="仿宋_GB2312" w:eastAsia="仿宋_GB2312"/>
          <w:sz w:val="32"/>
          <w:szCs w:val="32"/>
          <w:lang w:eastAsia="zh-CN"/>
        </w:rPr>
        <w:t>，</w:t>
      </w:r>
      <w:r>
        <w:rPr>
          <w:rFonts w:ascii="仿宋_GB2312" w:eastAsia="仿宋_GB2312"/>
          <w:sz w:val="32"/>
          <w:szCs w:val="32"/>
        </w:rPr>
        <w:t>基本工资增加，高海拔工龄工资调增及补发，艰边津贴增加导致本年决算数较上年数增加。</w:t>
      </w:r>
      <w:bookmarkEnd w:id="14"/>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5" w:name="OLE_LINK7"/>
      <w:r>
        <w:rPr>
          <w:rFonts w:hint="eastAsia" w:ascii="仿宋_GB2312" w:eastAsia="仿宋_GB2312"/>
          <w:color w:val="000000" w:themeColor="text1"/>
          <w:sz w:val="32"/>
          <w:szCs w:val="32"/>
        </w:rPr>
        <w:t>本年支出合计</w:t>
      </w:r>
      <w:bookmarkEnd w:id="15"/>
      <w:r>
        <w:rPr>
          <w:rFonts w:hint="eastAsia" w:ascii="仿宋_GB2312" w:eastAsia="仿宋_GB2312"/>
          <w:sz w:val="32"/>
          <w:szCs w:val="32"/>
        </w:rPr>
        <w:t>495.41</w:t>
      </w:r>
      <w:r>
        <w:rPr>
          <w:rFonts w:hint="eastAsia" w:ascii="仿宋_GB2312" w:eastAsia="仿宋_GB2312"/>
          <w:color w:val="000000" w:themeColor="text1"/>
          <w:sz w:val="32"/>
          <w:szCs w:val="32"/>
        </w:rPr>
        <w:t>万元，其中：</w:t>
      </w:r>
      <w:bookmarkStart w:id="16" w:name="OLE_LINK8"/>
      <w:r>
        <w:rPr>
          <w:rFonts w:hint="eastAsia" w:ascii="仿宋_GB2312" w:eastAsia="仿宋_GB2312"/>
          <w:color w:val="000000" w:themeColor="text1"/>
          <w:sz w:val="32"/>
          <w:szCs w:val="32"/>
        </w:rPr>
        <w:t>基本支出</w:t>
      </w:r>
      <w:bookmarkEnd w:id="16"/>
      <w:r>
        <w:rPr>
          <w:rFonts w:hint="eastAsia" w:ascii="仿宋_GB2312" w:eastAsia="仿宋_GB2312"/>
          <w:sz w:val="32"/>
          <w:szCs w:val="32"/>
        </w:rPr>
        <w:t>479.17</w:t>
      </w:r>
      <w:r>
        <w:rPr>
          <w:rFonts w:hint="eastAsia" w:ascii="仿宋_GB2312" w:eastAsia="仿宋_GB2312"/>
          <w:color w:val="000000" w:themeColor="text1"/>
          <w:sz w:val="32"/>
          <w:szCs w:val="32"/>
        </w:rPr>
        <w:t>万元，占</w:t>
      </w:r>
      <w:r>
        <w:rPr>
          <w:rFonts w:hint="eastAsia" w:ascii="仿宋_GB2312" w:eastAsia="仿宋_GB2312"/>
          <w:sz w:val="32"/>
          <w:szCs w:val="32"/>
        </w:rPr>
        <w:t>96.72%</w:t>
      </w:r>
      <w:r>
        <w:rPr>
          <w:rFonts w:hint="eastAsia" w:ascii="仿宋_GB2312" w:eastAsia="仿宋_GB2312"/>
          <w:color w:val="000000" w:themeColor="text1"/>
          <w:sz w:val="32"/>
          <w:szCs w:val="32"/>
        </w:rPr>
        <w:t>；</w:t>
      </w:r>
      <w:bookmarkStart w:id="17" w:name="OLE_LINK9"/>
      <w:r>
        <w:rPr>
          <w:rFonts w:hint="eastAsia" w:ascii="仿宋_GB2312" w:eastAsia="仿宋_GB2312"/>
          <w:color w:val="000000" w:themeColor="text1"/>
          <w:sz w:val="32"/>
          <w:szCs w:val="32"/>
        </w:rPr>
        <w:t>项目支出</w:t>
      </w:r>
      <w:bookmarkEnd w:id="17"/>
      <w:r>
        <w:rPr>
          <w:rFonts w:hint="eastAsia" w:ascii="仿宋_GB2312" w:eastAsia="仿宋_GB2312"/>
          <w:sz w:val="32"/>
          <w:szCs w:val="32"/>
        </w:rPr>
        <w:t>16.24</w:t>
      </w:r>
      <w:r>
        <w:rPr>
          <w:rFonts w:hint="eastAsia" w:ascii="仿宋_GB2312" w:eastAsia="仿宋_GB2312"/>
          <w:color w:val="000000" w:themeColor="text1"/>
          <w:sz w:val="32"/>
          <w:szCs w:val="32"/>
        </w:rPr>
        <w:t>万元，占</w:t>
      </w:r>
      <w:r>
        <w:rPr>
          <w:rFonts w:hint="eastAsia" w:ascii="仿宋_GB2312" w:eastAsia="仿宋_GB2312"/>
          <w:sz w:val="32"/>
          <w:szCs w:val="32"/>
        </w:rPr>
        <w:t>3.28%</w:t>
      </w:r>
      <w:r>
        <w:rPr>
          <w:rFonts w:hint="eastAsia" w:ascii="仿宋_GB2312" w:eastAsia="仿宋_GB2312"/>
          <w:color w:val="000000" w:themeColor="text1"/>
          <w:sz w:val="32"/>
          <w:szCs w:val="32"/>
        </w:rPr>
        <w:t>；</w:t>
      </w:r>
      <w:bookmarkStart w:id="18" w:name="OLE_LINK10"/>
      <w:r>
        <w:rPr>
          <w:rFonts w:hint="eastAsia" w:ascii="仿宋_GB2312" w:eastAsia="仿宋_GB2312"/>
          <w:color w:val="000000" w:themeColor="text1"/>
          <w:sz w:val="32"/>
          <w:szCs w:val="32"/>
        </w:rPr>
        <w:t>上缴上级支出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1"/>
      <w:r>
        <w:rPr>
          <w:rFonts w:hint="eastAsia" w:ascii="仿宋_GB2312" w:eastAsia="仿宋_GB2312"/>
          <w:color w:val="000000" w:themeColor="text1"/>
          <w:spacing w:val="-6"/>
          <w:sz w:val="32"/>
          <w:szCs w:val="32"/>
        </w:rPr>
        <w:t>经营支出</w:t>
      </w:r>
      <w:bookmarkEnd w:id="19"/>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0" w:name="OLE_LINK12"/>
      <w:r>
        <w:rPr>
          <w:rFonts w:hint="eastAsia" w:ascii="仿宋_GB2312" w:eastAsia="仿宋_GB2312"/>
          <w:color w:val="000000" w:themeColor="text1"/>
          <w:spacing w:val="-6"/>
          <w:sz w:val="32"/>
          <w:szCs w:val="32"/>
        </w:rPr>
        <w:t>对附属单位补助支出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1" w:name="OLE_LINK56"/>
      <w:r>
        <w:rPr>
          <w:rFonts w:hint="eastAsia" w:ascii="仿宋_GB2312" w:eastAsia="仿宋_GB2312"/>
          <w:color w:val="000000" w:themeColor="text1"/>
          <w:sz w:val="32"/>
          <w:szCs w:val="32"/>
        </w:rPr>
        <w:t>与年初预算数相比情况：本年支出年初预算数454.66万元，</w:t>
      </w:r>
      <w:r>
        <w:rPr>
          <w:rFonts w:hint="eastAsia" w:ascii="仿宋_GB2312" w:eastAsia="仿宋_GB2312"/>
          <w:sz w:val="32"/>
          <w:szCs w:val="32"/>
        </w:rPr>
        <w:t>决算数495.41万元</w:t>
      </w:r>
      <w:r>
        <w:rPr>
          <w:rFonts w:ascii="仿宋_GB2312" w:eastAsia="仿宋_GB2312"/>
          <w:sz w:val="32"/>
          <w:szCs w:val="32"/>
        </w:rPr>
        <w:t>，预决算差异率8.96%，差异主要原因是政策性调资</w:t>
      </w:r>
      <w:r>
        <w:rPr>
          <w:rFonts w:hint="eastAsia" w:ascii="仿宋_GB2312" w:eastAsia="仿宋_GB2312"/>
          <w:sz w:val="32"/>
          <w:szCs w:val="32"/>
          <w:lang w:eastAsia="zh-CN"/>
        </w:rPr>
        <w:t>，</w:t>
      </w:r>
      <w:r>
        <w:rPr>
          <w:rFonts w:ascii="仿宋_GB2312" w:eastAsia="仿宋_GB2312"/>
          <w:sz w:val="32"/>
          <w:szCs w:val="32"/>
        </w:rPr>
        <w:t>基本工资增加，高海拔工龄工资调增及补发，艰边津贴增加导致本年决算数较上年数增加。</w:t>
      </w:r>
    </w:p>
    <w:bookmarkEnd w:id="21"/>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2" w:name="OLE_LINK58"/>
      <w:bookmarkStart w:id="23" w:name="OLE_LINK57"/>
      <w:r>
        <w:rPr>
          <w:rFonts w:hint="eastAsia" w:ascii="仿宋_GB2312" w:eastAsia="仿宋_GB2312"/>
          <w:color w:val="000000" w:themeColor="text1"/>
          <w:sz w:val="32"/>
          <w:szCs w:val="32"/>
        </w:rPr>
        <w:t>2018年度</w:t>
      </w:r>
      <w:bookmarkStart w:id="24" w:name="OLE_LINK13"/>
      <w:r>
        <w:rPr>
          <w:rFonts w:hint="eastAsia" w:ascii="仿宋_GB2312" w:eastAsia="仿宋_GB2312"/>
          <w:color w:val="000000" w:themeColor="text1"/>
          <w:sz w:val="32"/>
          <w:szCs w:val="32"/>
        </w:rPr>
        <w:t>财政拨款收入</w:t>
      </w:r>
      <w:bookmarkEnd w:id="24"/>
      <w:r>
        <w:rPr>
          <w:rFonts w:hint="eastAsia" w:ascii="仿宋_GB2312" w:eastAsia="仿宋_GB2312"/>
          <w:sz w:val="32"/>
          <w:szCs w:val="32"/>
        </w:rPr>
        <w:t>495.41</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bookmarkEnd w:id="22"/>
      <w:bookmarkEnd w:id="23"/>
      <w:bookmarkStart w:id="25" w:name="OLE_LINK62"/>
      <w:r>
        <w:rPr>
          <w:rFonts w:hint="eastAsia" w:ascii="仿宋_GB2312" w:eastAsia="仿宋_GB2312"/>
          <w:color w:val="000000" w:themeColor="text1"/>
          <w:sz w:val="32"/>
          <w:szCs w:val="32"/>
          <w:lang w:val="en-US" w:eastAsia="zh-CN"/>
        </w:rPr>
        <w:t>与上年相比，增加</w:t>
      </w:r>
      <w:r>
        <w:rPr>
          <w:rFonts w:hint="eastAsia" w:ascii="仿宋_GB2312" w:eastAsia="仿宋_GB2312"/>
          <w:sz w:val="32"/>
          <w:szCs w:val="32"/>
          <w:lang w:val="en-US" w:eastAsia="zh-CN"/>
        </w:rPr>
        <w:t>495.41</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hint="eastAsia" w:ascii="仿宋_GB2312" w:eastAsia="仿宋_GB2312"/>
          <w:sz w:val="32"/>
          <w:szCs w:val="32"/>
        </w:rPr>
        <w:t>由于本单位是2018年新增单位，</w:t>
      </w:r>
      <w:r>
        <w:rPr>
          <w:rFonts w:hint="eastAsia" w:ascii="仿宋_GB2312" w:eastAsia="仿宋_GB2312"/>
          <w:color w:val="000000" w:themeColor="text1"/>
          <w:sz w:val="32"/>
          <w:szCs w:val="32"/>
        </w:rPr>
        <w:t>因此无上年对比数据</w:t>
      </w:r>
      <w:r>
        <w:rPr>
          <w:rFonts w:hint="eastAsia" w:ascii="仿宋_GB2312" w:eastAsia="仿宋_GB2312"/>
          <w:color w:val="000000" w:themeColor="text1"/>
          <w:sz w:val="32"/>
          <w:szCs w:val="32"/>
          <w:lang w:eastAsia="zh-CN"/>
        </w:rPr>
        <w:t>。</w:t>
      </w:r>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lang w:val="en-US" w:eastAsia="zh-CN"/>
        </w:rPr>
        <w:t>495.41</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val="en-US" w:eastAsia="zh-CN"/>
        </w:rPr>
        <w:t>,与上年相比，增加</w:t>
      </w:r>
      <w:r>
        <w:rPr>
          <w:rFonts w:hint="eastAsia" w:ascii="仿宋_GB2312" w:eastAsia="仿宋_GB2312"/>
          <w:sz w:val="32"/>
          <w:szCs w:val="32"/>
          <w:lang w:val="en-US" w:eastAsia="zh-CN"/>
        </w:rPr>
        <w:t>495.41</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hint="eastAsia" w:ascii="仿宋_GB2312" w:eastAsia="仿宋_GB2312"/>
          <w:sz w:val="32"/>
          <w:szCs w:val="32"/>
        </w:rPr>
        <w:t>由于本单位是2018年新增单位，</w:t>
      </w:r>
      <w:r>
        <w:rPr>
          <w:rFonts w:ascii="仿宋_GB2312" w:eastAsia="仿宋_GB2312"/>
          <w:sz w:val="32"/>
          <w:szCs w:val="32"/>
        </w:rPr>
        <w:t>因此无上年对比数据。</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lang w:val="en-US" w:eastAsia="zh-CN"/>
        </w:rPr>
        <w:t>479.17</w:t>
      </w:r>
      <w:r>
        <w:rPr>
          <w:rFonts w:hint="eastAsia" w:ascii="仿宋_GB2312" w:eastAsia="仿宋_GB2312"/>
          <w:color w:val="000000" w:themeColor="text1"/>
          <w:sz w:val="32"/>
          <w:szCs w:val="32"/>
        </w:rPr>
        <w:t>万元，项目支出</w:t>
      </w:r>
      <w:r>
        <w:rPr>
          <w:rFonts w:hint="eastAsia" w:ascii="仿宋_GB2312" w:eastAsia="仿宋_GB2312"/>
          <w:color w:val="000000" w:themeColor="text1"/>
          <w:sz w:val="32"/>
          <w:szCs w:val="32"/>
          <w:lang w:val="en-US" w:eastAsia="zh-CN"/>
        </w:rPr>
        <w:t>16.24</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w:t>
      </w:r>
      <w:r>
        <w:rPr>
          <w:rFonts w:hint="eastAsia" w:ascii="仿宋_GB2312" w:eastAsia="仿宋_GB2312"/>
          <w:sz w:val="32"/>
          <w:szCs w:val="32"/>
        </w:rPr>
        <w:t>由于本单位是2018年新增单位，因此无上年对比数据。</w:t>
      </w:r>
      <w:bookmarkEnd w:id="29"/>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454.66</w:t>
      </w:r>
      <w:r>
        <w:rPr>
          <w:rFonts w:hint="eastAsia" w:ascii="仿宋_GB2312" w:eastAsia="仿宋_GB2312"/>
          <w:color w:val="000000" w:themeColor="text1"/>
          <w:sz w:val="32"/>
          <w:szCs w:val="32"/>
        </w:rPr>
        <w:t>万元，决算数</w:t>
      </w:r>
      <w:r>
        <w:rPr>
          <w:rFonts w:hint="eastAsia" w:ascii="仿宋_GB2312" w:eastAsia="仿宋_GB2312"/>
          <w:sz w:val="32"/>
          <w:szCs w:val="32"/>
        </w:rPr>
        <w:t>495.41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，预决算差异率8.96%，差异主要原因是政策性调资</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基本工资增加，高海拔工龄工资调增及补发，艰边津贴增加导致本年决算数较上年数增加。</w:t>
      </w:r>
      <w:bookmarkEnd w:id="25"/>
      <w:bookmarkStart w:id="32"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454.66</w:t>
      </w:r>
      <w:r>
        <w:rPr>
          <w:rFonts w:hint="eastAsia" w:ascii="仿宋_GB2312" w:eastAsia="仿宋_GB2312"/>
          <w:color w:val="000000" w:themeColor="text1"/>
          <w:sz w:val="32"/>
          <w:szCs w:val="32"/>
        </w:rPr>
        <w:t>万元，决算数</w:t>
      </w:r>
      <w:r>
        <w:rPr>
          <w:rFonts w:hint="eastAsia" w:ascii="仿宋_GB2312" w:eastAsia="仿宋_GB2312"/>
          <w:sz w:val="32"/>
          <w:szCs w:val="32"/>
        </w:rPr>
        <w:t>495.41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，预决算差异率8.96%，差异主要原因是政策性调资</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基本工资增加，高海拔工龄工资调增及补发，艰边津贴增加导致本年决算数较上年数增加。</w:t>
      </w:r>
      <w:bookmarkEnd w:id="32"/>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hint="eastAsia" w:ascii="仿宋_GB2312" w:eastAsia="仿宋_GB2312"/>
          <w:color w:val="000000" w:themeColor="text1"/>
          <w:sz w:val="32"/>
          <w:szCs w:val="32"/>
          <w:lang w:eastAsia="zh-CN"/>
        </w:rPr>
      </w:pPr>
      <w:bookmarkStart w:id="33" w:name="OLE_LINK64"/>
      <w:r>
        <w:rPr>
          <w:rFonts w:hint="eastAsia" w:ascii="仿宋_GB2312" w:eastAsia="仿宋_GB2312"/>
          <w:color w:val="000000" w:themeColor="text1"/>
          <w:sz w:val="32"/>
          <w:szCs w:val="32"/>
        </w:rPr>
        <w:t>2018年度</w:t>
      </w:r>
      <w:bookmarkStart w:id="34" w:name="OLE_LINK17"/>
      <w:r>
        <w:rPr>
          <w:rFonts w:hint="eastAsia" w:ascii="仿宋_GB2312" w:eastAsia="仿宋_GB2312"/>
          <w:color w:val="000000" w:themeColor="text1"/>
          <w:sz w:val="32"/>
          <w:szCs w:val="32"/>
        </w:rPr>
        <w:t>一般公共预算财政拨款收入</w:t>
      </w:r>
      <w:bookmarkEnd w:id="34"/>
      <w:r>
        <w:rPr>
          <w:rFonts w:ascii="仿宋_GB2312" w:eastAsia="仿宋_GB2312"/>
          <w:color w:val="000000" w:themeColor="text1"/>
          <w:sz w:val="32"/>
          <w:szCs w:val="32"/>
        </w:rPr>
        <w:t>495.41</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与上年相比，增加</w:t>
      </w:r>
      <w:r>
        <w:rPr>
          <w:rFonts w:hint="eastAsia" w:ascii="仿宋_GB2312" w:eastAsia="仿宋_GB2312"/>
          <w:sz w:val="32"/>
          <w:szCs w:val="32"/>
          <w:lang w:val="en-US" w:eastAsia="zh-CN"/>
        </w:rPr>
        <w:t>495.41</w:t>
      </w:r>
      <w:r>
        <w:rPr>
          <w:rFonts w:hint="eastAsia" w:ascii="仿宋_GB2312" w:eastAsia="仿宋_GB2312"/>
          <w:color w:val="000000" w:themeColor="text1"/>
          <w:sz w:val="32"/>
          <w:szCs w:val="32"/>
        </w:rPr>
        <w:t>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ascii="仿宋_GB2312" w:eastAsia="仿宋_GB2312"/>
          <w:color w:val="000000" w:themeColor="text1"/>
          <w:sz w:val="32"/>
          <w:szCs w:val="32"/>
        </w:rPr>
        <w:t>由于本单位是2018年新增单位，因此无上年对比数据。</w:t>
      </w:r>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lang w:val="en-US" w:eastAsia="zh-CN"/>
        </w:rPr>
        <w:t>495.41</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val="en-US" w:eastAsia="zh-CN"/>
        </w:rPr>
        <w:t>,上年相比，增加495.41</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ascii="仿宋_GB2312" w:eastAsia="仿宋_GB2312"/>
          <w:color w:val="000000" w:themeColor="text1"/>
          <w:sz w:val="32"/>
          <w:szCs w:val="32"/>
        </w:rPr>
        <w:t>由于本单位是2018年新增单位，无上年数据对比</w:t>
      </w:r>
      <w:r>
        <w:rPr>
          <w:rFonts w:hint="eastAsia" w:ascii="仿宋_GB2312" w:eastAsia="仿宋_GB2312"/>
          <w:sz w:val="32"/>
          <w:szCs w:val="32"/>
        </w:rPr>
        <w:t>。</w:t>
      </w:r>
    </w:p>
    <w:bookmarkEnd w:id="33"/>
    <w:p>
      <w:pPr>
        <w:spacing w:line="540" w:lineRule="exact"/>
        <w:rPr>
          <w:rFonts w:ascii="仿宋_GB2312" w:eastAsia="仿宋_GB2312"/>
          <w:color w:val="000000" w:themeColor="text1"/>
          <w:sz w:val="32"/>
          <w:szCs w:val="32"/>
        </w:rPr>
      </w:pPr>
      <w:r>
        <w:rPr>
          <w:rFonts w:hint="eastAsia" w:ascii="仿宋_GB2312" w:eastAsia="仿宋_GB2312"/>
          <w:color w:val="000000" w:themeColor="text1"/>
          <w:sz w:val="32"/>
          <w:szCs w:val="32"/>
        </w:rPr>
        <w:t>其中：</w:t>
      </w:r>
      <w:bookmarkStart w:id="35" w:name="OLE_LINK19"/>
      <w:r>
        <w:rPr>
          <w:rFonts w:hint="eastAsia" w:ascii="仿宋_GB2312" w:eastAsia="仿宋_GB2312"/>
          <w:color w:val="000000" w:themeColor="text1"/>
          <w:sz w:val="32"/>
          <w:szCs w:val="32"/>
        </w:rPr>
        <w:t>按功能分类科目（按类级科目公开）</w:t>
      </w:r>
      <w:bookmarkEnd w:id="35"/>
      <w:r>
        <w:rPr>
          <w:rFonts w:hint="eastAsia" w:ascii="仿宋_GB2312" w:eastAsia="仿宋_GB2312"/>
          <w:color w:val="000000" w:themeColor="text1"/>
          <w:sz w:val="32"/>
          <w:szCs w:val="32"/>
        </w:rPr>
        <w:t>，</w:t>
      </w:r>
      <w:r>
        <w:rPr>
          <w:rFonts w:hint="eastAsia" w:ascii="仿宋_GB2312" w:eastAsia="仿宋_GB2312"/>
          <w:sz w:val="32"/>
          <w:szCs w:val="32"/>
        </w:rPr>
        <w:t>医疗卫生与计划生育支出37.71万元,住房保障支出29万元,一般公共服务支出385.95万元,社会保障和就业支出42.75万元。</w:t>
      </w:r>
      <w:bookmarkStart w:id="36" w:name="OLE_LINK20"/>
      <w:bookmarkStart w:id="37" w:name="OLE_LINK21"/>
      <w:r>
        <w:rPr>
          <w:rFonts w:hint="eastAsia" w:ascii="仿宋_GB2312" w:eastAsia="仿宋_GB2312"/>
          <w:color w:val="000000" w:themeColor="text1"/>
          <w:sz w:val="32"/>
          <w:szCs w:val="32"/>
        </w:rPr>
        <w:t>按经济分类科目</w:t>
      </w:r>
      <w:bookmarkEnd w:id="36"/>
      <w:r>
        <w:rPr>
          <w:rFonts w:hint="eastAsia" w:ascii="仿宋_GB2312" w:eastAsia="仿宋_GB2312"/>
          <w:color w:val="000000" w:themeColor="text1"/>
          <w:sz w:val="32"/>
          <w:szCs w:val="32"/>
        </w:rPr>
        <w:t>（按类级科目公开）</w:t>
      </w:r>
      <w:bookmarkEnd w:id="37"/>
      <w:r>
        <w:rPr>
          <w:rFonts w:hint="eastAsia" w:ascii="仿宋_GB2312" w:eastAsia="仿宋_GB2312"/>
          <w:color w:val="000000" w:themeColor="text1"/>
          <w:sz w:val="32"/>
          <w:szCs w:val="32"/>
        </w:rPr>
        <w:t>，</w:t>
      </w:r>
      <w:r>
        <w:rPr>
          <w:rFonts w:hint="eastAsia" w:ascii="仿宋_GB2312" w:eastAsia="仿宋_GB2312"/>
          <w:sz w:val="32"/>
          <w:szCs w:val="32"/>
        </w:rPr>
        <w:t>工资福利支出452.63万元,商品和服务支出21.68万元,对个人和家庭的补助4.86万元,资本性支出16.24万元。</w:t>
      </w:r>
    </w:p>
    <w:p>
      <w:pPr>
        <w:spacing w:line="540" w:lineRule="exact"/>
        <w:ind w:firstLine="640" w:firstLineChars="200"/>
        <w:rPr>
          <w:rFonts w:ascii="仿宋_GB2312" w:eastAsia="仿宋_GB2312"/>
          <w:color w:val="000000" w:themeColor="text1"/>
          <w:sz w:val="32"/>
          <w:szCs w:val="32"/>
        </w:rPr>
      </w:pPr>
      <w:bookmarkStart w:id="38" w:name="OLE_LINK66"/>
      <w:bookmarkStart w:id="39"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454.66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495.41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，预决算差异率8.96%，差异主要原因是政策性调资：基本工资增加，高海拔工龄工资调增及补发，艰边津贴增加导致本年决算数较上年数增加。</w:t>
      </w:r>
      <w:bookmarkEnd w:id="38"/>
      <w:bookmarkEnd w:id="39"/>
      <w:bookmarkStart w:id="40"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454.66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495.41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，预决算差异率8.96%，差异主要原因是政策性调资</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基本工资增加，高海拔工龄工资调增及补发，艰边津贴增加导致本年决算数较上年数增加。</w:t>
      </w:r>
      <w:bookmarkEnd w:id="40"/>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1" w:name="OLE_LINK69"/>
      <w:r>
        <w:rPr>
          <w:rFonts w:hint="eastAsia" w:ascii="仿宋_GB2312" w:eastAsia="仿宋_GB2312"/>
          <w:color w:val="000000" w:themeColor="text1"/>
          <w:sz w:val="32"/>
          <w:szCs w:val="32"/>
        </w:rPr>
        <w:t>2018年度</w:t>
      </w:r>
      <w:bookmarkStart w:id="42" w:name="OLE_LINK22"/>
      <w:r>
        <w:rPr>
          <w:rFonts w:hint="eastAsia" w:ascii="仿宋_GB2312" w:eastAsia="仿宋_GB2312"/>
          <w:color w:val="000000" w:themeColor="text1"/>
          <w:sz w:val="32"/>
          <w:szCs w:val="32"/>
        </w:rPr>
        <w:t>政府性基金预算财政拨款收入</w:t>
      </w:r>
      <w:bookmarkEnd w:id="42"/>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sz w:val="32"/>
          <w:szCs w:val="32"/>
        </w:rPr>
        <w:t>由于本单位是2018年新增单位，无上年数据比对。</w:t>
      </w:r>
      <w:bookmarkEnd w:id="41"/>
      <w:bookmarkStart w:id="43" w:name="OLE_LINK23"/>
      <w:bookmarkStart w:id="44" w:name="OLE_LINK70"/>
      <w:r>
        <w:rPr>
          <w:rFonts w:hint="eastAsia" w:ascii="仿宋_GB2312" w:eastAsia="仿宋_GB2312"/>
          <w:color w:val="000000" w:themeColor="text1"/>
          <w:sz w:val="32"/>
          <w:szCs w:val="32"/>
        </w:rPr>
        <w:t>政府性基金预算支出</w:t>
      </w:r>
      <w:bookmarkEnd w:id="4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sz w:val="32"/>
          <w:szCs w:val="32"/>
        </w:rPr>
        <w:t>由于本单位是2018年新增单位，无上年数据比对。</w:t>
      </w:r>
      <w:bookmarkEnd w:id="44"/>
      <w:r>
        <w:rPr>
          <w:rFonts w:hint="eastAsia" w:ascii="仿宋_GB2312" w:eastAsia="仿宋_GB2312"/>
          <w:color w:val="000000" w:themeColor="text1"/>
          <w:sz w:val="32"/>
          <w:szCs w:val="32"/>
        </w:rPr>
        <w:t>其中：</w:t>
      </w:r>
      <w:bookmarkStart w:id="45" w:name="OLE_LINK24"/>
      <w:r>
        <w:rPr>
          <w:rFonts w:hint="eastAsia" w:ascii="仿宋_GB2312" w:eastAsia="仿宋_GB2312"/>
          <w:color w:val="000000" w:themeColor="text1"/>
          <w:sz w:val="32"/>
          <w:szCs w:val="32"/>
        </w:rPr>
        <w:t>按功能分类科目（按类级科目公开）</w:t>
      </w:r>
      <w:bookmarkEnd w:id="45"/>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6" w:name="OLE_LINK72"/>
      <w:bookmarkStart w:id="47"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6"/>
      <w:bookmarkEnd w:id="47"/>
      <w:bookmarkStart w:id="48"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8"/>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hint="eastAsia" w:ascii="仿宋_GB2312" w:eastAsia="仿宋_GB2312"/>
          <w:color w:val="000000" w:themeColor="text1"/>
          <w:sz w:val="32"/>
          <w:szCs w:val="32"/>
        </w:rPr>
      </w:pPr>
      <w:r>
        <w:rPr>
          <w:rFonts w:hint="eastAsia" w:ascii="仿宋_GB2312" w:eastAsia="仿宋_GB2312"/>
          <w:color w:val="000000" w:themeColor="text1"/>
          <w:sz w:val="32"/>
          <w:szCs w:val="32"/>
        </w:rPr>
        <w:t>年末结转结余0万元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与上年相比</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增加0万元，增长0%。</w:t>
      </w:r>
    </w:p>
    <w:p>
      <w:pPr>
        <w:spacing w:line="540" w:lineRule="exact"/>
        <w:ind w:firstLine="640" w:firstLineChars="200"/>
        <w:rPr>
          <w:rFonts w:hint="eastAsia" w:ascii="仿宋_GB2312" w:eastAsia="仿宋_GB2312"/>
          <w:color w:val="000000" w:themeColor="text1"/>
          <w:sz w:val="32"/>
          <w:szCs w:val="32"/>
        </w:rPr>
      </w:pPr>
      <w:r>
        <w:rPr>
          <w:rFonts w:hint="eastAsia" w:ascii="仿宋_GB2312" w:eastAsia="仿宋_GB2312"/>
          <w:color w:val="000000" w:themeColor="text1"/>
          <w:sz w:val="32"/>
          <w:szCs w:val="32"/>
        </w:rPr>
        <w:t>其中财政拨款结转结余0万元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与上年相比</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sz w:val="32"/>
          <w:szCs w:val="32"/>
        </w:rPr>
      </w:pPr>
      <w:bookmarkStart w:id="49" w:name="OLE_LINK74"/>
      <w:r>
        <w:rPr>
          <w:rFonts w:hint="eastAsia" w:ascii="仿宋_GB2312" w:eastAsia="仿宋_GB2312"/>
          <w:color w:val="000000" w:themeColor="text1"/>
          <w:sz w:val="32"/>
          <w:szCs w:val="32"/>
        </w:rPr>
        <w:t>2018年度</w:t>
      </w:r>
      <w:bookmarkStart w:id="50" w:name="OLE_LINK29"/>
      <w:r>
        <w:rPr>
          <w:rFonts w:hint="eastAsia" w:ascii="仿宋_GB2312" w:eastAsia="仿宋_GB2312"/>
          <w:color w:val="000000" w:themeColor="text1"/>
          <w:sz w:val="32"/>
          <w:szCs w:val="32"/>
        </w:rPr>
        <w:t>一般公共预算“三公”经费支出决算</w:t>
      </w:r>
      <w:bookmarkEnd w:id="50"/>
      <w:r>
        <w:rPr>
          <w:rFonts w:hint="eastAsia" w:ascii="仿宋_GB2312" w:eastAsia="仿宋_GB2312"/>
          <w:sz w:val="32"/>
          <w:szCs w:val="32"/>
        </w:rPr>
        <w:t>3.1</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sz w:val="32"/>
          <w:szCs w:val="32"/>
          <w:highlight w:val="none"/>
        </w:rPr>
        <w:t>与上年相比</w:t>
      </w:r>
      <w:r>
        <w:rPr>
          <w:rFonts w:hint="eastAsia" w:ascii="仿宋_GB2312" w:eastAsia="仿宋_GB2312"/>
          <w:sz w:val="32"/>
          <w:szCs w:val="32"/>
          <w:highlight w:val="none"/>
          <w:lang w:val="en-US" w:eastAsia="zh-CN"/>
        </w:rPr>
        <w:t>,增加3.1万元，增长100%，增加</w:t>
      </w:r>
      <w:r>
        <w:rPr>
          <w:rFonts w:hint="eastAsia" w:ascii="仿宋_GB2312" w:eastAsia="仿宋_GB2312"/>
          <w:sz w:val="32"/>
          <w:szCs w:val="32"/>
        </w:rPr>
        <w:t>的主要原因是：</w:t>
      </w:r>
      <w:r>
        <w:rPr>
          <w:rFonts w:ascii="仿宋_GB2312" w:eastAsia="仿宋_GB2312"/>
          <w:color w:val="000000" w:themeColor="text1"/>
          <w:sz w:val="32"/>
          <w:szCs w:val="32"/>
        </w:rPr>
        <w:t>由于本单位是2018年新增单位，因此无上年对比数据</w:t>
      </w:r>
      <w:r>
        <w:rPr>
          <w:rFonts w:hint="eastAsia" w:ascii="仿宋_GB2312" w:eastAsia="仿宋_GB2312"/>
          <w:sz w:val="32"/>
          <w:szCs w:val="32"/>
          <w:highlight w:val="none"/>
        </w:rPr>
        <w:t>。</w:t>
      </w:r>
      <w:r>
        <w:rPr>
          <w:rFonts w:hint="eastAsia" w:ascii="仿宋_GB2312" w:eastAsia="仿宋_GB2312"/>
          <w:color w:val="000000"/>
          <w:sz w:val="32"/>
          <w:szCs w:val="32"/>
          <w:highlight w:val="none"/>
        </w:rPr>
        <w:t>其中，因公出国（境）费支出</w:t>
      </w:r>
      <w:r>
        <w:rPr>
          <w:rFonts w:hint="eastAsia" w:ascii="仿宋_GB2312" w:eastAsia="仿宋_GB2312"/>
          <w:sz w:val="32"/>
          <w:szCs w:val="32"/>
          <w:highlight w:val="none"/>
        </w:rPr>
        <w:t>0</w:t>
      </w:r>
      <w:r>
        <w:rPr>
          <w:rFonts w:hint="eastAsia" w:ascii="仿宋_GB2312" w:eastAsia="仿宋_GB2312"/>
          <w:color w:val="000000"/>
          <w:sz w:val="32"/>
          <w:szCs w:val="32"/>
          <w:highlight w:val="none"/>
        </w:rPr>
        <w:t>万元，占</w:t>
      </w:r>
      <w:r>
        <w:rPr>
          <w:rFonts w:hint="eastAsia" w:ascii="仿宋_GB2312" w:eastAsia="仿宋_GB2312"/>
          <w:sz w:val="32"/>
          <w:szCs w:val="32"/>
          <w:highlight w:val="none"/>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r>
        <w:rPr>
          <w:rFonts w:hint="eastAsia" w:ascii="仿宋_GB2312" w:eastAsia="仿宋_GB2312"/>
          <w:sz w:val="32"/>
          <w:szCs w:val="32"/>
          <w:highlight w:val="none"/>
          <w:lang w:eastAsia="zh-CN"/>
        </w:rPr>
        <w:t>；</w:t>
      </w:r>
      <w:r>
        <w:rPr>
          <w:rFonts w:hint="eastAsia" w:ascii="仿宋_GB2312" w:eastAsia="仿宋_GB2312"/>
          <w:color w:val="000000"/>
          <w:sz w:val="32"/>
          <w:szCs w:val="32"/>
          <w:highlight w:val="none"/>
        </w:rPr>
        <w:t>公务用车购置及运行维护费支出</w:t>
      </w:r>
      <w:r>
        <w:rPr>
          <w:rFonts w:hint="eastAsia" w:ascii="仿宋_GB2312" w:eastAsia="仿宋_GB2312"/>
          <w:sz w:val="32"/>
          <w:szCs w:val="32"/>
          <w:highlight w:val="none"/>
          <w:lang w:val="en-US" w:eastAsia="zh-CN"/>
        </w:rPr>
        <w:t>3.1</w:t>
      </w:r>
      <w:r>
        <w:rPr>
          <w:rFonts w:hint="eastAsia" w:ascii="仿宋_GB2312" w:eastAsia="仿宋_GB2312"/>
          <w:color w:val="000000"/>
          <w:sz w:val="32"/>
          <w:szCs w:val="32"/>
          <w:highlight w:val="none"/>
        </w:rPr>
        <w:t>万元</w:t>
      </w:r>
      <w:r>
        <w:rPr>
          <w:rFonts w:hint="eastAsia" w:ascii="仿宋_GB2312" w:eastAsia="仿宋_GB2312"/>
          <w:color w:val="000000"/>
          <w:sz w:val="32"/>
          <w:szCs w:val="32"/>
        </w:rPr>
        <w:t>，占</w:t>
      </w:r>
      <w:r>
        <w:rPr>
          <w:rFonts w:hint="eastAsia" w:ascii="仿宋_GB2312" w:eastAsia="仿宋_GB2312"/>
          <w:sz w:val="32"/>
          <w:szCs w:val="32"/>
        </w:rPr>
        <w:t>100%，与上年相比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themeColor="text1"/>
          <w:sz w:val="32"/>
          <w:szCs w:val="32"/>
        </w:rPr>
        <w:t>由于本单位是2018年新增单位，因此无上年对比数据</w:t>
      </w:r>
      <w:r>
        <w:rPr>
          <w:rFonts w:hint="eastAsia" w:ascii="仿宋_GB2312" w:eastAsia="仿宋_GB2312"/>
          <w:sz w:val="32"/>
          <w:szCs w:val="32"/>
        </w:rPr>
        <w:t>；</w:t>
      </w:r>
      <w:r>
        <w:rPr>
          <w:rFonts w:hint="eastAsia" w:ascii="仿宋_GB2312" w:eastAsia="仿宋_GB2312"/>
          <w:color w:val="000000"/>
          <w:sz w:val="32"/>
          <w:szCs w:val="32"/>
        </w:rPr>
        <w:t>公务接待费支出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r>
        <w:rPr>
          <w:rFonts w:hint="eastAsia" w:ascii="仿宋_GB2312" w:eastAsia="仿宋_GB2312"/>
          <w:color w:val="000000"/>
          <w:sz w:val="32"/>
          <w:szCs w:val="32"/>
        </w:rPr>
        <w:t>具体情况如下：</w:t>
      </w:r>
    </w:p>
    <w:bookmarkEnd w:id="49"/>
    <w:p>
      <w:pPr>
        <w:spacing w:line="540" w:lineRule="exact"/>
        <w:ind w:firstLine="640" w:firstLineChars="200"/>
        <w:rPr>
          <w:rFonts w:ascii="仿宋_GB2312" w:eastAsia="仿宋_GB2312"/>
          <w:color w:val="000000" w:themeColor="text1"/>
          <w:sz w:val="32"/>
          <w:szCs w:val="32"/>
        </w:rPr>
      </w:pPr>
      <w:bookmarkStart w:id="51" w:name="OLE_LINK80"/>
      <w:bookmarkStart w:id="52"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新疆喀什地区塔什库尔干县市场监督管理局</w:t>
      </w:r>
      <w:r>
        <w:rPr>
          <w:rFonts w:hint="eastAsia" w:ascii="仿宋_GB2312" w:eastAsia="仿宋_GB2312"/>
          <w:color w:val="000000" w:themeColor="text1"/>
          <w:sz w:val="32"/>
          <w:szCs w:val="32"/>
        </w:rPr>
        <w:t>单位</w:t>
      </w:r>
      <w:bookmarkStart w:id="53" w:name="OLE_LINK33"/>
      <w:r>
        <w:rPr>
          <w:rFonts w:hint="eastAsia" w:ascii="仿宋_GB2312" w:eastAsia="仿宋_GB2312"/>
          <w:color w:val="000000" w:themeColor="text1"/>
          <w:sz w:val="32"/>
          <w:szCs w:val="32"/>
        </w:rPr>
        <w:t>全年</w:t>
      </w:r>
      <w:bookmarkStart w:id="54" w:name="OLE_LINK35"/>
      <w:bookmarkStart w:id="55" w:name="OLE_LINK34"/>
      <w:bookmarkStart w:id="56" w:name="OLE_LINK36"/>
      <w:r>
        <w:rPr>
          <w:rFonts w:hint="eastAsia" w:ascii="仿宋_GB2312" w:eastAsia="仿宋_GB2312"/>
          <w:color w:val="000000" w:themeColor="text1"/>
          <w:sz w:val="32"/>
          <w:szCs w:val="32"/>
        </w:rPr>
        <w:t>使用一般公共预算财政拨款安排的出国（境）团组</w:t>
      </w:r>
      <w:bookmarkEnd w:id="53"/>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个</w:t>
      </w:r>
      <w:bookmarkEnd w:id="56"/>
      <w:r>
        <w:rPr>
          <w:rFonts w:hint="eastAsia" w:ascii="仿宋_GB2312" w:eastAsia="仿宋_GB2312"/>
          <w:color w:val="000000" w:themeColor="text1"/>
          <w:sz w:val="32"/>
          <w:szCs w:val="32"/>
        </w:rPr>
        <w:t>，</w:t>
      </w:r>
      <w:bookmarkStart w:id="5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57"/>
      <w:r>
        <w:rPr>
          <w:rFonts w:hint="eastAsia" w:ascii="仿宋_GB2312" w:eastAsia="仿宋_GB2312"/>
          <w:color w:val="000000" w:themeColor="text1"/>
          <w:sz w:val="32"/>
          <w:szCs w:val="32"/>
        </w:rPr>
        <w:t>。</w:t>
      </w:r>
      <w:bookmarkStart w:id="58"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本单位2018年无因公出国（境）支出。</w:t>
      </w:r>
      <w:bookmarkEnd w:id="51"/>
      <w:bookmarkEnd w:id="52"/>
      <w:bookmarkEnd w:id="58"/>
    </w:p>
    <w:p>
      <w:pPr>
        <w:spacing w:line="540" w:lineRule="exact"/>
        <w:ind w:firstLine="640" w:firstLineChars="200"/>
        <w:rPr>
          <w:rFonts w:ascii="仿宋_GB2312" w:eastAsia="仿宋_GB2312"/>
          <w:color w:val="000000" w:themeColor="text1"/>
          <w:sz w:val="32"/>
          <w:szCs w:val="32"/>
        </w:rPr>
      </w:pPr>
      <w:bookmarkStart w:id="5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3.1</w:t>
      </w:r>
      <w:r>
        <w:rPr>
          <w:rFonts w:hint="eastAsia" w:ascii="仿宋_GB2312" w:eastAsia="仿宋_GB2312"/>
          <w:color w:val="000000" w:themeColor="text1"/>
          <w:sz w:val="32"/>
          <w:szCs w:val="32"/>
        </w:rPr>
        <w:t>万元,其中，</w:t>
      </w:r>
      <w:bookmarkStart w:id="6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0"/>
      <w:r>
        <w:rPr>
          <w:rFonts w:hint="eastAsia" w:ascii="仿宋_GB2312" w:eastAsia="仿宋_GB2312"/>
          <w:color w:val="000000" w:themeColor="text1"/>
          <w:sz w:val="32"/>
          <w:szCs w:val="32"/>
        </w:rPr>
        <w:t>，</w:t>
      </w:r>
      <w:bookmarkStart w:id="61" w:name="OLE_LINK40"/>
      <w:bookmarkStart w:id="62"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3.1</w:t>
      </w:r>
      <w:r>
        <w:rPr>
          <w:rFonts w:hint="eastAsia" w:ascii="仿宋_GB2312" w:eastAsia="仿宋_GB2312"/>
          <w:color w:val="000000" w:themeColor="text1"/>
          <w:sz w:val="32"/>
          <w:szCs w:val="32"/>
        </w:rPr>
        <w:t>万元</w:t>
      </w:r>
      <w:bookmarkEnd w:id="61"/>
      <w:bookmarkEnd w:id="62"/>
      <w:r>
        <w:rPr>
          <w:rFonts w:hint="eastAsia" w:ascii="仿宋_GB2312" w:eastAsia="仿宋_GB2312"/>
          <w:color w:val="000000" w:themeColor="text1"/>
          <w:sz w:val="32"/>
          <w:szCs w:val="32"/>
        </w:rPr>
        <w:t>。主要用于</w:t>
      </w:r>
      <w:r>
        <w:rPr>
          <w:rFonts w:hint="eastAsia" w:ascii="仿宋_GB2312" w:eastAsia="仿宋_GB2312"/>
          <w:sz w:val="32"/>
          <w:szCs w:val="32"/>
        </w:rPr>
        <w:t>公务用车运行维护费</w:t>
      </w:r>
      <w:r>
        <w:rPr>
          <w:rFonts w:hint="eastAsia" w:ascii="仿宋_GB2312" w:eastAsia="仿宋_GB2312"/>
          <w:sz w:val="32"/>
          <w:szCs w:val="32"/>
          <w:lang w:eastAsia="zh-CN"/>
        </w:rPr>
        <w:t>、保险费、油料费</w:t>
      </w:r>
      <w:r>
        <w:rPr>
          <w:rFonts w:hint="eastAsia" w:ascii="仿宋_GB2312" w:eastAsia="仿宋_GB2312"/>
          <w:sz w:val="32"/>
          <w:szCs w:val="32"/>
        </w:rPr>
        <w:t>支出</w:t>
      </w:r>
      <w:r>
        <w:rPr>
          <w:rFonts w:hint="eastAsia" w:ascii="仿宋_GB2312" w:eastAsia="仿宋_GB2312"/>
          <w:color w:val="000000" w:themeColor="text1"/>
          <w:sz w:val="32"/>
          <w:szCs w:val="32"/>
        </w:rPr>
        <w:t>等。</w:t>
      </w:r>
      <w:bookmarkEnd w:id="59"/>
      <w:bookmarkStart w:id="6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3</w:t>
      </w:r>
      <w:r>
        <w:rPr>
          <w:rFonts w:hint="eastAsia" w:ascii="仿宋_GB2312" w:eastAsia="仿宋_GB2312"/>
          <w:color w:val="000000" w:themeColor="text1"/>
          <w:sz w:val="32"/>
          <w:szCs w:val="32"/>
        </w:rPr>
        <w:t>辆。</w:t>
      </w:r>
      <w:bookmarkEnd w:id="63"/>
    </w:p>
    <w:p>
      <w:pPr>
        <w:spacing w:line="540" w:lineRule="exact"/>
        <w:ind w:firstLine="640" w:firstLineChars="200"/>
        <w:rPr>
          <w:rFonts w:ascii="仿宋_GB2312" w:eastAsia="仿宋_GB2312"/>
          <w:color w:val="000000" w:themeColor="text1"/>
          <w:sz w:val="32"/>
          <w:szCs w:val="32"/>
        </w:rPr>
      </w:pPr>
      <w:bookmarkStart w:id="6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本单位无公务接待费支出</w:t>
      </w:r>
      <w:r>
        <w:rPr>
          <w:rFonts w:hint="eastAsia" w:ascii="仿宋_GB2312" w:eastAsia="仿宋_GB2312"/>
          <w:color w:val="000000" w:themeColor="text1"/>
          <w:sz w:val="32"/>
          <w:szCs w:val="32"/>
        </w:rPr>
        <w:t>等。</w:t>
      </w:r>
      <w:bookmarkEnd w:id="64"/>
      <w:bookmarkStart w:id="65" w:name="OLE_LINK84"/>
      <w:r>
        <w:rPr>
          <w:rFonts w:hint="eastAsia" w:ascii="仿宋_GB2312" w:eastAsia="仿宋_GB2312"/>
          <w:sz w:val="32"/>
          <w:szCs w:val="32"/>
        </w:rPr>
        <w:t>新疆喀什地区塔什库尔干县市场监督管理局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5"/>
    </w:p>
    <w:p>
      <w:pPr>
        <w:spacing w:line="540" w:lineRule="exact"/>
        <w:ind w:firstLine="640" w:firstLineChars="200"/>
        <w:rPr>
          <w:rFonts w:ascii="仿宋_GB2312" w:hAnsi="宋体" w:eastAsia="仿宋_GB2312" w:cs="宋体"/>
          <w:color w:val="000000" w:themeColor="text1"/>
          <w:kern w:val="0"/>
          <w:sz w:val="32"/>
          <w:szCs w:val="32"/>
        </w:rPr>
      </w:pPr>
      <w:bookmarkStart w:id="6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4</w:t>
      </w:r>
      <w:r>
        <w:rPr>
          <w:rFonts w:hint="eastAsia" w:ascii="仿宋_GB2312" w:eastAsia="仿宋_GB2312"/>
          <w:color w:val="000000" w:themeColor="text1"/>
          <w:sz w:val="32"/>
          <w:szCs w:val="32"/>
        </w:rPr>
        <w:t>万元，决算数3.1万元</w:t>
      </w:r>
      <w:r>
        <w:rPr>
          <w:rFonts w:ascii="仿宋_GB2312" w:eastAsia="仿宋_GB2312"/>
          <w:color w:val="000000" w:themeColor="text1"/>
          <w:sz w:val="32"/>
          <w:szCs w:val="32"/>
        </w:rPr>
        <w:t>，预决算差异率-22.5%，差异主要原因是</w:t>
      </w:r>
      <w:r>
        <w:rPr>
          <w:rFonts w:hint="eastAsia" w:ascii="仿宋_GB2312" w:eastAsia="仿宋_GB2312"/>
          <w:color w:val="000000" w:themeColor="text1"/>
          <w:sz w:val="32"/>
          <w:szCs w:val="32"/>
          <w:lang w:eastAsia="zh-CN"/>
        </w:rPr>
        <w:t>公务</w:t>
      </w:r>
      <w:r>
        <w:rPr>
          <w:rFonts w:ascii="仿宋_GB2312" w:eastAsia="仿宋_GB2312"/>
          <w:color w:val="000000" w:themeColor="text1"/>
          <w:sz w:val="32"/>
          <w:szCs w:val="32"/>
        </w:rPr>
        <w:t>车辆</w:t>
      </w:r>
      <w:r>
        <w:rPr>
          <w:rFonts w:hint="eastAsia" w:ascii="仿宋_GB2312" w:eastAsia="仿宋_GB2312"/>
          <w:color w:val="000000" w:themeColor="text1"/>
          <w:sz w:val="32"/>
          <w:szCs w:val="32"/>
          <w:lang w:eastAsia="zh-CN"/>
        </w:rPr>
        <w:t>运行维护费减少</w:t>
      </w:r>
      <w:r>
        <w:rPr>
          <w:rFonts w:ascii="仿宋_GB2312" w:eastAsia="仿宋_GB2312"/>
          <w:color w:val="000000" w:themeColor="text1"/>
          <w:sz w:val="32"/>
          <w:szCs w:val="32"/>
        </w:rPr>
        <w:t>。</w:t>
      </w:r>
      <w:bookmarkEnd w:id="66"/>
      <w:bookmarkStart w:id="67" w:name="OLE_LINK87"/>
      <w:bookmarkStart w:id="68"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67"/>
      <w:bookmarkEnd w:id="68"/>
      <w:bookmarkStart w:id="69" w:name="OLE_LINK88"/>
      <w:bookmarkStart w:id="70"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69"/>
      <w:bookmarkEnd w:id="70"/>
      <w:bookmarkStart w:id="7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，预决算差异率-22.5%，差异主要原因是</w:t>
      </w:r>
      <w:r>
        <w:rPr>
          <w:rFonts w:hint="eastAsia" w:ascii="仿宋_GB2312" w:eastAsia="仿宋_GB2312"/>
          <w:color w:val="000000" w:themeColor="text1"/>
          <w:sz w:val="32"/>
          <w:szCs w:val="32"/>
          <w:lang w:eastAsia="zh-CN"/>
        </w:rPr>
        <w:t>公务</w:t>
      </w:r>
      <w:r>
        <w:rPr>
          <w:rFonts w:ascii="仿宋_GB2312" w:eastAsia="仿宋_GB2312"/>
          <w:color w:val="000000" w:themeColor="text1"/>
          <w:sz w:val="32"/>
          <w:szCs w:val="32"/>
        </w:rPr>
        <w:t>车辆</w:t>
      </w:r>
      <w:r>
        <w:rPr>
          <w:rFonts w:hint="eastAsia" w:ascii="仿宋_GB2312" w:eastAsia="仿宋_GB2312"/>
          <w:color w:val="000000" w:themeColor="text1"/>
          <w:sz w:val="32"/>
          <w:szCs w:val="32"/>
          <w:lang w:eastAsia="zh-CN"/>
        </w:rPr>
        <w:t>运行维护费减少</w:t>
      </w:r>
      <w:r>
        <w:rPr>
          <w:rFonts w:ascii="仿宋_GB2312" w:eastAsia="仿宋_GB2312"/>
          <w:color w:val="000000" w:themeColor="text1"/>
          <w:sz w:val="32"/>
          <w:szCs w:val="32"/>
        </w:rPr>
        <w:t>；</w:t>
      </w:r>
      <w:bookmarkEnd w:id="71"/>
      <w:bookmarkStart w:id="7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72"/>
      <w:r>
        <w:rPr>
          <w:rFonts w:ascii="仿宋_GB2312" w:eastAsia="仿宋_GB2312"/>
          <w:color w:val="000000" w:themeColor="text1"/>
          <w:sz w:val="32"/>
          <w:szCs w:val="32"/>
        </w:rPr>
        <w:t>无</w:t>
      </w:r>
      <w:r>
        <w:rPr>
          <w:rFonts w:hint="eastAsia" w:ascii="仿宋_GB2312" w:hAnsi="宋体" w:eastAsia="仿宋_GB2312" w:cs="宋体"/>
          <w:color w:val="000000" w:themeColor="text1"/>
          <w:kern w:val="0"/>
          <w:sz w:val="32"/>
          <w:szCs w:val="32"/>
        </w:rPr>
        <w:t>公务接待费</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2018年度新疆喀什地区塔什库尔干县市场监督管理局机关运行经费支出21.68万元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与上年相比，</w:t>
      </w:r>
      <w:r>
        <w:rPr>
          <w:rFonts w:hint="eastAsia" w:ascii="仿宋_GB2312" w:eastAsia="仿宋_GB2312"/>
          <w:color w:val="000000" w:themeColor="text1"/>
          <w:sz w:val="32"/>
          <w:szCs w:val="32"/>
          <w:lang w:eastAsia="zh-CN"/>
        </w:rPr>
        <w:t>增加</w:t>
      </w:r>
      <w:r>
        <w:rPr>
          <w:rFonts w:hint="eastAsia" w:ascii="仿宋_GB2312" w:eastAsia="仿宋_GB2312"/>
          <w:color w:val="000000" w:themeColor="text1"/>
          <w:sz w:val="32"/>
          <w:szCs w:val="32"/>
          <w:lang w:val="en-US" w:eastAsia="zh-CN"/>
        </w:rPr>
        <w:t>21.68</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w:t>
      </w:r>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eastAsia="zh-CN"/>
        </w:rPr>
        <w:t>增加</w:t>
      </w:r>
      <w:r>
        <w:rPr>
          <w:rFonts w:hint="eastAsia" w:ascii="仿宋_GB2312" w:eastAsia="仿宋_GB2312"/>
          <w:color w:val="000000" w:themeColor="text1"/>
          <w:sz w:val="32"/>
          <w:szCs w:val="32"/>
        </w:rPr>
        <w:t>的主要原因是：由于本单位是2018年新增单位，因此无上年对比数据。</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3" w:name="OLE_LINK45"/>
      <w:r>
        <w:rPr>
          <w:rFonts w:hint="eastAsia" w:ascii="仿宋_GB2312" w:eastAsia="仿宋_GB2312"/>
          <w:color w:val="000000" w:themeColor="text1"/>
          <w:sz w:val="32"/>
          <w:szCs w:val="32"/>
        </w:rPr>
        <w:t>政府采购支出总额</w:t>
      </w:r>
      <w:bookmarkEnd w:id="73"/>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46"/>
      <w:r>
        <w:rPr>
          <w:rFonts w:hint="eastAsia" w:ascii="仿宋_GB2312" w:eastAsia="仿宋_GB2312"/>
          <w:color w:val="000000" w:themeColor="text1"/>
          <w:sz w:val="32"/>
          <w:szCs w:val="32"/>
        </w:rPr>
        <w:t>政府采购货物支出</w:t>
      </w:r>
      <w:bookmarkEnd w:id="74"/>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5" w:name="OLE_LINK47"/>
      <w:r>
        <w:rPr>
          <w:rFonts w:hint="eastAsia" w:ascii="仿宋_GB2312" w:eastAsia="仿宋_GB2312"/>
          <w:color w:val="000000" w:themeColor="text1"/>
          <w:sz w:val="32"/>
          <w:szCs w:val="32"/>
        </w:rPr>
        <w:t>政府采购工程支出</w:t>
      </w:r>
      <w:bookmarkEnd w:id="7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6" w:name="OLE_LINK48"/>
      <w:r>
        <w:rPr>
          <w:rFonts w:hint="eastAsia" w:ascii="仿宋_GB2312" w:eastAsia="仿宋_GB2312"/>
          <w:color w:val="000000" w:themeColor="text1"/>
          <w:sz w:val="32"/>
          <w:szCs w:val="32"/>
        </w:rPr>
        <w:t>政府采购服务支出</w:t>
      </w:r>
      <w:bookmarkEnd w:id="76"/>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3</w:t>
      </w:r>
      <w:r>
        <w:rPr>
          <w:rFonts w:hint="eastAsia" w:ascii="仿宋_GB2312" w:eastAsia="仿宋_GB2312"/>
          <w:color w:val="000000" w:themeColor="text1"/>
          <w:sz w:val="32"/>
          <w:szCs w:val="32"/>
        </w:rPr>
        <w:t>辆，价值</w:t>
      </w:r>
      <w:r>
        <w:rPr>
          <w:rFonts w:hint="eastAsia" w:ascii="仿宋_GB2312" w:eastAsia="仿宋_GB2312"/>
          <w:sz w:val="32"/>
          <w:szCs w:val="32"/>
        </w:rPr>
        <w:t>45.07</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3</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其他用车</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2018年度本部门实行绩效管理的项目</w:t>
      </w:r>
      <w:r>
        <w:rPr>
          <w:rFonts w:hint="eastAsia" w:ascii="仿宋_GB2312" w:eastAsia="仿宋_GB2312"/>
          <w:sz w:val="32"/>
          <w:szCs w:val="32"/>
          <w:lang w:val="en-US" w:eastAsia="zh-CN"/>
        </w:rPr>
        <w:t>1</w:t>
      </w:r>
      <w:bookmarkStart w:id="78" w:name="_GoBack"/>
      <w:bookmarkEnd w:id="78"/>
      <w:r>
        <w:rPr>
          <w:rFonts w:ascii="仿宋_GB2312" w:eastAsia="仿宋_GB2312"/>
          <w:sz w:val="32"/>
          <w:szCs w:val="32"/>
        </w:rPr>
        <w:t>个，涉及预算数16.24万元，决算数16.24万元，执行率100%。1、购置食品快速抽检车项目。本单位2018年严格执行预算绩效管理工作要求，成立绩效管理领导小组，对项目严格进行事前、事中、事后全过程</w:t>
      </w:r>
      <w:r>
        <w:rPr>
          <w:rFonts w:hint="eastAsia" w:ascii="仿宋_GB2312" w:eastAsia="仿宋_GB2312"/>
          <w:sz w:val="32"/>
          <w:szCs w:val="32"/>
          <w:lang w:val="en-US" w:eastAsia="zh-CN"/>
        </w:rPr>
        <w:t>监督</w:t>
      </w:r>
      <w:r>
        <w:rPr>
          <w:rFonts w:ascii="仿宋_GB2312" w:eastAsia="仿宋_GB2312"/>
          <w:sz w:val="32"/>
          <w:szCs w:val="32"/>
        </w:rPr>
        <w:t>，按时申报项目绩效目标表、自评表，自评报告，总结经验，发现不足，及时进行整改，确保各项目如期完成。</w:t>
      </w:r>
    </w:p>
    <w:p>
      <w:pPr>
        <w:spacing w:line="540" w:lineRule="exact"/>
        <w:ind w:left="-1" w:right="-1" w:firstLine="646"/>
        <w:jc w:val="left"/>
      </w:pPr>
      <w:r>
        <w:rPr>
          <w:rFonts w:ascii="仿宋_GB2312" w:hAnsi="仿宋_GB2312" w:eastAsia="仿宋_GB2312" w:cs="仿宋_GB2312"/>
          <w:b w:val="0"/>
          <w:color w:val="000000"/>
          <w:sz w:val="32"/>
          <w:u w:val="none"/>
        </w:rPr>
        <w:t>购置食品快速抽检车项目项目绩效自评综述：根据年初设定的绩效目标，该项目绩效自评得分为95分。项目全年预算数为16.24万元，执行数为16.24万元，完成预算的100%。主要产出和效果：本项食品快速抽检费项目已完成，完成率100%，该项目的实施在以后的工作中发挥食品快速抽检车的各项用途，保障全县人民食品安全。发现的问题及原因：无。下一步改进措施：无。</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210（类）10（款）99（项）指：其他食品和药品监督管理事务支出。201（类）15（款）01（项）指：行政运行。210（类）10（款）01（项）指：行政运行。201（类）17（款）01（项）指：行政运行。210（类）10（款）16（项）指：食品安全事务。221（类）02（款）01（项）指：住房公积金。201（类）15（款）50（项）指：事业运行。201（类）17（款）50（项）指：事业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15FE3"/>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B7EAE"/>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58E206E"/>
    <w:rsid w:val="06734CB4"/>
    <w:rsid w:val="06B856EE"/>
    <w:rsid w:val="07FE5938"/>
    <w:rsid w:val="084604BC"/>
    <w:rsid w:val="08883825"/>
    <w:rsid w:val="09725983"/>
    <w:rsid w:val="0A382BB5"/>
    <w:rsid w:val="0AA4543A"/>
    <w:rsid w:val="0BDA4671"/>
    <w:rsid w:val="0BE61132"/>
    <w:rsid w:val="0C9B0DD6"/>
    <w:rsid w:val="0CE4791C"/>
    <w:rsid w:val="0D612F6F"/>
    <w:rsid w:val="0E063C64"/>
    <w:rsid w:val="0F4C7B96"/>
    <w:rsid w:val="0F5B5AB8"/>
    <w:rsid w:val="0FFB575E"/>
    <w:rsid w:val="10845F1B"/>
    <w:rsid w:val="109C1BB2"/>
    <w:rsid w:val="11342690"/>
    <w:rsid w:val="11463A00"/>
    <w:rsid w:val="11600918"/>
    <w:rsid w:val="11B0398F"/>
    <w:rsid w:val="11F96879"/>
    <w:rsid w:val="13B960C5"/>
    <w:rsid w:val="13BF1A68"/>
    <w:rsid w:val="142527E7"/>
    <w:rsid w:val="14EA46AC"/>
    <w:rsid w:val="14F2498B"/>
    <w:rsid w:val="152777F4"/>
    <w:rsid w:val="15C674B6"/>
    <w:rsid w:val="164E4267"/>
    <w:rsid w:val="17094E12"/>
    <w:rsid w:val="18D54A0D"/>
    <w:rsid w:val="19BB2B18"/>
    <w:rsid w:val="1A105E4F"/>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7A808BD"/>
    <w:rsid w:val="27FE315A"/>
    <w:rsid w:val="28B360C4"/>
    <w:rsid w:val="292361CB"/>
    <w:rsid w:val="29680352"/>
    <w:rsid w:val="29831404"/>
    <w:rsid w:val="2A020F75"/>
    <w:rsid w:val="2A6237B0"/>
    <w:rsid w:val="2B007AEE"/>
    <w:rsid w:val="2BC14C56"/>
    <w:rsid w:val="2C1B026F"/>
    <w:rsid w:val="2CC61F55"/>
    <w:rsid w:val="2EA82C4A"/>
    <w:rsid w:val="2EF7452F"/>
    <w:rsid w:val="2F1D13B4"/>
    <w:rsid w:val="2FAA3DA6"/>
    <w:rsid w:val="30155A4A"/>
    <w:rsid w:val="30682E1F"/>
    <w:rsid w:val="30E210D2"/>
    <w:rsid w:val="311371D6"/>
    <w:rsid w:val="31E669A8"/>
    <w:rsid w:val="31EB64C9"/>
    <w:rsid w:val="336D0D6F"/>
    <w:rsid w:val="348450AE"/>
    <w:rsid w:val="350A7AA2"/>
    <w:rsid w:val="352E4BEC"/>
    <w:rsid w:val="35983D7F"/>
    <w:rsid w:val="37DD5594"/>
    <w:rsid w:val="38F24FA8"/>
    <w:rsid w:val="395A0925"/>
    <w:rsid w:val="39C3248A"/>
    <w:rsid w:val="3A98342A"/>
    <w:rsid w:val="3AB6780E"/>
    <w:rsid w:val="3AD56D70"/>
    <w:rsid w:val="3B2920C2"/>
    <w:rsid w:val="3BE41ABD"/>
    <w:rsid w:val="3C5421A9"/>
    <w:rsid w:val="3D903B21"/>
    <w:rsid w:val="3F440741"/>
    <w:rsid w:val="400376B4"/>
    <w:rsid w:val="40BF1B9C"/>
    <w:rsid w:val="41FC306C"/>
    <w:rsid w:val="42542EAC"/>
    <w:rsid w:val="43C779BA"/>
    <w:rsid w:val="440162CA"/>
    <w:rsid w:val="44BE5554"/>
    <w:rsid w:val="451E0908"/>
    <w:rsid w:val="452C2D31"/>
    <w:rsid w:val="45D26E14"/>
    <w:rsid w:val="45F623E8"/>
    <w:rsid w:val="462C266A"/>
    <w:rsid w:val="46A541B1"/>
    <w:rsid w:val="48C57772"/>
    <w:rsid w:val="49782886"/>
    <w:rsid w:val="4A6F0D28"/>
    <w:rsid w:val="4AAF085C"/>
    <w:rsid w:val="4AEB7E60"/>
    <w:rsid w:val="4B4B135B"/>
    <w:rsid w:val="4BC7055F"/>
    <w:rsid w:val="4CFC7DB2"/>
    <w:rsid w:val="4E0D772C"/>
    <w:rsid w:val="4E7C187D"/>
    <w:rsid w:val="4EA95DFB"/>
    <w:rsid w:val="508941AD"/>
    <w:rsid w:val="50E65530"/>
    <w:rsid w:val="51222E78"/>
    <w:rsid w:val="51323327"/>
    <w:rsid w:val="51457139"/>
    <w:rsid w:val="51574DBD"/>
    <w:rsid w:val="51EC1DA8"/>
    <w:rsid w:val="52FC5524"/>
    <w:rsid w:val="532D7A17"/>
    <w:rsid w:val="54AF4562"/>
    <w:rsid w:val="54C9674B"/>
    <w:rsid w:val="556318EA"/>
    <w:rsid w:val="55A60AA1"/>
    <w:rsid w:val="55B3272D"/>
    <w:rsid w:val="56451615"/>
    <w:rsid w:val="56D6100E"/>
    <w:rsid w:val="57FC5774"/>
    <w:rsid w:val="59B332C9"/>
    <w:rsid w:val="59F64314"/>
    <w:rsid w:val="5A44758A"/>
    <w:rsid w:val="5B5F7320"/>
    <w:rsid w:val="5BEC4BB3"/>
    <w:rsid w:val="5C070B55"/>
    <w:rsid w:val="5CB96DCE"/>
    <w:rsid w:val="5CE61580"/>
    <w:rsid w:val="5D175666"/>
    <w:rsid w:val="5D556A3C"/>
    <w:rsid w:val="5D7B25C9"/>
    <w:rsid w:val="5ECB44B4"/>
    <w:rsid w:val="5EE2043C"/>
    <w:rsid w:val="6008113A"/>
    <w:rsid w:val="602D2E37"/>
    <w:rsid w:val="607E6AE1"/>
    <w:rsid w:val="61460FBE"/>
    <w:rsid w:val="61B44F2F"/>
    <w:rsid w:val="62775810"/>
    <w:rsid w:val="62D83744"/>
    <w:rsid w:val="630F4048"/>
    <w:rsid w:val="63AA02E5"/>
    <w:rsid w:val="64700DE9"/>
    <w:rsid w:val="65C613BD"/>
    <w:rsid w:val="65FD118C"/>
    <w:rsid w:val="67631847"/>
    <w:rsid w:val="682C3D89"/>
    <w:rsid w:val="68611305"/>
    <w:rsid w:val="69740D0C"/>
    <w:rsid w:val="69B10B2C"/>
    <w:rsid w:val="6A162DE0"/>
    <w:rsid w:val="6A331428"/>
    <w:rsid w:val="6B2E5CB6"/>
    <w:rsid w:val="6B3D4886"/>
    <w:rsid w:val="6DF8675E"/>
    <w:rsid w:val="6EA80098"/>
    <w:rsid w:val="6F8D70FF"/>
    <w:rsid w:val="6FFE5011"/>
    <w:rsid w:val="71553FEE"/>
    <w:rsid w:val="7178734D"/>
    <w:rsid w:val="71791096"/>
    <w:rsid w:val="717B0C34"/>
    <w:rsid w:val="71FB78FD"/>
    <w:rsid w:val="7275064A"/>
    <w:rsid w:val="733F750B"/>
    <w:rsid w:val="735702E2"/>
    <w:rsid w:val="74981A20"/>
    <w:rsid w:val="749A7027"/>
    <w:rsid w:val="74A2788A"/>
    <w:rsid w:val="74C54C0C"/>
    <w:rsid w:val="758C0D27"/>
    <w:rsid w:val="7615335D"/>
    <w:rsid w:val="765F635A"/>
    <w:rsid w:val="76B73454"/>
    <w:rsid w:val="76D20326"/>
    <w:rsid w:val="76D254BD"/>
    <w:rsid w:val="77727ACD"/>
    <w:rsid w:val="78071142"/>
    <w:rsid w:val="79296B37"/>
    <w:rsid w:val="79730AF8"/>
    <w:rsid w:val="7A4C4C40"/>
    <w:rsid w:val="7AA0518E"/>
    <w:rsid w:val="7B041636"/>
    <w:rsid w:val="7C7F740A"/>
    <w:rsid w:val="7CA86749"/>
    <w:rsid w:val="7D6E7C7A"/>
    <w:rsid w:val="7D800192"/>
    <w:rsid w:val="7EC92370"/>
    <w:rsid w:val="7F2238BD"/>
    <w:rsid w:val="7FE41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1</TotalTime>
  <ScaleCrop>false</ScaleCrop>
  <LinksUpToDate>false</LinksUpToDate>
  <CharactersWithSpaces>7696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2020-04-05T05:18:09Z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