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2018年度新疆喀什地区塔什库尔干县地震台部门决算公开说明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1、在人民政府的领导下，认真贯彻执行防震减灾的法律、法规和规章，依照法律、法规赋予的职责和上级政府关于防震减灾的各项部署，管理我县防震减灾工作。</w:t>
      </w:r>
      <w:r>
        <w:rPr>
          <w:rFonts w:hint="eastAsia" w:ascii="仿宋_GB2312" w:eastAsia="仿宋_GB2312"/>
          <w:sz w:val="32"/>
          <w:szCs w:val="32"/>
        </w:rPr>
        <w:br w:type="textWrapping"/>
      </w:r>
      <w:r>
        <w:rPr>
          <w:rFonts w:hint="eastAsia" w:ascii="仿宋_GB2312" w:eastAsia="仿宋_GB2312"/>
          <w:sz w:val="32"/>
          <w:szCs w:val="32"/>
        </w:rPr>
        <w:t>2、会同有关部门编制防震减灾规划，把防震减灾工作纳入全县国民经济和社会发展计划；会同有关部门制定我县地震应急预案，并根据震情变化，及时进行修订、补充。</w:t>
      </w:r>
      <w:r>
        <w:rPr>
          <w:rFonts w:hint="eastAsia" w:ascii="仿宋_GB2312" w:eastAsia="仿宋_GB2312"/>
          <w:sz w:val="32"/>
          <w:szCs w:val="32"/>
        </w:rPr>
        <w:br w:type="textWrapping"/>
      </w:r>
      <w:r>
        <w:rPr>
          <w:rFonts w:hint="eastAsia" w:ascii="仿宋_GB2312" w:eastAsia="仿宋_GB2312"/>
          <w:sz w:val="32"/>
          <w:szCs w:val="32"/>
        </w:rPr>
        <w:t>3、会同地震台制定短期与临震预报方案，建立震情跟踪会商制度，提高地震监测预报能力；负责本县地震震情和灾后速报，会同有关部门组织地震灾害调查与地震灾害损失评估。</w:t>
      </w:r>
      <w:r>
        <w:rPr>
          <w:rFonts w:hint="eastAsia" w:ascii="仿宋_GB2312" w:eastAsia="仿宋_GB2312"/>
          <w:sz w:val="32"/>
          <w:szCs w:val="32"/>
        </w:rPr>
        <w:br w:type="textWrapping"/>
      </w:r>
      <w:r>
        <w:rPr>
          <w:rFonts w:hint="eastAsia" w:ascii="仿宋_GB2312" w:eastAsia="仿宋_GB2312"/>
          <w:sz w:val="32"/>
          <w:szCs w:val="32"/>
        </w:rPr>
        <w:t>4、负责组织开展地震群测群防工作，建立本县地震宏观预报网、地震灾情速报网、地震知识宣传网和乡镇防震减灾助理员的“三网一员”体系。</w:t>
      </w:r>
      <w:r>
        <w:rPr>
          <w:rFonts w:hint="eastAsia" w:ascii="仿宋_GB2312" w:eastAsia="仿宋_GB2312"/>
          <w:sz w:val="32"/>
          <w:szCs w:val="32"/>
        </w:rPr>
        <w:br w:type="textWrapping"/>
      </w:r>
      <w:r>
        <w:rPr>
          <w:rFonts w:hint="eastAsia" w:ascii="仿宋_GB2312" w:eastAsia="仿宋_GB2312"/>
          <w:sz w:val="32"/>
          <w:szCs w:val="32"/>
        </w:rPr>
        <w:t>5、开展防震减灾知识的宣传教育，提高公民的防震减灾意识，提高公民在地震灾害中自救、互救的能力。</w:t>
      </w:r>
      <w:r>
        <w:rPr>
          <w:rFonts w:hint="eastAsia" w:ascii="仿宋_GB2312" w:eastAsia="仿宋_GB2312"/>
          <w:sz w:val="32"/>
          <w:szCs w:val="32"/>
        </w:rPr>
        <w:br w:type="textWrapping"/>
      </w:r>
      <w:r>
        <w:rPr>
          <w:rFonts w:hint="eastAsia" w:ascii="仿宋_GB2312" w:eastAsia="仿宋_GB2312"/>
          <w:sz w:val="32"/>
          <w:szCs w:val="32"/>
        </w:rPr>
        <w:t>6、负责本县区域内的地震安全性评价的监督管理和建筑工程抗震设防要求的监督管理工作。</w:t>
      </w:r>
      <w:r>
        <w:rPr>
          <w:rFonts w:hint="eastAsia" w:ascii="仿宋_GB2312" w:eastAsia="仿宋_GB2312"/>
          <w:sz w:val="32"/>
          <w:szCs w:val="32"/>
        </w:rPr>
        <w:br w:type="textWrapping"/>
      </w:r>
      <w:r>
        <w:rPr>
          <w:rFonts w:hint="eastAsia" w:ascii="仿宋_GB2312" w:eastAsia="仿宋_GB2312"/>
          <w:sz w:val="32"/>
          <w:szCs w:val="32"/>
        </w:rPr>
        <w:t>7、加强对村镇房屋建筑抗震设防的指导，逐步增强村镇房屋抗御地震破坏的能力。</w:t>
      </w:r>
      <w:r>
        <w:rPr>
          <w:rFonts w:hint="eastAsia" w:ascii="仿宋_GB2312" w:eastAsia="仿宋_GB2312"/>
          <w:sz w:val="32"/>
          <w:szCs w:val="32"/>
        </w:rPr>
        <w:br w:type="textWrapping"/>
      </w:r>
      <w:r>
        <w:rPr>
          <w:rFonts w:hint="eastAsia" w:ascii="仿宋_GB2312" w:eastAsia="仿宋_GB2312"/>
          <w:sz w:val="32"/>
          <w:szCs w:val="32"/>
        </w:rPr>
        <w:t>8、指导、监督、协调地震监测设施及其观测环境的保护。</w:t>
      </w:r>
      <w:r>
        <w:rPr>
          <w:rFonts w:hint="eastAsia" w:ascii="仿宋_GB2312" w:eastAsia="仿宋_GB2312"/>
          <w:sz w:val="32"/>
          <w:szCs w:val="32"/>
        </w:rPr>
        <w:br w:type="textWrapping"/>
      </w:r>
      <w:r>
        <w:rPr>
          <w:rFonts w:hint="eastAsia" w:ascii="仿宋_GB2312" w:eastAsia="仿宋_GB2312"/>
          <w:sz w:val="32"/>
          <w:szCs w:val="32"/>
        </w:rPr>
        <w:t>9、依法实施本县区域内的防震减灾工作的奖励、处罚等工作。</w:t>
      </w:r>
      <w:r>
        <w:rPr>
          <w:rFonts w:hint="eastAsia" w:ascii="仿宋_GB2312" w:eastAsia="仿宋_GB2312"/>
          <w:sz w:val="32"/>
          <w:szCs w:val="32"/>
        </w:rPr>
        <w:br w:type="textWrapping"/>
      </w:r>
      <w:r>
        <w:rPr>
          <w:rFonts w:hint="eastAsia" w:ascii="仿宋_GB2312" w:eastAsia="仿宋_GB2312"/>
          <w:sz w:val="32"/>
          <w:szCs w:val="32"/>
        </w:rPr>
        <w:t>10、承担县人民政府抗震救灾指导部的日常工作。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新疆喀什地区塔什库尔干县地震台</w:t>
      </w:r>
      <w:r>
        <w:rPr>
          <w:rFonts w:hint="eastAsia" w:ascii="仿宋_GB2312" w:eastAsia="仿宋_GB2312"/>
          <w:sz w:val="32"/>
          <w:szCs w:val="32"/>
        </w:rPr>
        <w:t>部门决算包括：</w:t>
      </w:r>
      <w:r>
        <w:rPr>
          <w:rFonts w:ascii="仿宋_GB2312" w:eastAsia="仿宋_GB2312"/>
          <w:sz w:val="32"/>
          <w:szCs w:val="32"/>
        </w:rPr>
        <w:t>新疆喀什地区塔什库尔干县地震台</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新疆喀什地区塔什库尔干县地震台</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新疆喀什地区塔什库尔干县地震台</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hint="eastAsia" w:ascii="仿宋_GB2312" w:hAnsi="Calibri" w:eastAsia="仿宋_GB2312"/>
          <w:color w:val="000000" w:themeColor="text1"/>
          <w:sz w:val="32"/>
          <w:szCs w:val="32"/>
          <w:lang w:val="en-US" w:eastAsia="zh-CN"/>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87.14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，与上年相比，增加31.56万元，增长56.78%，增加的主要原因是：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87.14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，与上年相比，增加31.56万元，增长56.78%，增加的主要原因是：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bookmarkEnd w:id="7"/>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87.14</w:t>
      </w:r>
      <w:r>
        <w:rPr>
          <w:rFonts w:hint="eastAsia" w:ascii="仿宋_GB2312" w:eastAsia="仿宋_GB2312"/>
          <w:color w:val="000000" w:themeColor="text1"/>
          <w:sz w:val="32"/>
          <w:szCs w:val="32"/>
        </w:rPr>
        <w:t>万元，其中：</w:t>
      </w:r>
      <w:bookmarkStart w:id="8" w:name="OLE_LINK1"/>
      <w:r>
        <w:rPr>
          <w:rFonts w:hint="eastAsia" w:ascii="仿宋_GB2312" w:eastAsia="仿宋_GB2312"/>
          <w:color w:val="000000" w:themeColor="text1"/>
          <w:sz w:val="32"/>
          <w:szCs w:val="32"/>
        </w:rPr>
        <w:t>财政拨款收入</w:t>
      </w:r>
      <w:bookmarkEnd w:id="8"/>
      <w:r>
        <w:rPr>
          <w:rFonts w:hint="eastAsia" w:ascii="仿宋_GB2312" w:eastAsia="仿宋_GB2312"/>
          <w:sz w:val="32"/>
          <w:szCs w:val="32"/>
        </w:rPr>
        <w:t>87.14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9" w:name="OLE_LINK2"/>
      <w:r>
        <w:rPr>
          <w:rFonts w:hint="eastAsia" w:ascii="仿宋_GB2312" w:eastAsia="仿宋_GB2312"/>
          <w:color w:val="000000" w:themeColor="text1"/>
          <w:sz w:val="32"/>
          <w:szCs w:val="32"/>
        </w:rPr>
        <w:t>上级补助收入</w:t>
      </w:r>
      <w:bookmarkEnd w:id="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0" w:name="OLE_LINK3"/>
      <w:r>
        <w:rPr>
          <w:rFonts w:hint="eastAsia" w:ascii="仿宋_GB2312" w:eastAsia="仿宋_GB2312"/>
          <w:color w:val="000000" w:themeColor="text1"/>
          <w:sz w:val="32"/>
          <w:szCs w:val="32"/>
        </w:rPr>
        <w:t>事业收入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4"/>
      <w:r>
        <w:rPr>
          <w:rFonts w:hint="eastAsia" w:ascii="仿宋_GB2312" w:eastAsia="仿宋_GB2312"/>
          <w:color w:val="000000" w:themeColor="text1"/>
          <w:sz w:val="32"/>
          <w:szCs w:val="32"/>
        </w:rPr>
        <w:t>经营收入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5"/>
      <w:r>
        <w:rPr>
          <w:rFonts w:hint="eastAsia" w:ascii="仿宋_GB2312" w:eastAsia="仿宋_GB2312"/>
          <w:color w:val="000000" w:themeColor="text1"/>
          <w:sz w:val="32"/>
          <w:szCs w:val="32"/>
        </w:rPr>
        <w:t>附属单位缴款</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6"/>
      <w:r>
        <w:rPr>
          <w:rFonts w:hint="eastAsia" w:ascii="仿宋_GB2312" w:eastAsia="仿宋_GB2312"/>
          <w:color w:val="000000" w:themeColor="text1"/>
          <w:sz w:val="32"/>
          <w:szCs w:val="32"/>
        </w:rPr>
        <w:t>其他收入</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hint="eastAsia" w:ascii="仿宋_GB2312" w:eastAsia="仿宋_GB2312"/>
          <w:sz w:val="32"/>
          <w:szCs w:val="32"/>
          <w:lang w:eastAsia="zh-CN"/>
        </w:rPr>
      </w:pPr>
      <w:bookmarkStart w:id="14"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况：本年收入年初预算数80.6万元</w:t>
      </w:r>
      <w:r>
        <w:rPr>
          <w:rFonts w:hint="eastAsia" w:ascii="仿宋_GB2312" w:eastAsia="仿宋_GB2312"/>
          <w:sz w:val="32"/>
          <w:szCs w:val="32"/>
        </w:rPr>
        <w:t>，决算数87.14万元</w:t>
      </w:r>
      <w:r>
        <w:rPr>
          <w:rFonts w:ascii="仿宋_GB2312" w:eastAsia="仿宋_GB2312"/>
          <w:sz w:val="32"/>
          <w:szCs w:val="32"/>
        </w:rPr>
        <w:t>，预决算差异率8.11%，差异主要原因是政策性调资：</w:t>
      </w:r>
      <w:bookmarkEnd w:id="14"/>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hint="eastAsia" w:ascii="仿宋_GB2312" w:eastAsia="仿宋_GB2312"/>
          <w:color w:val="000000" w:themeColor="text1"/>
          <w:sz w:val="32"/>
          <w:szCs w:val="32"/>
          <w:lang w:eastAsia="zh-CN"/>
        </w:rPr>
        <w:t>。</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5" w:name="OLE_LINK7"/>
      <w:r>
        <w:rPr>
          <w:rFonts w:hint="eastAsia" w:ascii="仿宋_GB2312" w:eastAsia="仿宋_GB2312"/>
          <w:color w:val="000000" w:themeColor="text1"/>
          <w:sz w:val="32"/>
          <w:szCs w:val="32"/>
        </w:rPr>
        <w:t>本年支出合计</w:t>
      </w:r>
      <w:bookmarkEnd w:id="15"/>
      <w:r>
        <w:rPr>
          <w:rFonts w:hint="eastAsia" w:ascii="仿宋_GB2312" w:eastAsia="仿宋_GB2312"/>
          <w:sz w:val="32"/>
          <w:szCs w:val="32"/>
        </w:rPr>
        <w:t>87.14</w:t>
      </w:r>
      <w:r>
        <w:rPr>
          <w:rFonts w:hint="eastAsia" w:ascii="仿宋_GB2312" w:eastAsia="仿宋_GB2312"/>
          <w:color w:val="000000" w:themeColor="text1"/>
          <w:sz w:val="32"/>
          <w:szCs w:val="32"/>
        </w:rPr>
        <w:t>万元，其中：</w:t>
      </w:r>
      <w:bookmarkStart w:id="16" w:name="OLE_LINK8"/>
      <w:r>
        <w:rPr>
          <w:rFonts w:hint="eastAsia" w:ascii="仿宋_GB2312" w:eastAsia="仿宋_GB2312"/>
          <w:color w:val="000000" w:themeColor="text1"/>
          <w:sz w:val="32"/>
          <w:szCs w:val="32"/>
        </w:rPr>
        <w:t>基本支出</w:t>
      </w:r>
      <w:bookmarkEnd w:id="16"/>
      <w:r>
        <w:rPr>
          <w:rFonts w:hint="eastAsia" w:ascii="仿宋_GB2312" w:eastAsia="仿宋_GB2312"/>
          <w:sz w:val="32"/>
          <w:szCs w:val="32"/>
        </w:rPr>
        <w:t>87.14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7" w:name="OLE_LINK9"/>
      <w:r>
        <w:rPr>
          <w:rFonts w:hint="eastAsia" w:ascii="仿宋_GB2312" w:eastAsia="仿宋_GB2312"/>
          <w:color w:val="000000" w:themeColor="text1"/>
          <w:sz w:val="32"/>
          <w:szCs w:val="32"/>
        </w:rPr>
        <w:t>项目支出</w:t>
      </w:r>
      <w:bookmarkEnd w:id="17"/>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8" w:name="OLE_LINK10"/>
      <w:r>
        <w:rPr>
          <w:rFonts w:hint="eastAsia" w:ascii="仿宋_GB2312" w:eastAsia="仿宋_GB2312"/>
          <w:color w:val="000000" w:themeColor="text1"/>
          <w:sz w:val="32"/>
          <w:szCs w:val="32"/>
        </w:rPr>
        <w:t>上缴上级支出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1"/>
      <w:r>
        <w:rPr>
          <w:rFonts w:hint="eastAsia" w:ascii="仿宋_GB2312" w:eastAsia="仿宋_GB2312"/>
          <w:color w:val="000000" w:themeColor="text1"/>
          <w:spacing w:val="-6"/>
          <w:sz w:val="32"/>
          <w:szCs w:val="32"/>
        </w:rPr>
        <w:t>经营支出</w:t>
      </w:r>
      <w:bookmarkEnd w:id="19"/>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0" w:name="OLE_LINK12"/>
      <w:r>
        <w:rPr>
          <w:rFonts w:hint="eastAsia" w:ascii="仿宋_GB2312" w:eastAsia="仿宋_GB2312"/>
          <w:color w:val="000000" w:themeColor="text1"/>
          <w:spacing w:val="-6"/>
          <w:sz w:val="32"/>
          <w:szCs w:val="32"/>
        </w:rPr>
        <w:t>对附属单位补助支出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hint="eastAsia" w:ascii="仿宋_GB2312" w:eastAsia="仿宋_GB2312"/>
          <w:color w:val="000000" w:themeColor="text1"/>
          <w:sz w:val="32"/>
          <w:szCs w:val="32"/>
          <w:lang w:eastAsia="zh-CN"/>
        </w:rPr>
      </w:pPr>
      <w:bookmarkStart w:id="21" w:name="OLE_LINK56"/>
      <w:r>
        <w:rPr>
          <w:rFonts w:hint="eastAsia" w:ascii="仿宋_GB2312" w:eastAsia="仿宋_GB2312"/>
          <w:color w:val="000000" w:themeColor="text1"/>
          <w:sz w:val="32"/>
          <w:szCs w:val="32"/>
        </w:rPr>
        <w:t>与年初预算数相比情况：本年支出年初预算数80.6万元，</w:t>
      </w:r>
      <w:r>
        <w:rPr>
          <w:rFonts w:hint="eastAsia" w:ascii="仿宋_GB2312" w:eastAsia="仿宋_GB2312"/>
          <w:sz w:val="32"/>
          <w:szCs w:val="32"/>
        </w:rPr>
        <w:t>决算数87.14万元</w:t>
      </w:r>
      <w:r>
        <w:rPr>
          <w:rFonts w:ascii="仿宋_GB2312" w:eastAsia="仿宋_GB2312"/>
          <w:sz w:val="32"/>
          <w:szCs w:val="32"/>
        </w:rPr>
        <w:t>，预决算差异率8.11%，差异主要原因是政策性调资：</w:t>
      </w:r>
      <w:bookmarkEnd w:id="21"/>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hint="eastAsia" w:ascii="仿宋_GB2312" w:eastAsia="仿宋_GB2312"/>
          <w:color w:val="000000" w:themeColor="text1"/>
          <w:sz w:val="32"/>
          <w:szCs w:val="32"/>
          <w:lang w:eastAsia="zh-CN"/>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2" w:name="OLE_LINK57"/>
      <w:bookmarkStart w:id="23" w:name="OLE_LINK58"/>
      <w:r>
        <w:rPr>
          <w:rFonts w:hint="eastAsia" w:ascii="仿宋_GB2312" w:eastAsia="仿宋_GB2312"/>
          <w:color w:val="000000" w:themeColor="text1"/>
          <w:sz w:val="32"/>
          <w:szCs w:val="32"/>
        </w:rPr>
        <w:t>2018年度</w:t>
      </w:r>
      <w:bookmarkStart w:id="24" w:name="OLE_LINK13"/>
      <w:r>
        <w:rPr>
          <w:rFonts w:hint="eastAsia" w:ascii="仿宋_GB2312" w:eastAsia="仿宋_GB2312"/>
          <w:color w:val="000000" w:themeColor="text1"/>
          <w:sz w:val="32"/>
          <w:szCs w:val="32"/>
        </w:rPr>
        <w:t>财政拨款收入</w:t>
      </w:r>
      <w:bookmarkEnd w:id="24"/>
      <w:r>
        <w:rPr>
          <w:rFonts w:hint="eastAsia" w:ascii="仿宋_GB2312" w:eastAsia="仿宋_GB2312"/>
          <w:sz w:val="32"/>
          <w:szCs w:val="32"/>
        </w:rPr>
        <w:t>87.14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，与上年相比，增加31.56万元，增长56.78%，增加的主要原因是：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hint="eastAsia" w:ascii="仿宋_GB2312" w:eastAsia="仿宋_GB2312"/>
          <w:sz w:val="32"/>
          <w:szCs w:val="32"/>
        </w:rPr>
        <w:t>。</w:t>
      </w:r>
      <w:bookmarkEnd w:id="22"/>
      <w:bookmarkEnd w:id="23"/>
      <w:bookmarkStart w:id="25" w:name="OLE_LINK14"/>
      <w:bookmarkStart w:id="26" w:name="OLE_LINK60"/>
      <w:bookmarkStart w:id="27" w:name="OLE_LINK59"/>
      <w:r>
        <w:rPr>
          <w:rFonts w:hint="eastAsia" w:ascii="仿宋_GB2312" w:eastAsia="仿宋_GB2312"/>
          <w:color w:val="000000" w:themeColor="text1"/>
          <w:sz w:val="32"/>
          <w:szCs w:val="32"/>
        </w:rPr>
        <w:t>财政拨款支出</w:t>
      </w:r>
      <w:bookmarkEnd w:id="25"/>
      <w:r>
        <w:rPr>
          <w:rFonts w:hint="eastAsia" w:ascii="仿宋_GB2312" w:eastAsia="仿宋_GB2312"/>
          <w:sz w:val="32"/>
          <w:szCs w:val="32"/>
        </w:rPr>
        <w:t>87.14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，与上年相比，增加31.56万元，增长56.78%，增加的主要原因是：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ascii="仿宋_GB2312" w:eastAsia="仿宋_GB2312"/>
          <w:sz w:val="32"/>
          <w:szCs w:val="32"/>
        </w:rPr>
        <w:t>。</w:t>
      </w:r>
      <w:bookmarkEnd w:id="26"/>
      <w:bookmarkEnd w:id="27"/>
      <w:bookmarkStart w:id="28" w:name="OLE_LINK61"/>
      <w:r>
        <w:rPr>
          <w:rFonts w:hint="eastAsia" w:ascii="仿宋_GB2312" w:eastAsia="仿宋_GB2312"/>
          <w:color w:val="000000" w:themeColor="text1"/>
          <w:sz w:val="32"/>
          <w:szCs w:val="32"/>
        </w:rPr>
        <w:t>其中：</w:t>
      </w:r>
      <w:bookmarkStart w:id="29" w:name="OLE_LINK15"/>
      <w:r>
        <w:rPr>
          <w:rFonts w:hint="eastAsia" w:ascii="仿宋_GB2312" w:eastAsia="仿宋_GB2312"/>
          <w:color w:val="000000" w:themeColor="text1"/>
          <w:sz w:val="32"/>
          <w:szCs w:val="32"/>
        </w:rPr>
        <w:t>基本支出</w:t>
      </w:r>
      <w:bookmarkEnd w:id="29"/>
      <w:r>
        <w:rPr>
          <w:rFonts w:hint="eastAsia" w:ascii="仿宋_GB2312" w:eastAsia="仿宋_GB2312"/>
          <w:sz w:val="32"/>
          <w:szCs w:val="32"/>
        </w:rPr>
        <w:t>87.14</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8"/>
      <w:bookmarkStart w:id="30" w:name="OLE_LINK16"/>
      <w:bookmarkStart w:id="31" w:name="OLE_LINK62"/>
      <w:r>
        <w:rPr>
          <w:rFonts w:hint="eastAsia" w:ascii="仿宋_GB2312" w:eastAsia="仿宋_GB2312"/>
          <w:color w:val="000000"/>
          <w:sz w:val="32"/>
          <w:szCs w:val="32"/>
        </w:rPr>
        <w:t>财政拨款结转结余</w:t>
      </w:r>
      <w:bookmarkEnd w:id="30"/>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80.6</w:t>
      </w:r>
      <w:r>
        <w:rPr>
          <w:rFonts w:hint="eastAsia" w:ascii="仿宋_GB2312" w:eastAsia="仿宋_GB2312"/>
          <w:color w:val="000000" w:themeColor="text1"/>
          <w:sz w:val="32"/>
          <w:szCs w:val="32"/>
        </w:rPr>
        <w:t>万元，决算数</w:t>
      </w:r>
      <w:r>
        <w:rPr>
          <w:rFonts w:hint="eastAsia" w:ascii="仿宋_GB2312" w:eastAsia="仿宋_GB2312"/>
          <w:sz w:val="32"/>
          <w:szCs w:val="32"/>
        </w:rPr>
        <w:t>87.14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，预决算差异率8.11%，差异主要原因是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ascii="仿宋_GB2312" w:eastAsia="仿宋_GB2312"/>
          <w:color w:val="000000" w:themeColor="text1"/>
          <w:sz w:val="32"/>
          <w:szCs w:val="32"/>
        </w:rPr>
        <w:t>。</w:t>
      </w:r>
      <w:bookmarkEnd w:id="31"/>
      <w:bookmarkStart w:id="32"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80.6</w:t>
      </w:r>
      <w:r>
        <w:rPr>
          <w:rFonts w:hint="eastAsia" w:ascii="仿宋_GB2312" w:eastAsia="仿宋_GB2312"/>
          <w:color w:val="000000" w:themeColor="text1"/>
          <w:sz w:val="32"/>
          <w:szCs w:val="32"/>
        </w:rPr>
        <w:t>万元，决算数</w:t>
      </w:r>
      <w:r>
        <w:rPr>
          <w:rFonts w:hint="eastAsia" w:ascii="仿宋_GB2312" w:eastAsia="仿宋_GB2312"/>
          <w:sz w:val="32"/>
          <w:szCs w:val="32"/>
        </w:rPr>
        <w:t>87.14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，预决算差异率8.11%，差异主要原因是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ascii="仿宋_GB2312" w:eastAsia="仿宋_GB2312"/>
          <w:color w:val="000000" w:themeColor="text1"/>
          <w:sz w:val="32"/>
          <w:szCs w:val="32"/>
        </w:rPr>
        <w:t>。</w:t>
      </w:r>
      <w:bookmarkEnd w:id="3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3" w:name="OLE_LINK64"/>
      <w:r>
        <w:rPr>
          <w:rFonts w:hint="eastAsia" w:ascii="仿宋_GB2312" w:eastAsia="仿宋_GB2312"/>
          <w:color w:val="000000" w:themeColor="text1"/>
          <w:sz w:val="32"/>
          <w:szCs w:val="32"/>
        </w:rPr>
        <w:t>2018年度</w:t>
      </w:r>
      <w:bookmarkStart w:id="34" w:name="OLE_LINK17"/>
      <w:r>
        <w:rPr>
          <w:rFonts w:hint="eastAsia" w:ascii="仿宋_GB2312" w:eastAsia="仿宋_GB2312"/>
          <w:color w:val="000000" w:themeColor="text1"/>
          <w:sz w:val="32"/>
          <w:szCs w:val="32"/>
        </w:rPr>
        <w:t>一般公共预算财政拨款收入</w:t>
      </w:r>
      <w:bookmarkEnd w:id="34"/>
      <w:r>
        <w:rPr>
          <w:rFonts w:ascii="仿宋_GB2312" w:eastAsia="仿宋_GB2312"/>
          <w:color w:val="000000" w:themeColor="text1"/>
          <w:sz w:val="32"/>
          <w:szCs w:val="32"/>
        </w:rPr>
        <w:t>87.14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，与上年相比，增加31.56万元，增长56.78%，增加的主要原因是：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ascii="仿宋_GB2312" w:eastAsia="仿宋_GB2312"/>
          <w:color w:val="000000" w:themeColor="text1"/>
          <w:sz w:val="32"/>
          <w:szCs w:val="32"/>
        </w:rPr>
        <w:t>。</w:t>
      </w:r>
      <w:bookmarkEnd w:id="33"/>
      <w:bookmarkStart w:id="35" w:name="OLE_LINK18"/>
      <w:bookmarkStart w:id="36"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87.14</w:t>
      </w:r>
      <w:r>
        <w:rPr>
          <w:rFonts w:hint="eastAsia" w:ascii="仿宋_GB2312" w:eastAsia="仿宋_GB2312"/>
          <w:color w:val="000000" w:themeColor="text1"/>
          <w:sz w:val="32"/>
          <w:szCs w:val="32"/>
        </w:rPr>
        <w:t>万元</w:t>
      </w:r>
      <w:bookmarkEnd w:id="35"/>
      <w:r>
        <w:rPr>
          <w:rFonts w:hint="eastAsia" w:ascii="仿宋_GB2312" w:eastAsia="仿宋_GB2312"/>
          <w:sz w:val="32"/>
          <w:szCs w:val="32"/>
        </w:rPr>
        <w:t>，与上年相比，增加31.56万元，增长56.78%，增加的主要原因是：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hint="eastAsia" w:ascii="仿宋_GB2312" w:eastAsia="仿宋_GB2312"/>
          <w:sz w:val="32"/>
          <w:szCs w:val="32"/>
        </w:rPr>
        <w:t>。</w:t>
      </w:r>
      <w:bookmarkEnd w:id="36"/>
      <w:r>
        <w:rPr>
          <w:rFonts w:hint="eastAsia" w:ascii="仿宋_GB2312" w:eastAsia="仿宋_GB2312"/>
          <w:color w:val="000000" w:themeColor="text1"/>
          <w:sz w:val="32"/>
          <w:szCs w:val="32"/>
        </w:rPr>
        <w:t>其中：</w:t>
      </w:r>
      <w:bookmarkStart w:id="37" w:name="OLE_LINK19"/>
      <w:r>
        <w:rPr>
          <w:rFonts w:hint="eastAsia" w:ascii="仿宋_GB2312" w:eastAsia="仿宋_GB2312"/>
          <w:color w:val="000000" w:themeColor="text1"/>
          <w:sz w:val="32"/>
          <w:szCs w:val="32"/>
        </w:rPr>
        <w:t>按功能分类科目（按类级科目公开）</w:t>
      </w:r>
      <w:bookmarkEnd w:id="37"/>
      <w:r>
        <w:rPr>
          <w:rFonts w:hint="eastAsia" w:ascii="仿宋_GB2312" w:eastAsia="仿宋_GB2312"/>
          <w:color w:val="000000" w:themeColor="text1"/>
          <w:sz w:val="32"/>
          <w:szCs w:val="32"/>
        </w:rPr>
        <w:t>，</w:t>
      </w:r>
      <w:r>
        <w:rPr>
          <w:rFonts w:hint="eastAsia" w:ascii="仿宋_GB2312" w:eastAsia="仿宋_GB2312"/>
          <w:sz w:val="32"/>
          <w:szCs w:val="32"/>
        </w:rPr>
        <w:t>国土海洋气象等支出74.58万元,住房保障支出5.09万元,社会保障和就业支出7.47万元。</w:t>
      </w:r>
      <w:bookmarkStart w:id="38" w:name="OLE_LINK20"/>
      <w:bookmarkStart w:id="39" w:name="OLE_LINK21"/>
      <w:r>
        <w:rPr>
          <w:rFonts w:hint="eastAsia" w:ascii="仿宋_GB2312" w:eastAsia="仿宋_GB2312"/>
          <w:color w:val="000000" w:themeColor="text1"/>
          <w:sz w:val="32"/>
          <w:szCs w:val="32"/>
        </w:rPr>
        <w:t>按经济分类科目</w:t>
      </w:r>
      <w:bookmarkEnd w:id="38"/>
      <w:r>
        <w:rPr>
          <w:rFonts w:hint="eastAsia" w:ascii="仿宋_GB2312" w:eastAsia="仿宋_GB2312"/>
          <w:color w:val="000000" w:themeColor="text1"/>
          <w:sz w:val="32"/>
          <w:szCs w:val="32"/>
        </w:rPr>
        <w:t>（按类级科目公开）</w:t>
      </w:r>
      <w:bookmarkEnd w:id="39"/>
      <w:r>
        <w:rPr>
          <w:rFonts w:hint="eastAsia" w:ascii="仿宋_GB2312" w:eastAsia="仿宋_GB2312"/>
          <w:color w:val="000000" w:themeColor="text1"/>
          <w:sz w:val="32"/>
          <w:szCs w:val="32"/>
        </w:rPr>
        <w:t>，</w:t>
      </w:r>
      <w:r>
        <w:rPr>
          <w:rFonts w:hint="eastAsia" w:ascii="仿宋_GB2312" w:eastAsia="仿宋_GB2312"/>
          <w:sz w:val="32"/>
          <w:szCs w:val="32"/>
        </w:rPr>
        <w:t>工资福利支出78.24万元,商品和服务支出5.11万元,对个人和家庭的补助3.79万元。</w:t>
      </w:r>
    </w:p>
    <w:p>
      <w:pPr>
        <w:spacing w:line="540" w:lineRule="exact"/>
        <w:ind w:firstLine="640" w:firstLineChars="200"/>
        <w:rPr>
          <w:rFonts w:ascii="仿宋_GB2312" w:eastAsia="仿宋_GB2312"/>
          <w:color w:val="000000" w:themeColor="text1"/>
          <w:sz w:val="32"/>
          <w:szCs w:val="32"/>
        </w:rPr>
      </w:pPr>
      <w:bookmarkStart w:id="40" w:name="OLE_LINK67"/>
      <w:bookmarkStart w:id="41"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80.6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87.14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，预决算差异率8.11%，差异主要原因是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ascii="仿宋_GB2312" w:eastAsia="仿宋_GB2312"/>
          <w:color w:val="000000" w:themeColor="text1"/>
          <w:sz w:val="32"/>
          <w:szCs w:val="32"/>
        </w:rPr>
        <w:t>。</w:t>
      </w:r>
      <w:bookmarkEnd w:id="40"/>
      <w:bookmarkEnd w:id="41"/>
      <w:bookmarkStart w:id="42"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80.6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87.14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，预决算差异率8.11%，差异主要原因是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ascii="仿宋_GB2312" w:eastAsia="仿宋_GB2312"/>
          <w:color w:val="000000" w:themeColor="text1"/>
          <w:sz w:val="32"/>
          <w:szCs w:val="32"/>
        </w:rPr>
        <w:t>。</w:t>
      </w:r>
      <w:bookmarkEnd w:id="42"/>
      <w:bookmarkStart w:id="82" w:name="_GoBack"/>
      <w:bookmarkEnd w:id="8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3" w:name="OLE_LINK69"/>
      <w:r>
        <w:rPr>
          <w:rFonts w:hint="eastAsia" w:ascii="仿宋_GB2312" w:eastAsia="仿宋_GB2312"/>
          <w:color w:val="000000" w:themeColor="text1"/>
          <w:sz w:val="32"/>
          <w:szCs w:val="32"/>
        </w:rPr>
        <w:t>2018年度</w:t>
      </w:r>
      <w:bookmarkStart w:id="44" w:name="OLE_LINK22"/>
      <w:r>
        <w:rPr>
          <w:rFonts w:hint="eastAsia" w:ascii="仿宋_GB2312" w:eastAsia="仿宋_GB2312"/>
          <w:color w:val="000000" w:themeColor="text1"/>
          <w:sz w:val="32"/>
          <w:szCs w:val="32"/>
        </w:rPr>
        <w:t>政府性基金预算财政拨款收入</w:t>
      </w:r>
      <w:bookmarkEnd w:id="44"/>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3"/>
      <w:bookmarkStart w:id="45" w:name="OLE_LINK23"/>
      <w:bookmarkStart w:id="46" w:name="OLE_LINK70"/>
      <w:r>
        <w:rPr>
          <w:rFonts w:hint="eastAsia" w:ascii="仿宋_GB2312" w:eastAsia="仿宋_GB2312"/>
          <w:color w:val="000000" w:themeColor="text1"/>
          <w:sz w:val="32"/>
          <w:szCs w:val="32"/>
        </w:rPr>
        <w:t>政府性基金预算支出</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6"/>
      <w:r>
        <w:rPr>
          <w:rFonts w:hint="eastAsia" w:ascii="仿宋_GB2312" w:eastAsia="仿宋_GB2312"/>
          <w:color w:val="000000" w:themeColor="text1"/>
          <w:sz w:val="32"/>
          <w:szCs w:val="32"/>
        </w:rPr>
        <w:t>其中：</w:t>
      </w:r>
      <w:bookmarkStart w:id="47" w:name="OLE_LINK24"/>
      <w:r>
        <w:rPr>
          <w:rFonts w:hint="eastAsia" w:ascii="仿宋_GB2312" w:eastAsia="仿宋_GB2312"/>
          <w:color w:val="000000" w:themeColor="text1"/>
          <w:sz w:val="32"/>
          <w:szCs w:val="32"/>
        </w:rPr>
        <w:t>按功能分类科目（按类级科目公开）</w:t>
      </w:r>
      <w:bookmarkEnd w:id="47"/>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8" w:name="OLE_LINK71"/>
      <w:bookmarkStart w:id="49"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8"/>
      <w:bookmarkEnd w:id="49"/>
      <w:bookmarkStart w:id="50"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50"/>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1" w:name="OLE_LINK25"/>
      <w:bookmarkStart w:id="52" w:name="OLE_LINK26"/>
      <w:r>
        <w:rPr>
          <w:rFonts w:hint="eastAsia" w:ascii="仿宋_GB2312" w:eastAsia="仿宋_GB2312"/>
          <w:color w:val="000000" w:themeColor="text1"/>
          <w:sz w:val="32"/>
          <w:szCs w:val="32"/>
        </w:rPr>
        <w:t>年末结转结余</w:t>
      </w:r>
      <w:bookmarkEnd w:id="51"/>
      <w:bookmarkEnd w:id="52"/>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color w:val="000000"/>
          <w:sz w:val="32"/>
          <w:szCs w:val="32"/>
        </w:rPr>
        <w:t>增加0万元，增长0%。</w:t>
      </w:r>
    </w:p>
    <w:p>
      <w:pPr>
        <w:rPr>
          <w:rFonts w:ascii="仿宋_GB2312" w:eastAsia="仿宋_GB2312"/>
          <w:sz w:val="32"/>
          <w:szCs w:val="32"/>
        </w:rPr>
      </w:pPr>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其中</w:t>
      </w:r>
      <w:bookmarkStart w:id="53" w:name="OLE_LINK27"/>
      <w:bookmarkStart w:id="54" w:name="OLE_LINK28"/>
      <w:r>
        <w:rPr>
          <w:rFonts w:hint="eastAsia" w:ascii="仿宋_GB2312" w:eastAsia="仿宋_GB2312"/>
          <w:color w:val="000000" w:themeColor="text1"/>
          <w:sz w:val="32"/>
          <w:szCs w:val="32"/>
        </w:rPr>
        <w:t>财政拨款结转结余</w:t>
      </w:r>
      <w:bookmarkEnd w:id="53"/>
      <w:bookmarkEnd w:id="54"/>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color w:val="000000"/>
          <w:sz w:val="32"/>
          <w:szCs w:val="32"/>
        </w:rPr>
      </w:pPr>
      <w:bookmarkStart w:id="55" w:name="OLE_LINK79"/>
      <w:bookmarkStart w:id="56" w:name="OLE_LINK80"/>
      <w:r>
        <w:rPr>
          <w:rFonts w:hint="eastAsia" w:ascii="仿宋_GB2312" w:eastAsia="仿宋_GB2312"/>
          <w:color w:val="000000"/>
          <w:sz w:val="32"/>
          <w:szCs w:val="32"/>
        </w:rPr>
        <w:t>2018年度一般公共预算“三公”经费支出决算</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本单位无</w:t>
      </w:r>
      <w:r>
        <w:rPr>
          <w:rFonts w:hint="eastAsia" w:ascii="仿宋_GB2312" w:eastAsia="仿宋_GB2312"/>
          <w:color w:val="000000"/>
          <w:sz w:val="32"/>
          <w:szCs w:val="32"/>
        </w:rPr>
        <w:t>“三公”经费支出</w:t>
      </w:r>
      <w:r>
        <w:rPr>
          <w:rFonts w:hint="eastAsia" w:ascii="仿宋_GB2312" w:eastAsia="仿宋_GB2312"/>
          <w:sz w:val="32"/>
          <w:szCs w:val="32"/>
        </w:rPr>
        <w:t>。</w:t>
      </w:r>
      <w:r>
        <w:rPr>
          <w:rFonts w:hint="eastAsia" w:ascii="仿宋_GB2312" w:eastAsia="仿宋_GB2312"/>
          <w:color w:val="000000"/>
          <w:sz w:val="32"/>
          <w:szCs w:val="32"/>
        </w:rPr>
        <w:t>其中，因公出国（境）费支出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r>
        <w:rPr>
          <w:rFonts w:hint="eastAsia" w:ascii="仿宋_GB2312" w:eastAsia="仿宋_GB2312"/>
          <w:color w:val="000000"/>
          <w:sz w:val="32"/>
          <w:szCs w:val="32"/>
        </w:rPr>
        <w:t>公务用车购置及运行维护费支出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的主要原因是：本单位无公务用车购置及维护</w:t>
      </w:r>
      <w:r>
        <w:rPr>
          <w:rFonts w:hint="eastAsia" w:ascii="仿宋_GB2312" w:eastAsia="仿宋_GB2312"/>
          <w:color w:val="000000"/>
          <w:sz w:val="32"/>
          <w:szCs w:val="32"/>
        </w:rPr>
        <w:t>费</w:t>
      </w:r>
      <w:r>
        <w:rPr>
          <w:rFonts w:hint="eastAsia" w:ascii="仿宋_GB2312" w:eastAsia="仿宋_GB2312"/>
          <w:sz w:val="32"/>
          <w:szCs w:val="32"/>
        </w:rPr>
        <w:t>支出；</w:t>
      </w:r>
      <w:r>
        <w:rPr>
          <w:rFonts w:hint="eastAsia" w:ascii="仿宋_GB2312" w:eastAsia="仿宋_GB2312"/>
          <w:color w:val="000000"/>
          <w:sz w:val="32"/>
          <w:szCs w:val="32"/>
        </w:rPr>
        <w:t>公务接待费支出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新疆喀什地区塔什库尔干县地震台</w:t>
      </w:r>
      <w:r>
        <w:rPr>
          <w:rFonts w:hint="eastAsia" w:ascii="仿宋_GB2312" w:eastAsia="仿宋_GB2312"/>
          <w:color w:val="000000" w:themeColor="text1"/>
          <w:sz w:val="32"/>
          <w:szCs w:val="32"/>
        </w:rPr>
        <w:t>单位</w:t>
      </w:r>
      <w:bookmarkStart w:id="57" w:name="OLE_LINK33"/>
      <w:r>
        <w:rPr>
          <w:rFonts w:hint="eastAsia" w:ascii="仿宋_GB2312" w:eastAsia="仿宋_GB2312"/>
          <w:color w:val="000000" w:themeColor="text1"/>
          <w:sz w:val="32"/>
          <w:szCs w:val="32"/>
        </w:rPr>
        <w:t>全年</w:t>
      </w:r>
      <w:bookmarkStart w:id="58" w:name="OLE_LINK35"/>
      <w:bookmarkStart w:id="59" w:name="OLE_LINK34"/>
      <w:bookmarkStart w:id="60" w:name="OLE_LINK36"/>
      <w:r>
        <w:rPr>
          <w:rFonts w:hint="eastAsia" w:ascii="仿宋_GB2312" w:eastAsia="仿宋_GB2312"/>
          <w:color w:val="000000" w:themeColor="text1"/>
          <w:sz w:val="32"/>
          <w:szCs w:val="32"/>
        </w:rPr>
        <w:t>使用一般公共预算财政拨款安排的出国（境）团组</w:t>
      </w:r>
      <w:bookmarkEnd w:id="57"/>
      <w:bookmarkEnd w:id="58"/>
      <w:bookmarkEnd w:id="59"/>
      <w:r>
        <w:rPr>
          <w:rFonts w:hint="eastAsia" w:ascii="仿宋_GB2312" w:eastAsia="仿宋_GB2312"/>
          <w:sz w:val="32"/>
          <w:szCs w:val="32"/>
        </w:rPr>
        <w:t>0</w:t>
      </w:r>
      <w:r>
        <w:rPr>
          <w:rFonts w:hint="eastAsia" w:ascii="仿宋_GB2312" w:eastAsia="仿宋_GB2312"/>
          <w:color w:val="000000" w:themeColor="text1"/>
          <w:sz w:val="32"/>
          <w:szCs w:val="32"/>
        </w:rPr>
        <w:t>个</w:t>
      </w:r>
      <w:bookmarkEnd w:id="60"/>
      <w:r>
        <w:rPr>
          <w:rFonts w:hint="eastAsia" w:ascii="仿宋_GB2312" w:eastAsia="仿宋_GB2312"/>
          <w:color w:val="000000" w:themeColor="text1"/>
          <w:sz w:val="32"/>
          <w:szCs w:val="32"/>
        </w:rPr>
        <w:t>，</w:t>
      </w:r>
      <w:bookmarkStart w:id="6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1"/>
      <w:r>
        <w:rPr>
          <w:rFonts w:hint="eastAsia" w:ascii="仿宋_GB2312" w:eastAsia="仿宋_GB2312"/>
          <w:color w:val="000000" w:themeColor="text1"/>
          <w:sz w:val="32"/>
          <w:szCs w:val="32"/>
        </w:rPr>
        <w:t>。</w:t>
      </w:r>
      <w:bookmarkStart w:id="62" w:name="OLE_LINK38"/>
      <w:r>
        <w:rPr>
          <w:rFonts w:hint="eastAsia" w:ascii="仿宋_GB2312" w:eastAsia="仿宋_GB2312"/>
          <w:color w:val="000000" w:themeColor="text1"/>
          <w:sz w:val="32"/>
          <w:szCs w:val="32"/>
        </w:rPr>
        <w:t>开支内容包括：</w:t>
      </w:r>
      <w:r>
        <w:rPr>
          <w:rFonts w:ascii="仿宋_GB2312" w:eastAsia="仿宋_GB2312"/>
          <w:color w:val="000000"/>
          <w:sz w:val="32"/>
          <w:szCs w:val="32"/>
        </w:rPr>
        <w:t>本单位无因公出国（境）费支出</w:t>
      </w:r>
      <w:r>
        <w:rPr>
          <w:rFonts w:ascii="仿宋_GB2312" w:eastAsia="仿宋_GB2312"/>
          <w:color w:val="000000" w:themeColor="text1"/>
          <w:sz w:val="32"/>
          <w:szCs w:val="32"/>
        </w:rPr>
        <w:t>。</w:t>
      </w:r>
      <w:bookmarkEnd w:id="55"/>
      <w:bookmarkEnd w:id="56"/>
      <w:bookmarkEnd w:id="62"/>
    </w:p>
    <w:p>
      <w:pPr>
        <w:spacing w:line="540" w:lineRule="exact"/>
        <w:ind w:firstLine="640" w:firstLineChars="200"/>
        <w:rPr>
          <w:rFonts w:ascii="仿宋_GB2312" w:eastAsia="仿宋_GB2312"/>
          <w:color w:val="000000" w:themeColor="text1"/>
          <w:sz w:val="32"/>
          <w:szCs w:val="32"/>
        </w:rPr>
      </w:pPr>
      <w:bookmarkStart w:id="6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4"/>
      <w:r>
        <w:rPr>
          <w:rFonts w:hint="eastAsia" w:ascii="仿宋_GB2312" w:eastAsia="仿宋_GB2312"/>
          <w:color w:val="000000" w:themeColor="text1"/>
          <w:sz w:val="32"/>
          <w:szCs w:val="32"/>
        </w:rPr>
        <w:t>，</w:t>
      </w:r>
      <w:bookmarkStart w:id="65" w:name="OLE_LINK41"/>
      <w:bookmarkStart w:id="6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5"/>
      <w:bookmarkEnd w:id="66"/>
      <w:r>
        <w:rPr>
          <w:rFonts w:hint="eastAsia" w:ascii="仿宋_GB2312" w:eastAsia="仿宋_GB2312"/>
          <w:color w:val="000000" w:themeColor="text1"/>
          <w:sz w:val="32"/>
          <w:szCs w:val="32"/>
        </w:rPr>
        <w:t>。主要用于</w:t>
      </w:r>
      <w:r>
        <w:rPr>
          <w:rFonts w:hint="eastAsia" w:ascii="仿宋_GB2312" w:eastAsia="仿宋_GB2312"/>
          <w:sz w:val="32"/>
          <w:szCs w:val="32"/>
        </w:rPr>
        <w:t>本单位无公务用车购置及维护</w:t>
      </w:r>
      <w:r>
        <w:rPr>
          <w:rFonts w:hint="eastAsia" w:ascii="仿宋_GB2312" w:eastAsia="仿宋_GB2312"/>
          <w:color w:val="000000"/>
          <w:sz w:val="32"/>
          <w:szCs w:val="32"/>
        </w:rPr>
        <w:t>费</w:t>
      </w:r>
      <w:r>
        <w:rPr>
          <w:rFonts w:hint="eastAsia" w:ascii="仿宋_GB2312" w:eastAsia="仿宋_GB2312"/>
          <w:sz w:val="32"/>
          <w:szCs w:val="32"/>
        </w:rPr>
        <w:t>支出</w:t>
      </w:r>
      <w:r>
        <w:rPr>
          <w:rFonts w:hint="eastAsia" w:ascii="仿宋_GB2312" w:eastAsia="仿宋_GB2312"/>
          <w:color w:val="000000" w:themeColor="text1"/>
          <w:sz w:val="32"/>
          <w:szCs w:val="32"/>
        </w:rPr>
        <w:t>等。</w:t>
      </w:r>
      <w:bookmarkEnd w:id="63"/>
      <w:bookmarkStart w:id="6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7"/>
    </w:p>
    <w:p>
      <w:pPr>
        <w:spacing w:line="540" w:lineRule="exact"/>
        <w:ind w:firstLine="640" w:firstLineChars="200"/>
        <w:rPr>
          <w:rFonts w:ascii="仿宋_GB2312" w:eastAsia="仿宋_GB2312"/>
          <w:color w:val="000000" w:themeColor="text1"/>
          <w:sz w:val="32"/>
          <w:szCs w:val="32"/>
        </w:rPr>
      </w:pPr>
      <w:bookmarkStart w:id="6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68"/>
      <w:bookmarkStart w:id="69" w:name="OLE_LINK84"/>
      <w:r>
        <w:rPr>
          <w:rFonts w:hint="eastAsia" w:ascii="仿宋_GB2312" w:eastAsia="仿宋_GB2312"/>
          <w:sz w:val="32"/>
          <w:szCs w:val="32"/>
        </w:rPr>
        <w:t>新疆喀什地区塔什库尔干县地震台</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9"/>
    </w:p>
    <w:p>
      <w:pPr>
        <w:spacing w:line="540" w:lineRule="exact"/>
        <w:ind w:firstLine="640" w:firstLineChars="200"/>
        <w:rPr>
          <w:rFonts w:ascii="仿宋_GB2312" w:hAnsi="宋体" w:eastAsia="仿宋_GB2312" w:cs="宋体"/>
          <w:color w:val="000000" w:themeColor="text1"/>
          <w:kern w:val="0"/>
          <w:sz w:val="32"/>
          <w:szCs w:val="32"/>
        </w:rPr>
      </w:pPr>
      <w:bookmarkStart w:id="7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70"/>
      <w:bookmarkStart w:id="71" w:name="OLE_LINK86"/>
      <w:bookmarkStart w:id="7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71"/>
      <w:bookmarkEnd w:id="72"/>
      <w:bookmarkStart w:id="73" w:name="OLE_LINK88"/>
      <w:bookmarkStart w:id="7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73"/>
      <w:bookmarkEnd w:id="74"/>
      <w:bookmarkStart w:id="7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75"/>
      <w:bookmarkStart w:id="7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6"/>
      <w:r>
        <w:rPr>
          <w:rFonts w:ascii="仿宋_GB2312" w:eastAsia="仿宋_GB2312"/>
          <w:color w:val="000000" w:themeColor="text1"/>
          <w:sz w:val="32"/>
          <w:szCs w:val="32"/>
        </w:rPr>
        <w:t>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新疆喀什地区塔什库尔干县地震台日常公用经费5.11万元，与上年相比，增加4.35万元，增长572.37%，增加的主要原因是：办公经费和电费较上年增加。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7" w:name="OLE_LINK45"/>
      <w:r>
        <w:rPr>
          <w:rFonts w:hint="eastAsia" w:ascii="仿宋_GB2312" w:eastAsia="仿宋_GB2312"/>
          <w:color w:val="000000" w:themeColor="text1"/>
          <w:sz w:val="32"/>
          <w:szCs w:val="32"/>
        </w:rPr>
        <w:t>政府采购支出总额</w:t>
      </w:r>
      <w:bookmarkEnd w:id="77"/>
      <w:r>
        <w:rPr>
          <w:rFonts w:hint="eastAsia" w:ascii="仿宋_GB2312" w:eastAsia="仿宋_GB2312"/>
          <w:sz w:val="32"/>
          <w:szCs w:val="32"/>
        </w:rPr>
        <w:t>2.78</w:t>
      </w:r>
      <w:r>
        <w:rPr>
          <w:rFonts w:hint="eastAsia" w:ascii="仿宋_GB2312" w:eastAsia="仿宋_GB2312"/>
          <w:color w:val="000000" w:themeColor="text1"/>
          <w:sz w:val="32"/>
          <w:szCs w:val="32"/>
        </w:rPr>
        <w:t>万元，其中：</w:t>
      </w:r>
      <w:bookmarkStart w:id="78" w:name="OLE_LINK46"/>
      <w:r>
        <w:rPr>
          <w:rFonts w:hint="eastAsia" w:ascii="仿宋_GB2312" w:eastAsia="仿宋_GB2312"/>
          <w:color w:val="000000" w:themeColor="text1"/>
          <w:sz w:val="32"/>
          <w:szCs w:val="32"/>
        </w:rPr>
        <w:t>政府采购货物支出</w:t>
      </w:r>
      <w:bookmarkEnd w:id="78"/>
      <w:r>
        <w:rPr>
          <w:rFonts w:hint="eastAsia" w:ascii="仿宋_GB2312" w:eastAsia="仿宋_GB2312"/>
          <w:sz w:val="32"/>
          <w:szCs w:val="32"/>
        </w:rPr>
        <w:t>2.78</w:t>
      </w:r>
      <w:r>
        <w:rPr>
          <w:rFonts w:hint="eastAsia" w:ascii="仿宋_GB2312" w:eastAsia="仿宋_GB2312"/>
          <w:color w:val="000000" w:themeColor="text1"/>
          <w:sz w:val="32"/>
          <w:szCs w:val="32"/>
        </w:rPr>
        <w:t>万元、</w:t>
      </w:r>
      <w:bookmarkStart w:id="79" w:name="OLE_LINK47"/>
      <w:r>
        <w:rPr>
          <w:rFonts w:hint="eastAsia" w:ascii="仿宋_GB2312" w:eastAsia="仿宋_GB2312"/>
          <w:color w:val="000000" w:themeColor="text1"/>
          <w:sz w:val="32"/>
          <w:szCs w:val="32"/>
        </w:rPr>
        <w:t>政府采购工程支出</w:t>
      </w:r>
      <w:bookmarkEnd w:id="7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0" w:name="OLE_LINK48"/>
      <w:r>
        <w:rPr>
          <w:rFonts w:hint="eastAsia" w:ascii="仿宋_GB2312" w:eastAsia="仿宋_GB2312"/>
          <w:color w:val="000000" w:themeColor="text1"/>
          <w:sz w:val="32"/>
          <w:szCs w:val="32"/>
        </w:rPr>
        <w:t>政府采购服务支出</w:t>
      </w:r>
      <w:bookmarkEnd w:id="8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220（类）04（款）01（项）指：行政运行。221（类）02（款）01（项）指：住房公积金。220（类）04（款）04（项）指：地震监测。208（类）05（款）05（项）指：机关事业单位基本养老保险缴费支出。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5509AB"/>
    <w:rsid w:val="0C5C1D7A"/>
    <w:rsid w:val="0C9B0DD6"/>
    <w:rsid w:val="0CE4791C"/>
    <w:rsid w:val="0DA612F6"/>
    <w:rsid w:val="0E063C64"/>
    <w:rsid w:val="0EBF6F26"/>
    <w:rsid w:val="0F4C7B96"/>
    <w:rsid w:val="0FFB575E"/>
    <w:rsid w:val="10845F1B"/>
    <w:rsid w:val="11463A00"/>
    <w:rsid w:val="11600918"/>
    <w:rsid w:val="11B0398F"/>
    <w:rsid w:val="13B960C5"/>
    <w:rsid w:val="152777F4"/>
    <w:rsid w:val="1595129B"/>
    <w:rsid w:val="15A44AA5"/>
    <w:rsid w:val="15C674B6"/>
    <w:rsid w:val="185732B5"/>
    <w:rsid w:val="18D54A0D"/>
    <w:rsid w:val="1A3E1AB6"/>
    <w:rsid w:val="1A4106A0"/>
    <w:rsid w:val="1A4F5437"/>
    <w:rsid w:val="1AB77CD0"/>
    <w:rsid w:val="1DB406F2"/>
    <w:rsid w:val="1E807156"/>
    <w:rsid w:val="1EA657F6"/>
    <w:rsid w:val="1F097CB6"/>
    <w:rsid w:val="210756C6"/>
    <w:rsid w:val="2166156B"/>
    <w:rsid w:val="21B02D83"/>
    <w:rsid w:val="22A236F5"/>
    <w:rsid w:val="22DE6994"/>
    <w:rsid w:val="23995975"/>
    <w:rsid w:val="2432220E"/>
    <w:rsid w:val="248303BA"/>
    <w:rsid w:val="24837E47"/>
    <w:rsid w:val="252E01AA"/>
    <w:rsid w:val="2680023E"/>
    <w:rsid w:val="29680352"/>
    <w:rsid w:val="2A020F75"/>
    <w:rsid w:val="2B007AEE"/>
    <w:rsid w:val="2BC14C56"/>
    <w:rsid w:val="2C1B026F"/>
    <w:rsid w:val="2CC61F55"/>
    <w:rsid w:val="2D22298E"/>
    <w:rsid w:val="2EF7452F"/>
    <w:rsid w:val="2F1D13B4"/>
    <w:rsid w:val="2FAA3DA6"/>
    <w:rsid w:val="30682E1F"/>
    <w:rsid w:val="30E210D2"/>
    <w:rsid w:val="311371D6"/>
    <w:rsid w:val="31520D06"/>
    <w:rsid w:val="31EB64C9"/>
    <w:rsid w:val="32C1348D"/>
    <w:rsid w:val="336D0D6F"/>
    <w:rsid w:val="33F93A37"/>
    <w:rsid w:val="352E4BEC"/>
    <w:rsid w:val="37DD5594"/>
    <w:rsid w:val="38F24FA8"/>
    <w:rsid w:val="39593D8E"/>
    <w:rsid w:val="3A98342A"/>
    <w:rsid w:val="3AB6780E"/>
    <w:rsid w:val="3AD56D70"/>
    <w:rsid w:val="3B2920C2"/>
    <w:rsid w:val="3BE41ABD"/>
    <w:rsid w:val="3C5421A9"/>
    <w:rsid w:val="3D903B21"/>
    <w:rsid w:val="3F1A13EF"/>
    <w:rsid w:val="3F440741"/>
    <w:rsid w:val="40D5446D"/>
    <w:rsid w:val="41FC306C"/>
    <w:rsid w:val="44BE5554"/>
    <w:rsid w:val="451E0908"/>
    <w:rsid w:val="452C2D31"/>
    <w:rsid w:val="45D26E14"/>
    <w:rsid w:val="46A541B1"/>
    <w:rsid w:val="46E90C97"/>
    <w:rsid w:val="48C57772"/>
    <w:rsid w:val="49782886"/>
    <w:rsid w:val="4A6F0D28"/>
    <w:rsid w:val="4AAF085C"/>
    <w:rsid w:val="4AEB7E60"/>
    <w:rsid w:val="4B4B135B"/>
    <w:rsid w:val="4BC7055F"/>
    <w:rsid w:val="4C0568E0"/>
    <w:rsid w:val="4CFC7DB2"/>
    <w:rsid w:val="4E7C187D"/>
    <w:rsid w:val="508941AD"/>
    <w:rsid w:val="50E65530"/>
    <w:rsid w:val="51457139"/>
    <w:rsid w:val="51574DBD"/>
    <w:rsid w:val="51DA1246"/>
    <w:rsid w:val="51E11A64"/>
    <w:rsid w:val="51EA3F5B"/>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331EE4"/>
    <w:rsid w:val="63AA02E5"/>
    <w:rsid w:val="64700DE9"/>
    <w:rsid w:val="65C613BD"/>
    <w:rsid w:val="65FD118C"/>
    <w:rsid w:val="66281930"/>
    <w:rsid w:val="682C3D89"/>
    <w:rsid w:val="68611305"/>
    <w:rsid w:val="6A162DE0"/>
    <w:rsid w:val="6A331428"/>
    <w:rsid w:val="6B2E5CB6"/>
    <w:rsid w:val="6B3D4886"/>
    <w:rsid w:val="6DF8675E"/>
    <w:rsid w:val="6EA80098"/>
    <w:rsid w:val="6F8D70FF"/>
    <w:rsid w:val="6FFA0408"/>
    <w:rsid w:val="6FFE5011"/>
    <w:rsid w:val="7178734D"/>
    <w:rsid w:val="71791096"/>
    <w:rsid w:val="717B0C34"/>
    <w:rsid w:val="71FB78FD"/>
    <w:rsid w:val="7275064A"/>
    <w:rsid w:val="733F750B"/>
    <w:rsid w:val="735702E2"/>
    <w:rsid w:val="755A04E6"/>
    <w:rsid w:val="75F41982"/>
    <w:rsid w:val="765F635A"/>
    <w:rsid w:val="76B73454"/>
    <w:rsid w:val="76D254BD"/>
    <w:rsid w:val="77727ACD"/>
    <w:rsid w:val="78071142"/>
    <w:rsid w:val="79296B37"/>
    <w:rsid w:val="7A4C4C40"/>
    <w:rsid w:val="7AA0518E"/>
    <w:rsid w:val="7B041636"/>
    <w:rsid w:val="7C981DE9"/>
    <w:rsid w:val="7CA86749"/>
    <w:rsid w:val="7D1A29A9"/>
    <w:rsid w:val="7DFF44F6"/>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0</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2020-04-05T05:25:48Z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