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rPr>
          <w:rFonts w:hint="eastAsia" w:ascii="黑体" w:hAnsi="黑体" w:eastAsia="黑体"/>
          <w:sz w:val="32"/>
          <w:szCs w:val="32"/>
          <w:lang w:eastAsia="zh-CN"/>
        </w:rPr>
      </w:pPr>
      <w:r>
        <w:rPr>
          <w:rFonts w:hint="eastAsia" w:ascii="黑体" w:hAnsi="黑体" w:eastAsia="黑体"/>
          <w:sz w:val="32"/>
          <w:szCs w:val="32"/>
        </w:rPr>
        <w:t>附件1：</w:t>
      </w:r>
    </w:p>
    <w:p>
      <w:pPr>
        <w:spacing w:line="540" w:lineRule="exact"/>
        <w:rPr>
          <w:rFonts w:ascii="方正小标宋_GBK" w:hAnsi="宋体" w:eastAsia="方正小标宋_GBK"/>
          <w:sz w:val="44"/>
          <w:szCs w:val="44"/>
        </w:rPr>
      </w:pPr>
    </w:p>
    <w:p>
      <w:pPr>
        <w:spacing w:line="540" w:lineRule="exact"/>
        <w:jc w:val="center"/>
        <w:rPr>
          <w:rFonts w:ascii="方正小标宋_GBK" w:hAnsi="宋体" w:eastAsia="方正小标宋_GBK"/>
          <w:sz w:val="44"/>
          <w:szCs w:val="44"/>
        </w:rPr>
      </w:pPr>
      <w:r>
        <w:rPr>
          <w:rFonts w:hint="eastAsia" w:ascii="方正小标宋_GBK" w:hAnsi="宋体" w:eastAsia="方正小标宋_GBK"/>
          <w:sz w:val="44"/>
          <w:szCs w:val="44"/>
        </w:rPr>
        <w:t>2018年度新疆喀什地区塔什库尔干县安全生产监督管理局部门决算公开说明</w:t>
      </w:r>
    </w:p>
    <w:p>
      <w:pPr>
        <w:spacing w:line="540" w:lineRule="exact"/>
        <w:rPr>
          <w:rFonts w:ascii="仿宋_GB2312" w:hAnsi="宋体" w:eastAsia="仿宋_GB2312"/>
          <w:sz w:val="32"/>
          <w:szCs w:val="32"/>
        </w:rPr>
      </w:pPr>
    </w:p>
    <w:p>
      <w:pPr>
        <w:spacing w:line="540" w:lineRule="exact"/>
        <w:jc w:val="center"/>
        <w:rPr>
          <w:rFonts w:ascii="黑体" w:hAnsi="黑体" w:eastAsia="黑体"/>
          <w:bCs/>
          <w:kern w:val="0"/>
          <w:sz w:val="32"/>
          <w:szCs w:val="32"/>
        </w:rPr>
      </w:pPr>
      <w:r>
        <w:rPr>
          <w:rFonts w:hint="eastAsia" w:ascii="黑体" w:hAnsi="黑体" w:eastAsia="黑体"/>
          <w:bCs/>
          <w:kern w:val="0"/>
          <w:sz w:val="32"/>
          <w:szCs w:val="32"/>
        </w:rPr>
        <w:t>目</w:t>
      </w:r>
      <w:r>
        <w:rPr>
          <w:rFonts w:hint="eastAsia" w:ascii="黑体" w:hAnsi="黑体" w:eastAsia="黑体"/>
          <w:bCs/>
          <w:kern w:val="0"/>
          <w:sz w:val="32"/>
          <w:szCs w:val="32"/>
          <w:lang w:val="en-US" w:eastAsia="zh-CN"/>
        </w:rPr>
        <w:t xml:space="preserve"> </w:t>
      </w:r>
      <w:r>
        <w:rPr>
          <w:rFonts w:hint="eastAsia" w:ascii="黑体" w:hAnsi="黑体" w:eastAsia="黑体"/>
          <w:bCs/>
          <w:kern w:val="0"/>
          <w:sz w:val="32"/>
          <w:szCs w:val="32"/>
        </w:rPr>
        <w:t>录</w:t>
      </w:r>
    </w:p>
    <w:p>
      <w:pPr>
        <w:spacing w:line="540" w:lineRule="exact"/>
        <w:rPr>
          <w:rFonts w:ascii="仿宋_GB2312" w:hAnsi="宋体" w:eastAsia="仿宋_GB2312"/>
          <w:b/>
          <w:kern w:val="0"/>
          <w:sz w:val="32"/>
          <w:szCs w:val="32"/>
        </w:rPr>
      </w:pP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第一部分部门单位概况</w:t>
      </w:r>
    </w:p>
    <w:p>
      <w:pPr>
        <w:spacing w:line="540" w:lineRule="exact"/>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一、主要职能</w:t>
      </w:r>
    </w:p>
    <w:p>
      <w:pPr>
        <w:spacing w:line="540" w:lineRule="exact"/>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二、</w:t>
      </w:r>
      <w:r>
        <w:rPr>
          <w:rFonts w:hint="eastAsia" w:ascii="仿宋_GB2312" w:eastAsia="仿宋_GB2312"/>
          <w:sz w:val="32"/>
          <w:szCs w:val="32"/>
        </w:rPr>
        <w:t>机构设置情况</w:t>
      </w: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第二部分部门决算情况说明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一、部门收支总体情况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（一）部门收入支出决算总体情况说明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（二）部门收入总体情况说明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（三）部门支出总体情况说明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二、部门财政拨款收支情况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（一）财政拨款收支总体情况说明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（二）一般公共预算收支决算情况说明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（三）政府性基金预算收支决算情况说明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三、部门结转结余情况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四、一般公共预算“三公”经费支出情况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五、机关运行经费支出情况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六、政府采购情况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七、其他重要事项的情况</w:t>
      </w:r>
    </w:p>
    <w:p>
      <w:pPr>
        <w:spacing w:line="540" w:lineRule="exact"/>
        <w:ind w:firstLine="640" w:firstLineChars="200"/>
        <w:rPr>
          <w:rFonts w:ascii="仿宋_GB2312" w:eastAsia="仿宋_GB2312"/>
          <w:sz w:val="32"/>
          <w:szCs w:val="32"/>
        </w:rPr>
      </w:pPr>
      <w:bookmarkStart w:id="0" w:name="OLE_LINK95"/>
      <w:bookmarkStart w:id="1" w:name="OLE_LINK94"/>
      <w:r>
        <w:rPr>
          <w:rFonts w:hint="eastAsia" w:ascii="仿宋_GB2312" w:eastAsia="仿宋_GB2312"/>
          <w:sz w:val="32"/>
          <w:szCs w:val="32"/>
        </w:rPr>
        <w:t>（一）国有资产占用情况说明</w:t>
      </w:r>
      <w:bookmarkEnd w:id="0"/>
      <w:bookmarkEnd w:id="1"/>
    </w:p>
    <w:p>
      <w:pPr>
        <w:spacing w:line="540" w:lineRule="exact"/>
        <w:ind w:firstLine="640" w:firstLineChars="200"/>
        <w:rPr>
          <w:rFonts w:ascii="仿宋_GB2312" w:eastAsia="仿宋_GB2312"/>
          <w:sz w:val="32"/>
          <w:szCs w:val="32"/>
        </w:rPr>
      </w:pPr>
      <w:bookmarkStart w:id="2" w:name="OLE_LINK96"/>
      <w:r>
        <w:rPr>
          <w:rFonts w:hint="eastAsia" w:ascii="仿宋_GB2312" w:eastAsia="仿宋_GB2312"/>
          <w:sz w:val="32"/>
          <w:szCs w:val="32"/>
        </w:rPr>
        <w:t>（二）预算绩效情况的说明</w:t>
      </w:r>
      <w:bookmarkEnd w:id="2"/>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第三部分专业名词解释</w:t>
      </w: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第四部分部</w:t>
      </w:r>
      <w:r>
        <w:rPr>
          <w:rFonts w:hint="eastAsia" w:ascii="黑体" w:hAnsi="黑体" w:eastAsia="黑体"/>
          <w:sz w:val="32"/>
          <w:szCs w:val="32"/>
        </w:rPr>
        <w:t>门决算公开的8张报表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《收入决算表》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《财政拨款收入支出决算总表》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《一般公共预算财政拨款基本支出决算表》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《一般公共预算财政拨款“三公”经费支出决算表》</w:t>
      </w:r>
    </w:p>
    <w:p>
      <w:pPr>
        <w:spacing w:line="540" w:lineRule="exact"/>
        <w:ind w:firstLine="640" w:firstLineChars="200"/>
        <w:rPr>
          <w:rFonts w:ascii="仿宋_GB2312" w:hAnsi="宋体" w:eastAsia="仿宋_GB2312"/>
          <w:sz w:val="32"/>
          <w:szCs w:val="32"/>
        </w:rPr>
      </w:pPr>
      <w:r>
        <w:rPr>
          <w:rFonts w:hint="eastAsia" w:ascii="仿宋_GB2312" w:eastAsia="仿宋_GB2312"/>
          <w:sz w:val="32"/>
          <w:szCs w:val="32"/>
        </w:rPr>
        <w:t>《政府性基金预算财政拨款收入支出决算表》</w:t>
      </w:r>
    </w:p>
    <w:p>
      <w:pPr>
        <w:spacing w:line="540" w:lineRule="exact"/>
        <w:ind w:firstLine="640" w:firstLineChars="200"/>
        <w:rPr>
          <w:rFonts w:ascii="黑体" w:hAnsi="黑体" w:eastAsia="黑体"/>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第一部分部门单位概况</w:t>
      </w:r>
    </w:p>
    <w:p>
      <w:pPr>
        <w:spacing w:line="540" w:lineRule="exact"/>
        <w:ind w:firstLine="640" w:firstLineChars="200"/>
        <w:rPr>
          <w:rFonts w:ascii="黑体" w:hAnsi="黑体" w:eastAsia="黑体" w:cs="宋体"/>
          <w:bCs/>
          <w:kern w:val="0"/>
          <w:sz w:val="32"/>
          <w:szCs w:val="32"/>
        </w:rPr>
      </w:pPr>
      <w:r>
        <w:rPr>
          <w:rFonts w:hint="eastAsia" w:ascii="黑体" w:hAnsi="黑体" w:eastAsia="黑体" w:cs="宋体"/>
          <w:bCs/>
          <w:kern w:val="0"/>
          <w:sz w:val="32"/>
          <w:szCs w:val="32"/>
        </w:rPr>
        <w:t>一、主要职能</w:t>
      </w:r>
    </w:p>
    <w:p>
      <w:pPr>
        <w:spacing w:line="500" w:lineRule="exact"/>
        <w:rPr>
          <w:rFonts w:hint="eastAsia" w:ascii="黑体" w:hAnsi="黑体" w:eastAsia="仿宋_GB2312" w:cs="宋体"/>
          <w:bCs/>
          <w:kern w:val="0"/>
          <w:sz w:val="32"/>
          <w:szCs w:val="32"/>
          <w:lang w:eastAsia="zh-CN"/>
        </w:rPr>
      </w:pPr>
      <w:r>
        <w:rPr>
          <w:rFonts w:hint="eastAsia" w:ascii="仿宋_GB2312" w:eastAsia="仿宋_GB2312"/>
          <w:sz w:val="32"/>
          <w:szCs w:val="32"/>
        </w:rPr>
        <w:t>1、推动安全生产责任体系的健全完善。进一步制定和完善“党政同责、一岗双责、失职追责”的规定和制度，并延伸到乡镇、行政村。完善安委会成员单位职责分工，进一步明确细化各行业领域监督管理责任，细化安全生产工作的考核。</w:t>
      </w:r>
      <w:r>
        <w:rPr>
          <w:rFonts w:hint="eastAsia" w:ascii="仿宋_GB2312" w:eastAsia="仿宋_GB2312"/>
          <w:sz w:val="32"/>
          <w:szCs w:val="32"/>
        </w:rPr>
        <w:br w:type="textWrapping"/>
      </w:r>
      <w:r>
        <w:rPr>
          <w:rFonts w:hint="eastAsia" w:ascii="仿宋_GB2312" w:eastAsia="仿宋_GB2312"/>
          <w:sz w:val="32"/>
          <w:szCs w:val="32"/>
        </w:rPr>
        <w:t>2、大力推进安全生产法治建设。深入宣传贯彻新修订的《安全生产法》，认真贯彻落实《国务院办公厅关于加强安全生产监管执法的通知》精神。依法采取“四个一律”措施，严厉整治各类非法违法行为。</w:t>
      </w:r>
      <w:r>
        <w:rPr>
          <w:rFonts w:hint="eastAsia" w:ascii="仿宋_GB2312" w:eastAsia="仿宋_GB2312"/>
          <w:sz w:val="32"/>
          <w:szCs w:val="32"/>
        </w:rPr>
        <w:br w:type="textWrapping"/>
      </w:r>
      <w:r>
        <w:rPr>
          <w:rFonts w:hint="eastAsia" w:ascii="仿宋_GB2312" w:eastAsia="仿宋_GB2312"/>
          <w:sz w:val="32"/>
          <w:szCs w:val="32"/>
        </w:rPr>
        <w:t>3、扎实开展安全生产大检查。继续开展“打非治违”专项整治，认真开展以危化品和易燃易爆物品为重点的安全生产大检查，排查隐患，时刻树立隐患就是事故的意识。</w:t>
      </w:r>
      <w:r>
        <w:rPr>
          <w:rFonts w:hint="eastAsia" w:ascii="仿宋_GB2312" w:eastAsia="仿宋_GB2312"/>
          <w:sz w:val="32"/>
          <w:szCs w:val="32"/>
        </w:rPr>
        <w:br w:type="textWrapping"/>
      </w:r>
      <w:r>
        <w:rPr>
          <w:rFonts w:hint="eastAsia" w:ascii="仿宋_GB2312" w:eastAsia="仿宋_GB2312"/>
          <w:sz w:val="32"/>
          <w:szCs w:val="32"/>
        </w:rPr>
        <w:t>4、不断强化重点行业领域安全整治。按照马凯副总理“八个必查”的要求，对非煤矿山、危化品和运输经营单位进行了全面排查、集中治理；加大道路交通集中整治，加大酒驾、疲劳驾驶、超载等道路交通安全隐患的查处力度；开展人员密集场所、密集型企业消防安全检查与选矿企业粉尘危害治理，实施建筑、水利等行业落实建筑施工方案和电梯安全专项督查。</w:t>
      </w:r>
      <w:r>
        <w:rPr>
          <w:rFonts w:hint="eastAsia" w:ascii="仿宋_GB2312" w:eastAsia="仿宋_GB2312"/>
          <w:sz w:val="32"/>
          <w:szCs w:val="32"/>
        </w:rPr>
        <w:br w:type="textWrapping"/>
      </w:r>
      <w:r>
        <w:rPr>
          <w:rFonts w:hint="eastAsia" w:ascii="仿宋_GB2312" w:eastAsia="仿宋_GB2312"/>
          <w:sz w:val="32"/>
          <w:szCs w:val="32"/>
        </w:rPr>
        <w:t>5、持续加强安全生产基础能力建设。坚持环保优先，推进绿色发展原则，在高危行业试点开展“机械化换人、自动化减人”活动。大力推进安全生产标准化建设，加快建立企业隐患排查治理自查、自报、自改的闭环管理机制，坚决关闭和取缔违法矿山、矿点。</w:t>
      </w:r>
    </w:p>
    <w:p>
      <w:pPr>
        <w:tabs>
          <w:tab w:val="left" w:pos="4055"/>
        </w:tabs>
        <w:spacing w:line="540" w:lineRule="exact"/>
        <w:ind w:firstLine="640" w:firstLineChars="200"/>
        <w:rPr>
          <w:rFonts w:hint="eastAsia" w:ascii="黑体" w:hAnsi="黑体" w:eastAsia="黑体" w:cs="宋体"/>
          <w:bCs/>
          <w:kern w:val="0"/>
          <w:sz w:val="32"/>
          <w:szCs w:val="32"/>
          <w:lang w:eastAsia="zh-CN"/>
        </w:rPr>
      </w:pPr>
      <w:r>
        <w:rPr>
          <w:rFonts w:hint="eastAsia" w:ascii="黑体" w:hAnsi="黑体" w:eastAsia="黑体" w:cs="宋体"/>
          <w:bCs/>
          <w:kern w:val="0"/>
          <w:sz w:val="32"/>
          <w:szCs w:val="32"/>
        </w:rPr>
        <w:t>二、机构设置情况</w:t>
      </w:r>
      <w:r>
        <w:rPr>
          <w:rFonts w:hint="eastAsia" w:ascii="黑体" w:hAnsi="黑体" w:eastAsia="黑体" w:cs="宋体"/>
          <w:bCs/>
          <w:kern w:val="0"/>
          <w:sz w:val="32"/>
          <w:szCs w:val="32"/>
          <w:lang w:eastAsia="zh-CN"/>
        </w:rPr>
        <w:tab/>
      </w:r>
    </w:p>
    <w:p>
      <w:pPr>
        <w:spacing w:line="540" w:lineRule="exact"/>
        <w:ind w:firstLine="640" w:firstLineChars="200"/>
        <w:rPr>
          <w:rFonts w:ascii="仿宋_GB2312" w:hAnsi="宋体" w:eastAsia="仿宋_GB2312" w:cs="宋体"/>
          <w:kern w:val="0"/>
          <w:sz w:val="32"/>
          <w:szCs w:val="32"/>
        </w:rPr>
      </w:pPr>
      <w:bookmarkStart w:id="3" w:name="OLE_LINK51"/>
      <w:r>
        <w:rPr>
          <w:rFonts w:hint="eastAsia" w:ascii="仿宋_GB2312" w:eastAsia="仿宋_GB2312"/>
          <w:sz w:val="32"/>
          <w:szCs w:val="32"/>
        </w:rPr>
        <w:t>从决算单位构成看，</w:t>
      </w:r>
      <w:r>
        <w:rPr>
          <w:rFonts w:ascii="仿宋_GB2312" w:eastAsia="仿宋_GB2312"/>
          <w:sz w:val="32"/>
          <w:szCs w:val="32"/>
        </w:rPr>
        <w:t>新疆喀什地区塔什库尔干县安全生产监督管理局</w:t>
      </w:r>
      <w:r>
        <w:rPr>
          <w:rFonts w:hint="eastAsia" w:ascii="仿宋_GB2312" w:eastAsia="仿宋_GB2312"/>
          <w:sz w:val="32"/>
          <w:szCs w:val="32"/>
        </w:rPr>
        <w:t>部门决算包括：</w:t>
      </w:r>
      <w:r>
        <w:rPr>
          <w:rFonts w:ascii="仿宋_GB2312" w:eastAsia="仿宋_GB2312"/>
          <w:sz w:val="32"/>
          <w:szCs w:val="32"/>
        </w:rPr>
        <w:t>新疆喀什地区塔什库尔干县安全生产监督管理局</w:t>
      </w:r>
      <w:r>
        <w:rPr>
          <w:rFonts w:hint="eastAsia" w:ascii="仿宋_GB2312" w:eastAsia="仿宋_GB2312"/>
          <w:sz w:val="32"/>
          <w:szCs w:val="32"/>
        </w:rPr>
        <w:t>部门本级决算、所属单位决算等。</w:t>
      </w:r>
    </w:p>
    <w:p>
      <w:pPr>
        <w:spacing w:line="540" w:lineRule="exact"/>
        <w:ind w:firstLine="640" w:firstLineChars="200"/>
        <w:rPr>
          <w:rFonts w:hint="eastAsia" w:ascii="仿宋_GB2312" w:eastAsia="仿宋_GB2312"/>
          <w:spacing w:val="-6"/>
          <w:sz w:val="32"/>
          <w:szCs w:val="32"/>
          <w:lang w:eastAsia="zh-CN"/>
        </w:rPr>
      </w:pPr>
      <w:r>
        <w:rPr>
          <w:rFonts w:hint="eastAsia" w:ascii="仿宋_GB2312" w:eastAsia="仿宋_GB2312"/>
          <w:sz w:val="32"/>
          <w:szCs w:val="32"/>
        </w:rPr>
        <w:t>纳入</w:t>
      </w:r>
      <w:r>
        <w:rPr>
          <w:rFonts w:ascii="仿宋_GB2312" w:eastAsia="仿宋_GB2312"/>
          <w:sz w:val="32"/>
          <w:szCs w:val="32"/>
        </w:rPr>
        <w:t>新疆喀什地区塔什库尔干县安全生产监督管理局</w:t>
      </w:r>
      <w:r>
        <w:rPr>
          <w:rFonts w:hint="eastAsia" w:ascii="仿宋_GB2312" w:eastAsia="仿宋_GB2312"/>
          <w:sz w:val="32"/>
          <w:szCs w:val="32"/>
        </w:rPr>
        <w:t>2018年部门决算编制范围的单位名单见下表</w:t>
      </w:r>
      <w:r>
        <w:rPr>
          <w:rFonts w:hint="eastAsia" w:ascii="仿宋_GB2312" w:eastAsia="仿宋_GB2312"/>
          <w:spacing w:val="-6"/>
          <w:sz w:val="32"/>
          <w:szCs w:val="32"/>
        </w:rPr>
        <w:t>：</w:t>
      </w:r>
      <w:bookmarkEnd w:id="3"/>
    </w:p>
    <w:p>
      <w:pPr>
        <w:spacing w:line="540" w:lineRule="exact"/>
        <w:ind w:firstLine="616" w:firstLineChars="200"/>
        <w:rPr>
          <w:rFonts w:ascii="仿宋_GB2312" w:eastAsia="仿宋_GB2312"/>
          <w:spacing w:val="-6"/>
          <w:sz w:val="32"/>
          <w:szCs w:val="32"/>
        </w:rPr>
      </w:pPr>
    </w:p>
    <w:tbl>
      <w:tblPr>
        <w:tblStyle w:val="10"/>
        <w:tblW w:w="94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75"/>
        <w:gridCol w:w="5385"/>
        <w:gridCol w:w="19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exact"/>
        </w:trPr>
        <w:tc>
          <w:tcPr>
            <w:tcW w:w="2175" w:type="dxa"/>
            <w:vAlign w:val="center"/>
          </w:tcPr>
          <w:p>
            <w:pPr>
              <w:spacing w:line="50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序号</w:t>
            </w:r>
          </w:p>
        </w:tc>
        <w:tc>
          <w:tcPr>
            <w:tcW w:w="5385" w:type="dxa"/>
            <w:vAlign w:val="center"/>
          </w:tcPr>
          <w:p>
            <w:pPr>
              <w:spacing w:line="50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单位名称</w:t>
            </w:r>
          </w:p>
        </w:tc>
        <w:tc>
          <w:tcPr>
            <w:tcW w:w="1904" w:type="dxa"/>
            <w:vAlign w:val="center"/>
          </w:tcPr>
          <w:p>
            <w:pPr>
              <w:spacing w:line="500" w:lineRule="exact"/>
              <w:rPr>
                <w:rFonts w:ascii="仿宋_GB2312" w:eastAsia="仿宋_GB2312"/>
                <w:color w:val="000000" w:themeColor="text1"/>
                <w:sz w:val="32"/>
                <w:szCs w:val="32"/>
                <w:highlight w:val="yellow"/>
              </w:rPr>
            </w:pPr>
            <w:r>
              <w:rPr>
                <w:rFonts w:hint="eastAsia" w:ascii="仿宋_GB2312" w:eastAsia="仿宋_GB2312"/>
                <w:color w:val="000000" w:themeColor="text1"/>
                <w:sz w:val="32"/>
                <w:szCs w:val="32"/>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75" w:type="dxa"/>
          </w:tcPr>
          <w:p>
            <w:pPr>
              <w:pageBreakBefore w:val="0"/>
              <w:spacing w:line="500" w:lineRule="exact"/>
              <w:ind w:firstLine="640" w:firstLineChars="200"/>
              <w:jc w:val="left"/>
              <w:textAlignment w:val="auto"/>
            </w:pPr>
            <w:r>
              <w:rPr>
                <w:rFonts w:ascii="Times New Roman" w:hAnsi="Times New Roman" w:eastAsia="Times New Roman" w:cs="Times New Roman"/>
                <w:b w:val="0"/>
                <w:i w:val="0"/>
                <w:strike w:val="0"/>
                <w:color w:val="000000"/>
                <w:position w:val="-1"/>
                <w:sz w:val="32"/>
                <w:u w:val="none"/>
              </w:rPr>
              <w:t>1</w:t>
            </w:r>
          </w:p>
        </w:tc>
        <w:tc>
          <w:tcPr>
            <w:tcW w:w="5385" w:type="dxa"/>
          </w:tcPr>
          <w:p>
            <w:pPr>
              <w:pageBreakBefore w:val="0"/>
              <w:spacing w:line="500" w:lineRule="exact"/>
              <w:jc w:val="left"/>
              <w:textAlignment w:val="auto"/>
            </w:pPr>
            <w:r>
              <w:rPr>
                <w:rFonts w:ascii="Times New Roman" w:hAnsi="Times New Roman" w:eastAsia="Times New Roman" w:cs="Times New Roman"/>
                <w:b w:val="0"/>
                <w:i w:val="0"/>
                <w:strike w:val="0"/>
                <w:color w:val="000000"/>
                <w:position w:val="-1"/>
                <w:sz w:val="32"/>
                <w:u w:val="none"/>
              </w:rPr>
              <w:t>新疆喀什地区塔什库尔干县安全生产监督管理局</w:t>
            </w:r>
          </w:p>
        </w:tc>
        <w:tc>
          <w:tcPr>
            <w:tcW w:w="1904" w:type="dxa"/>
            <w:vAlign w:val="center"/>
          </w:tcPr>
          <w:p>
            <w:pPr>
              <w:pageBreakBefore w:val="0"/>
              <w:spacing w:line="500" w:lineRule="exact"/>
              <w:ind w:firstLine="420" w:firstLineChars="200"/>
              <w:jc w:val="left"/>
              <w:textAlignment w:val="auto"/>
            </w:pPr>
          </w:p>
        </w:tc>
      </w:tr>
    </w:tbl>
    <w:p>
      <w:pPr>
        <w:tabs>
          <w:tab w:val="left" w:pos="1535"/>
        </w:tabs>
        <w:spacing w:line="500" w:lineRule="exact"/>
        <w:rPr>
          <w:rFonts w:hint="eastAsia" w:ascii="仿宋_GB2312" w:hAnsi="宋体" w:eastAsia="仿宋_GB2312" w:cs="宋体"/>
          <w:kern w:val="0"/>
          <w:sz w:val="32"/>
          <w:szCs w:val="32"/>
          <w:lang w:eastAsia="zh-CN"/>
        </w:rPr>
      </w:pPr>
    </w:p>
    <w:p>
      <w:pPr>
        <w:spacing w:line="540" w:lineRule="exact"/>
        <w:jc w:val="center"/>
        <w:rPr>
          <w:rFonts w:ascii="黑体" w:hAnsi="黑体" w:eastAsia="黑体"/>
          <w:sz w:val="32"/>
          <w:szCs w:val="32"/>
        </w:rPr>
      </w:pPr>
      <w:r>
        <w:rPr>
          <w:rFonts w:hint="eastAsia" w:ascii="黑体" w:hAnsi="黑体" w:eastAsia="黑体"/>
          <w:sz w:val="32"/>
          <w:szCs w:val="32"/>
        </w:rPr>
        <w:t>第二部分部门决算情况说明</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一、部门收支总体情况</w:t>
      </w:r>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（一）部门收入支出决算总体情况说明</w:t>
      </w:r>
    </w:p>
    <w:p>
      <w:pPr>
        <w:spacing w:line="540" w:lineRule="exact"/>
        <w:ind w:firstLine="640" w:firstLineChars="200"/>
        <w:rPr>
          <w:rFonts w:ascii="仿宋_GB2312" w:hAnsi="Calibri" w:eastAsia="仿宋_GB2312"/>
          <w:color w:val="000000" w:themeColor="text1"/>
          <w:sz w:val="32"/>
          <w:szCs w:val="32"/>
          <w:lang w:val="en-GB"/>
        </w:rPr>
      </w:pPr>
      <w:bookmarkStart w:id="4" w:name="OLE_LINK100"/>
      <w:bookmarkStart w:id="5" w:name="OLE_LINK99"/>
      <w:bookmarkStart w:id="6" w:name="OLE_LINK52"/>
      <w:r>
        <w:rPr>
          <w:rFonts w:hint="eastAsia" w:ascii="仿宋_GB2312" w:eastAsia="仿宋_GB2312"/>
          <w:color w:val="000000" w:themeColor="text1"/>
          <w:sz w:val="32"/>
          <w:szCs w:val="32"/>
        </w:rPr>
        <w:t>2018年度收入</w:t>
      </w:r>
      <w:r>
        <w:rPr>
          <w:rFonts w:hint="eastAsia" w:ascii="仿宋_GB2312" w:eastAsia="仿宋_GB2312"/>
          <w:sz w:val="32"/>
          <w:szCs w:val="32"/>
        </w:rPr>
        <w:t>136.23</w:t>
      </w:r>
      <w:r>
        <w:rPr>
          <w:rFonts w:hint="eastAsia" w:ascii="仿宋_GB2312" w:eastAsia="仿宋_GB2312"/>
          <w:color w:val="000000" w:themeColor="text1"/>
          <w:sz w:val="32"/>
          <w:szCs w:val="32"/>
        </w:rPr>
        <w:t>万元</w:t>
      </w:r>
      <w:bookmarkEnd w:id="4"/>
      <w:bookmarkEnd w:id="5"/>
      <w:r>
        <w:rPr>
          <w:rFonts w:hint="eastAsia" w:ascii="仿宋_GB2312" w:eastAsia="仿宋_GB2312"/>
          <w:sz w:val="32"/>
          <w:szCs w:val="32"/>
        </w:rPr>
        <w:t>，与上年相比，减少565.76万元，下降80.59%，减少的主要原因是：</w:t>
      </w:r>
      <w:r>
        <w:rPr>
          <w:rFonts w:hint="eastAsia" w:ascii="仿宋_GB2312" w:eastAsia="仿宋_GB2312"/>
          <w:color w:val="000000" w:themeColor="text1"/>
          <w:sz w:val="32"/>
          <w:szCs w:val="32"/>
        </w:rPr>
        <w:t>2018年比2017年减少消防大队附属大楼工程项目建设资金；</w:t>
      </w:r>
      <w:bookmarkEnd w:id="6"/>
      <w:bookmarkStart w:id="7" w:name="OLE_LINK53"/>
      <w:r>
        <w:rPr>
          <w:rFonts w:hint="eastAsia" w:ascii="仿宋_GB2312" w:eastAsia="仿宋_GB2312"/>
          <w:color w:val="000000" w:themeColor="text1"/>
          <w:sz w:val="32"/>
          <w:szCs w:val="32"/>
        </w:rPr>
        <w:t>支出</w:t>
      </w:r>
      <w:r>
        <w:rPr>
          <w:rFonts w:hint="eastAsia" w:ascii="仿宋_GB2312" w:eastAsia="仿宋_GB2312"/>
          <w:sz w:val="32"/>
          <w:szCs w:val="32"/>
        </w:rPr>
        <w:t>136.23</w:t>
      </w:r>
      <w:r>
        <w:rPr>
          <w:rFonts w:hint="eastAsia" w:ascii="仿宋_GB2312" w:eastAsia="仿宋_GB2312"/>
          <w:color w:val="000000" w:themeColor="text1"/>
          <w:sz w:val="32"/>
          <w:szCs w:val="32"/>
        </w:rPr>
        <w:t>万元</w:t>
      </w:r>
      <w:r>
        <w:rPr>
          <w:rFonts w:hint="eastAsia" w:ascii="仿宋_GB2312" w:eastAsia="仿宋_GB2312"/>
          <w:sz w:val="32"/>
          <w:szCs w:val="32"/>
        </w:rPr>
        <w:t>，与上年相比，减少565.76万元，下降80.59%，减少的主要原因是：</w:t>
      </w:r>
      <w:r>
        <w:rPr>
          <w:rFonts w:hint="eastAsia" w:ascii="仿宋_GB2312" w:eastAsia="仿宋_GB2312"/>
          <w:color w:val="000000" w:themeColor="text1"/>
          <w:sz w:val="32"/>
          <w:szCs w:val="32"/>
        </w:rPr>
        <w:t>2018年比2017年减少消防大队附属大楼工程项目建设资金；</w:t>
      </w:r>
      <w:bookmarkEnd w:id="7"/>
      <w:r>
        <w:rPr>
          <w:rFonts w:hint="eastAsia" w:ascii="仿宋_GB2312" w:eastAsia="仿宋_GB2312"/>
          <w:color w:val="000000"/>
          <w:sz w:val="32"/>
          <w:szCs w:val="32"/>
        </w:rPr>
        <w:t>结余</w:t>
      </w:r>
      <w:r>
        <w:rPr>
          <w:rFonts w:hint="eastAsia" w:ascii="仿宋_GB2312" w:eastAsia="仿宋_GB2312"/>
          <w:sz w:val="32"/>
          <w:szCs w:val="32"/>
        </w:rPr>
        <w:t>0</w:t>
      </w:r>
      <w:r>
        <w:rPr>
          <w:rFonts w:hint="eastAsia" w:ascii="仿宋_GB2312" w:eastAsia="仿宋_GB2312"/>
          <w:color w:val="000000"/>
          <w:sz w:val="32"/>
          <w:szCs w:val="32"/>
        </w:rPr>
        <w:t>万元</w:t>
      </w:r>
      <w:r>
        <w:rPr>
          <w:rFonts w:hint="eastAsia" w:ascii="仿宋_GB2312" w:eastAsia="仿宋_GB2312"/>
          <w:sz w:val="32"/>
          <w:szCs w:val="32"/>
        </w:rPr>
        <w:t>，与上年相比</w:t>
      </w:r>
      <w:r>
        <w:rPr>
          <w:rFonts w:hint="eastAsia" w:ascii="仿宋_GB2312" w:eastAsia="仿宋_GB2312"/>
          <w:sz w:val="32"/>
          <w:szCs w:val="32"/>
          <w:lang w:val="en-US" w:eastAsia="zh-CN"/>
        </w:rPr>
        <w:t>,</w:t>
      </w:r>
      <w:r>
        <w:rPr>
          <w:rFonts w:hint="eastAsia" w:ascii="仿宋_GB2312" w:eastAsia="仿宋_GB2312"/>
          <w:sz w:val="32"/>
          <w:szCs w:val="32"/>
        </w:rPr>
        <w:t>增加0万元，增长0%，</w:t>
      </w:r>
      <w:r>
        <w:rPr>
          <w:rFonts w:hint="eastAsia" w:ascii="仿宋_GB2312" w:eastAsia="仿宋_GB2312"/>
          <w:sz w:val="32"/>
          <w:szCs w:val="32"/>
          <w:lang w:eastAsia="zh-CN"/>
        </w:rPr>
        <w:t>增减变化的</w:t>
      </w:r>
      <w:r>
        <w:rPr>
          <w:rFonts w:hint="eastAsia" w:ascii="仿宋_GB2312" w:eastAsia="仿宋_GB2312"/>
          <w:sz w:val="32"/>
          <w:szCs w:val="32"/>
        </w:rPr>
        <w:t>主要原因是：</w:t>
      </w:r>
      <w:r>
        <w:rPr>
          <w:rFonts w:hint="eastAsia" w:ascii="仿宋_GB2312" w:eastAsia="仿宋_GB2312"/>
          <w:color w:val="000000"/>
          <w:sz w:val="32"/>
          <w:szCs w:val="32"/>
          <w:lang w:val="en-US" w:eastAsia="zh-CN"/>
        </w:rPr>
        <w:t>本年与上年均无结余资金</w:t>
      </w:r>
      <w:r>
        <w:rPr>
          <w:rFonts w:ascii="仿宋_GB2312" w:eastAsia="仿宋_GB2312"/>
          <w:color w:val="000000"/>
          <w:sz w:val="32"/>
          <w:szCs w:val="32"/>
        </w:rPr>
        <w:t>。</w:t>
      </w:r>
      <w:bookmarkStart w:id="91" w:name="_GoBack"/>
      <w:bookmarkEnd w:id="91"/>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（二）部门收入总体情况说明</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本年收入合计</w:t>
      </w:r>
      <w:r>
        <w:rPr>
          <w:rFonts w:hint="eastAsia" w:ascii="仿宋_GB2312" w:eastAsia="仿宋_GB2312"/>
          <w:sz w:val="32"/>
          <w:szCs w:val="32"/>
        </w:rPr>
        <w:t>136.23</w:t>
      </w:r>
      <w:r>
        <w:rPr>
          <w:rFonts w:hint="eastAsia" w:ascii="仿宋_GB2312" w:eastAsia="仿宋_GB2312"/>
          <w:color w:val="000000" w:themeColor="text1"/>
          <w:sz w:val="32"/>
          <w:szCs w:val="32"/>
        </w:rPr>
        <w:t>万元，其中：</w:t>
      </w:r>
      <w:bookmarkStart w:id="8" w:name="OLE_LINK1"/>
      <w:r>
        <w:rPr>
          <w:rFonts w:hint="eastAsia" w:ascii="仿宋_GB2312" w:eastAsia="仿宋_GB2312"/>
          <w:color w:val="000000" w:themeColor="text1"/>
          <w:sz w:val="32"/>
          <w:szCs w:val="32"/>
        </w:rPr>
        <w:t>财政拨款收入</w:t>
      </w:r>
      <w:bookmarkEnd w:id="8"/>
      <w:r>
        <w:rPr>
          <w:rFonts w:hint="eastAsia" w:ascii="仿宋_GB2312" w:eastAsia="仿宋_GB2312"/>
          <w:sz w:val="32"/>
          <w:szCs w:val="32"/>
        </w:rPr>
        <w:t>136.23</w:t>
      </w:r>
      <w:r>
        <w:rPr>
          <w:rFonts w:hint="eastAsia" w:ascii="仿宋_GB2312" w:eastAsia="仿宋_GB2312"/>
          <w:color w:val="000000" w:themeColor="text1"/>
          <w:sz w:val="32"/>
          <w:szCs w:val="32"/>
        </w:rPr>
        <w:t>万元，占</w:t>
      </w:r>
      <w:r>
        <w:rPr>
          <w:rFonts w:hint="eastAsia" w:ascii="仿宋_GB2312" w:eastAsia="仿宋_GB2312"/>
          <w:sz w:val="32"/>
          <w:szCs w:val="32"/>
        </w:rPr>
        <w:t>100%</w:t>
      </w:r>
      <w:r>
        <w:rPr>
          <w:rFonts w:hint="eastAsia" w:ascii="仿宋_GB2312" w:eastAsia="仿宋_GB2312"/>
          <w:color w:val="000000" w:themeColor="text1"/>
          <w:sz w:val="32"/>
          <w:szCs w:val="32"/>
        </w:rPr>
        <w:t>；</w:t>
      </w:r>
      <w:bookmarkStart w:id="9" w:name="OLE_LINK2"/>
      <w:r>
        <w:rPr>
          <w:rFonts w:hint="eastAsia" w:ascii="仿宋_GB2312" w:eastAsia="仿宋_GB2312"/>
          <w:color w:val="000000" w:themeColor="text1"/>
          <w:sz w:val="32"/>
          <w:szCs w:val="32"/>
        </w:rPr>
        <w:t>上级补助收入</w:t>
      </w:r>
      <w:bookmarkEnd w:id="9"/>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0" w:name="OLE_LINK3"/>
      <w:r>
        <w:rPr>
          <w:rFonts w:hint="eastAsia" w:ascii="仿宋_GB2312" w:eastAsia="仿宋_GB2312"/>
          <w:color w:val="000000" w:themeColor="text1"/>
          <w:sz w:val="32"/>
          <w:szCs w:val="32"/>
        </w:rPr>
        <w:t>事业收入</w:t>
      </w:r>
      <w:bookmarkEnd w:id="10"/>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1" w:name="OLE_LINK4"/>
      <w:r>
        <w:rPr>
          <w:rFonts w:hint="eastAsia" w:ascii="仿宋_GB2312" w:eastAsia="仿宋_GB2312"/>
          <w:color w:val="000000" w:themeColor="text1"/>
          <w:sz w:val="32"/>
          <w:szCs w:val="32"/>
        </w:rPr>
        <w:t>经营收入</w:t>
      </w:r>
      <w:bookmarkEnd w:id="11"/>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2" w:name="OLE_LINK5"/>
      <w:r>
        <w:rPr>
          <w:rFonts w:hint="eastAsia" w:ascii="仿宋_GB2312" w:eastAsia="仿宋_GB2312"/>
          <w:color w:val="000000" w:themeColor="text1"/>
          <w:sz w:val="32"/>
          <w:szCs w:val="32"/>
        </w:rPr>
        <w:t>附属单位缴款</w:t>
      </w:r>
      <w:bookmarkEnd w:id="12"/>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3" w:name="OLE_LINK6"/>
      <w:r>
        <w:rPr>
          <w:rFonts w:hint="eastAsia" w:ascii="仿宋_GB2312" w:eastAsia="仿宋_GB2312"/>
          <w:color w:val="000000" w:themeColor="text1"/>
          <w:sz w:val="32"/>
          <w:szCs w:val="32"/>
        </w:rPr>
        <w:t>其他收入</w:t>
      </w:r>
      <w:bookmarkEnd w:id="13"/>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p>
    <w:p>
      <w:pPr>
        <w:spacing w:line="540" w:lineRule="exact"/>
        <w:ind w:firstLine="640" w:firstLineChars="200"/>
        <w:rPr>
          <w:rFonts w:ascii="仿宋_GB2312" w:eastAsia="仿宋_GB2312"/>
          <w:sz w:val="32"/>
          <w:szCs w:val="32"/>
        </w:rPr>
      </w:pPr>
      <w:bookmarkStart w:id="14" w:name="OLE_LINK55"/>
      <w:r>
        <w:rPr>
          <w:rFonts w:hint="eastAsia" w:ascii="仿宋_GB2312" w:eastAsia="仿宋_GB2312"/>
          <w:sz w:val="32"/>
          <w:szCs w:val="32"/>
        </w:rPr>
        <w:t>与年初预算数相比情</w:t>
      </w:r>
      <w:r>
        <w:rPr>
          <w:rFonts w:hint="eastAsia" w:ascii="仿宋_GB2312" w:eastAsia="仿宋_GB2312"/>
          <w:color w:val="000000" w:themeColor="text1"/>
          <w:sz w:val="32"/>
          <w:szCs w:val="32"/>
        </w:rPr>
        <w:t>况：本年收入年初预算数125.62万元</w:t>
      </w:r>
      <w:r>
        <w:rPr>
          <w:rFonts w:hint="eastAsia" w:ascii="仿宋_GB2312" w:eastAsia="仿宋_GB2312"/>
          <w:sz w:val="32"/>
          <w:szCs w:val="32"/>
        </w:rPr>
        <w:t>，决算数136.23万元</w:t>
      </w:r>
      <w:r>
        <w:rPr>
          <w:rFonts w:ascii="仿宋_GB2312" w:eastAsia="仿宋_GB2312"/>
          <w:sz w:val="32"/>
          <w:szCs w:val="32"/>
        </w:rPr>
        <w:t>，预决算差异率8.45%，差异主要原因是2018年7月增加艰苦边远地区津贴、2018年12月增加基本工资、高海拔工龄资的上调及补发等导致决算数较预算数增加。</w:t>
      </w:r>
      <w:bookmarkEnd w:id="14"/>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（三）部门支出总体情况说明</w:t>
      </w:r>
    </w:p>
    <w:p>
      <w:pPr>
        <w:spacing w:line="540" w:lineRule="exact"/>
        <w:ind w:firstLine="640" w:firstLineChars="200"/>
        <w:rPr>
          <w:rFonts w:ascii="仿宋_GB2312" w:eastAsia="仿宋_GB2312"/>
          <w:color w:val="000000" w:themeColor="text1"/>
          <w:spacing w:val="-6"/>
          <w:sz w:val="32"/>
          <w:szCs w:val="32"/>
        </w:rPr>
      </w:pPr>
      <w:bookmarkStart w:id="15" w:name="OLE_LINK7"/>
      <w:r>
        <w:rPr>
          <w:rFonts w:hint="eastAsia" w:ascii="仿宋_GB2312" w:eastAsia="仿宋_GB2312"/>
          <w:color w:val="000000" w:themeColor="text1"/>
          <w:sz w:val="32"/>
          <w:szCs w:val="32"/>
        </w:rPr>
        <w:t>本年支出合计</w:t>
      </w:r>
      <w:bookmarkEnd w:id="15"/>
      <w:r>
        <w:rPr>
          <w:rFonts w:hint="eastAsia" w:ascii="仿宋_GB2312" w:eastAsia="仿宋_GB2312"/>
          <w:sz w:val="32"/>
          <w:szCs w:val="32"/>
        </w:rPr>
        <w:t>136.23</w:t>
      </w:r>
      <w:r>
        <w:rPr>
          <w:rFonts w:hint="eastAsia" w:ascii="仿宋_GB2312" w:eastAsia="仿宋_GB2312"/>
          <w:color w:val="000000" w:themeColor="text1"/>
          <w:sz w:val="32"/>
          <w:szCs w:val="32"/>
        </w:rPr>
        <w:t>万元，其中：</w:t>
      </w:r>
      <w:bookmarkStart w:id="16" w:name="OLE_LINK8"/>
      <w:r>
        <w:rPr>
          <w:rFonts w:hint="eastAsia" w:ascii="仿宋_GB2312" w:eastAsia="仿宋_GB2312"/>
          <w:color w:val="000000" w:themeColor="text1"/>
          <w:sz w:val="32"/>
          <w:szCs w:val="32"/>
        </w:rPr>
        <w:t>基本支出</w:t>
      </w:r>
      <w:bookmarkEnd w:id="16"/>
      <w:r>
        <w:rPr>
          <w:rFonts w:hint="eastAsia" w:ascii="仿宋_GB2312" w:eastAsia="仿宋_GB2312"/>
          <w:sz w:val="32"/>
          <w:szCs w:val="32"/>
        </w:rPr>
        <w:t>136.23</w:t>
      </w:r>
      <w:r>
        <w:rPr>
          <w:rFonts w:hint="eastAsia" w:ascii="仿宋_GB2312" w:eastAsia="仿宋_GB2312"/>
          <w:color w:val="000000" w:themeColor="text1"/>
          <w:sz w:val="32"/>
          <w:szCs w:val="32"/>
        </w:rPr>
        <w:t>万元，占</w:t>
      </w:r>
      <w:r>
        <w:rPr>
          <w:rFonts w:hint="eastAsia" w:ascii="仿宋_GB2312" w:eastAsia="仿宋_GB2312"/>
          <w:sz w:val="32"/>
          <w:szCs w:val="32"/>
        </w:rPr>
        <w:t>100%</w:t>
      </w:r>
      <w:r>
        <w:rPr>
          <w:rFonts w:hint="eastAsia" w:ascii="仿宋_GB2312" w:eastAsia="仿宋_GB2312"/>
          <w:color w:val="000000" w:themeColor="text1"/>
          <w:sz w:val="32"/>
          <w:szCs w:val="32"/>
        </w:rPr>
        <w:t>；</w:t>
      </w:r>
      <w:bookmarkStart w:id="17" w:name="OLE_LINK9"/>
      <w:r>
        <w:rPr>
          <w:rFonts w:hint="eastAsia" w:ascii="仿宋_GB2312" w:eastAsia="仿宋_GB2312"/>
          <w:color w:val="000000" w:themeColor="text1"/>
          <w:sz w:val="32"/>
          <w:szCs w:val="32"/>
        </w:rPr>
        <w:t>项目支出</w:t>
      </w:r>
      <w:bookmarkEnd w:id="17"/>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8" w:name="OLE_LINK10"/>
      <w:r>
        <w:rPr>
          <w:rFonts w:hint="eastAsia" w:ascii="仿宋_GB2312" w:eastAsia="仿宋_GB2312"/>
          <w:color w:val="000000" w:themeColor="text1"/>
          <w:sz w:val="32"/>
          <w:szCs w:val="32"/>
        </w:rPr>
        <w:t>上缴上级支出</w:t>
      </w:r>
      <w:bookmarkEnd w:id="18"/>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9" w:name="OLE_LINK11"/>
      <w:r>
        <w:rPr>
          <w:rFonts w:hint="eastAsia" w:ascii="仿宋_GB2312" w:eastAsia="仿宋_GB2312"/>
          <w:color w:val="000000" w:themeColor="text1"/>
          <w:spacing w:val="-6"/>
          <w:sz w:val="32"/>
          <w:szCs w:val="32"/>
        </w:rPr>
        <w:t>经营支出</w:t>
      </w:r>
      <w:bookmarkEnd w:id="19"/>
      <w:r>
        <w:rPr>
          <w:rFonts w:hint="eastAsia" w:ascii="仿宋_GB2312" w:eastAsia="仿宋_GB2312"/>
          <w:sz w:val="32"/>
          <w:szCs w:val="32"/>
        </w:rPr>
        <w:t>0</w:t>
      </w:r>
      <w:r>
        <w:rPr>
          <w:rFonts w:hint="eastAsia" w:ascii="仿宋_GB2312" w:eastAsia="仿宋_GB2312"/>
          <w:color w:val="000000" w:themeColor="text1"/>
          <w:spacing w:val="-6"/>
          <w:sz w:val="32"/>
          <w:szCs w:val="32"/>
        </w:rPr>
        <w:t>万元，占</w:t>
      </w:r>
      <w:r>
        <w:rPr>
          <w:rFonts w:hint="eastAsia" w:ascii="仿宋_GB2312" w:eastAsia="仿宋_GB2312"/>
          <w:sz w:val="32"/>
          <w:szCs w:val="32"/>
        </w:rPr>
        <w:t>0%</w:t>
      </w:r>
      <w:r>
        <w:rPr>
          <w:rFonts w:hint="eastAsia" w:ascii="仿宋_GB2312" w:eastAsia="仿宋_GB2312"/>
          <w:color w:val="000000" w:themeColor="text1"/>
          <w:spacing w:val="-6"/>
          <w:sz w:val="32"/>
          <w:szCs w:val="32"/>
        </w:rPr>
        <w:t>；</w:t>
      </w:r>
      <w:bookmarkStart w:id="20" w:name="OLE_LINK12"/>
      <w:r>
        <w:rPr>
          <w:rFonts w:hint="eastAsia" w:ascii="仿宋_GB2312" w:eastAsia="仿宋_GB2312"/>
          <w:color w:val="000000" w:themeColor="text1"/>
          <w:spacing w:val="-6"/>
          <w:sz w:val="32"/>
          <w:szCs w:val="32"/>
        </w:rPr>
        <w:t>对附属单位补助支出</w:t>
      </w:r>
      <w:bookmarkEnd w:id="20"/>
      <w:r>
        <w:rPr>
          <w:rFonts w:hint="eastAsia" w:ascii="仿宋_GB2312" w:eastAsia="仿宋_GB2312"/>
          <w:sz w:val="32"/>
          <w:szCs w:val="32"/>
        </w:rPr>
        <w:t>0</w:t>
      </w:r>
      <w:r>
        <w:rPr>
          <w:rFonts w:hint="eastAsia" w:ascii="仿宋_GB2312" w:eastAsia="仿宋_GB2312"/>
          <w:color w:val="000000" w:themeColor="text1"/>
          <w:spacing w:val="-6"/>
          <w:sz w:val="32"/>
          <w:szCs w:val="32"/>
        </w:rPr>
        <w:t>万元，占</w:t>
      </w:r>
      <w:r>
        <w:rPr>
          <w:rFonts w:hint="eastAsia" w:ascii="仿宋_GB2312" w:eastAsia="仿宋_GB2312"/>
          <w:sz w:val="32"/>
          <w:szCs w:val="32"/>
        </w:rPr>
        <w:t>0%</w:t>
      </w:r>
      <w:r>
        <w:rPr>
          <w:rFonts w:hint="eastAsia" w:ascii="仿宋_GB2312" w:eastAsia="仿宋_GB2312"/>
          <w:sz w:val="32"/>
          <w:szCs w:val="32"/>
          <w:lang w:eastAsia="zh-CN"/>
        </w:rPr>
        <w:t>。</w:t>
      </w:r>
    </w:p>
    <w:p>
      <w:pPr>
        <w:spacing w:line="540" w:lineRule="exact"/>
        <w:ind w:firstLine="640" w:firstLineChars="200"/>
        <w:rPr>
          <w:rFonts w:ascii="仿宋_GB2312" w:eastAsia="仿宋_GB2312"/>
          <w:sz w:val="32"/>
          <w:szCs w:val="32"/>
        </w:rPr>
      </w:pPr>
      <w:bookmarkStart w:id="21" w:name="OLE_LINK56"/>
      <w:r>
        <w:rPr>
          <w:rFonts w:hint="eastAsia" w:ascii="仿宋_GB2312" w:eastAsia="仿宋_GB2312"/>
          <w:color w:val="000000" w:themeColor="text1"/>
          <w:sz w:val="32"/>
          <w:szCs w:val="32"/>
        </w:rPr>
        <w:t>与年初预算数相比情况：本年支出年初预算数125.62万元，</w:t>
      </w:r>
      <w:r>
        <w:rPr>
          <w:rFonts w:hint="eastAsia" w:ascii="仿宋_GB2312" w:eastAsia="仿宋_GB2312"/>
          <w:sz w:val="32"/>
          <w:szCs w:val="32"/>
        </w:rPr>
        <w:t>决算数136.23万元</w:t>
      </w:r>
      <w:r>
        <w:rPr>
          <w:rFonts w:ascii="仿宋_GB2312" w:eastAsia="仿宋_GB2312"/>
          <w:sz w:val="32"/>
          <w:szCs w:val="32"/>
        </w:rPr>
        <w:t>，预决算差异率8.45%，差异主要原因是2018年7月增加艰苦边远地区津贴、2018年12月增加基本工资、高海拔工龄资的上调及补发等导致决算数较预算数增加。</w:t>
      </w:r>
    </w:p>
    <w:bookmarkEnd w:id="21"/>
    <w:p>
      <w:pPr>
        <w:spacing w:line="540" w:lineRule="exact"/>
        <w:ind w:firstLine="640" w:firstLineChars="200"/>
        <w:rPr>
          <w:rFonts w:ascii="黑体" w:hAnsi="黑体" w:eastAsia="黑体"/>
          <w:sz w:val="32"/>
          <w:szCs w:val="32"/>
        </w:rPr>
      </w:pPr>
      <w:r>
        <w:rPr>
          <w:rFonts w:hint="eastAsia" w:ascii="黑体" w:hAnsi="黑体" w:eastAsia="黑体"/>
          <w:sz w:val="32"/>
          <w:szCs w:val="32"/>
        </w:rPr>
        <w:t>二、部门财政拨款收支情况</w:t>
      </w:r>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（一）财政拨款收支总体情况说明</w:t>
      </w:r>
    </w:p>
    <w:p>
      <w:pPr>
        <w:spacing w:line="540" w:lineRule="exact"/>
        <w:ind w:firstLine="640" w:firstLineChars="200"/>
        <w:rPr>
          <w:rFonts w:hint="eastAsia" w:ascii="仿宋_GB2312" w:eastAsia="仿宋_GB2312"/>
          <w:sz w:val="32"/>
          <w:szCs w:val="32"/>
          <w:lang w:val="en-US" w:eastAsia="zh-CN"/>
        </w:rPr>
      </w:pPr>
      <w:bookmarkStart w:id="22" w:name="OLE_LINK58"/>
      <w:bookmarkStart w:id="23" w:name="OLE_LINK57"/>
      <w:r>
        <w:rPr>
          <w:rFonts w:hint="eastAsia" w:ascii="仿宋_GB2312" w:eastAsia="仿宋_GB2312"/>
          <w:color w:val="000000" w:themeColor="text1"/>
          <w:sz w:val="32"/>
          <w:szCs w:val="32"/>
        </w:rPr>
        <w:t>2018年度</w:t>
      </w:r>
      <w:bookmarkStart w:id="24" w:name="OLE_LINK13"/>
      <w:r>
        <w:rPr>
          <w:rFonts w:hint="eastAsia" w:ascii="仿宋_GB2312" w:eastAsia="仿宋_GB2312"/>
          <w:color w:val="000000" w:themeColor="text1"/>
          <w:sz w:val="32"/>
          <w:szCs w:val="32"/>
        </w:rPr>
        <w:t>财政拨款收入</w:t>
      </w:r>
      <w:bookmarkEnd w:id="24"/>
      <w:r>
        <w:rPr>
          <w:rFonts w:hint="eastAsia" w:ascii="仿宋_GB2312" w:eastAsia="仿宋_GB2312"/>
          <w:sz w:val="32"/>
          <w:szCs w:val="32"/>
        </w:rPr>
        <w:t>136.23</w:t>
      </w:r>
      <w:r>
        <w:rPr>
          <w:rFonts w:hint="eastAsia" w:ascii="仿宋_GB2312" w:eastAsia="仿宋_GB2312"/>
          <w:color w:val="000000" w:themeColor="text1"/>
          <w:sz w:val="32"/>
          <w:szCs w:val="32"/>
        </w:rPr>
        <w:t>万元</w:t>
      </w:r>
      <w:r>
        <w:rPr>
          <w:rFonts w:hint="eastAsia" w:ascii="仿宋_GB2312" w:eastAsia="仿宋_GB2312"/>
          <w:sz w:val="32"/>
          <w:szCs w:val="32"/>
        </w:rPr>
        <w:t>，与上年相比，减少565.76万元，下降80.59%，减少的主要原因是：2018年比2017年减少消防大队附属大楼工程项目资金。</w:t>
      </w:r>
      <w:bookmarkEnd w:id="22"/>
      <w:bookmarkEnd w:id="23"/>
      <w:bookmarkStart w:id="25" w:name="OLE_LINK14"/>
      <w:bookmarkStart w:id="26" w:name="OLE_LINK59"/>
      <w:bookmarkStart w:id="27" w:name="OLE_LINK60"/>
      <w:r>
        <w:rPr>
          <w:rFonts w:hint="eastAsia" w:ascii="仿宋_GB2312" w:eastAsia="仿宋_GB2312"/>
          <w:color w:val="000000" w:themeColor="text1"/>
          <w:sz w:val="32"/>
          <w:szCs w:val="32"/>
        </w:rPr>
        <w:t>财政拨款支出</w:t>
      </w:r>
      <w:bookmarkEnd w:id="25"/>
      <w:r>
        <w:rPr>
          <w:rFonts w:hint="eastAsia" w:ascii="仿宋_GB2312" w:eastAsia="仿宋_GB2312"/>
          <w:sz w:val="32"/>
          <w:szCs w:val="32"/>
        </w:rPr>
        <w:t>136.23</w:t>
      </w:r>
      <w:r>
        <w:rPr>
          <w:rFonts w:hint="eastAsia" w:ascii="仿宋_GB2312" w:eastAsia="仿宋_GB2312"/>
          <w:color w:val="000000" w:themeColor="text1"/>
          <w:sz w:val="32"/>
          <w:szCs w:val="32"/>
        </w:rPr>
        <w:t>万元</w:t>
      </w:r>
      <w:r>
        <w:rPr>
          <w:rFonts w:hint="eastAsia" w:ascii="仿宋_GB2312" w:eastAsia="仿宋_GB2312"/>
          <w:sz w:val="32"/>
          <w:szCs w:val="32"/>
        </w:rPr>
        <w:t>，与上年相比，减少565.76万元，下降80.59%，减少的主要原因是：</w:t>
      </w:r>
      <w:r>
        <w:rPr>
          <w:rFonts w:ascii="仿宋_GB2312" w:eastAsia="仿宋_GB2312"/>
          <w:sz w:val="32"/>
          <w:szCs w:val="32"/>
        </w:rPr>
        <w:t>2018年比2017年减少消防大队附属大楼工程项目资金。</w:t>
      </w:r>
      <w:bookmarkEnd w:id="26"/>
      <w:bookmarkEnd w:id="27"/>
      <w:bookmarkStart w:id="28" w:name="OLE_LINK61"/>
      <w:r>
        <w:rPr>
          <w:rFonts w:hint="eastAsia" w:ascii="仿宋_GB2312" w:eastAsia="仿宋_GB2312"/>
          <w:color w:val="000000" w:themeColor="text1"/>
          <w:sz w:val="32"/>
          <w:szCs w:val="32"/>
        </w:rPr>
        <w:t>其中：</w:t>
      </w:r>
      <w:bookmarkStart w:id="29" w:name="OLE_LINK15"/>
      <w:r>
        <w:rPr>
          <w:rFonts w:hint="eastAsia" w:ascii="仿宋_GB2312" w:eastAsia="仿宋_GB2312"/>
          <w:color w:val="000000" w:themeColor="text1"/>
          <w:sz w:val="32"/>
          <w:szCs w:val="32"/>
        </w:rPr>
        <w:t>基本支出</w:t>
      </w:r>
      <w:bookmarkEnd w:id="29"/>
      <w:r>
        <w:rPr>
          <w:rFonts w:hint="eastAsia" w:ascii="仿宋_GB2312" w:eastAsia="仿宋_GB2312"/>
          <w:sz w:val="32"/>
          <w:szCs w:val="32"/>
        </w:rPr>
        <w:t>136.23</w:t>
      </w:r>
      <w:r>
        <w:rPr>
          <w:rFonts w:hint="eastAsia" w:ascii="仿宋_GB2312" w:eastAsia="仿宋_GB2312"/>
          <w:color w:val="000000" w:themeColor="text1"/>
          <w:sz w:val="32"/>
          <w:szCs w:val="32"/>
        </w:rPr>
        <w:t>万元，项目支出</w:t>
      </w:r>
      <w:r>
        <w:rPr>
          <w:rFonts w:hint="eastAsia" w:ascii="仿宋_GB2312" w:eastAsia="仿宋_GB2312"/>
          <w:sz w:val="32"/>
          <w:szCs w:val="32"/>
        </w:rPr>
        <w:t>0</w:t>
      </w:r>
      <w:r>
        <w:rPr>
          <w:rFonts w:hint="eastAsia" w:ascii="仿宋_GB2312" w:eastAsia="仿宋_GB2312"/>
          <w:color w:val="000000" w:themeColor="text1"/>
          <w:sz w:val="32"/>
          <w:szCs w:val="32"/>
        </w:rPr>
        <w:t>万元。</w:t>
      </w:r>
      <w:bookmarkEnd w:id="28"/>
      <w:bookmarkStart w:id="30" w:name="OLE_LINK16"/>
      <w:bookmarkStart w:id="31" w:name="OLE_LINK62"/>
      <w:r>
        <w:rPr>
          <w:rFonts w:hint="eastAsia" w:ascii="仿宋_GB2312" w:eastAsia="仿宋_GB2312"/>
          <w:color w:val="000000"/>
          <w:sz w:val="32"/>
          <w:szCs w:val="32"/>
        </w:rPr>
        <w:t>财政拨款结转结余</w:t>
      </w:r>
      <w:bookmarkEnd w:id="30"/>
      <w:r>
        <w:rPr>
          <w:rFonts w:hint="eastAsia" w:ascii="仿宋_GB2312" w:eastAsia="仿宋_GB2312"/>
          <w:sz w:val="32"/>
          <w:szCs w:val="32"/>
        </w:rPr>
        <w:t>0</w:t>
      </w:r>
      <w:r>
        <w:rPr>
          <w:rFonts w:hint="eastAsia" w:ascii="仿宋_GB2312" w:eastAsia="仿宋_GB2312"/>
          <w:color w:val="000000"/>
          <w:sz w:val="32"/>
          <w:szCs w:val="32"/>
        </w:rPr>
        <w:t>万元</w:t>
      </w:r>
      <w:r>
        <w:rPr>
          <w:rFonts w:hint="eastAsia" w:ascii="仿宋_GB2312" w:eastAsia="仿宋_GB2312"/>
          <w:sz w:val="32"/>
          <w:szCs w:val="32"/>
        </w:rPr>
        <w:t>，与上年相比</w:t>
      </w:r>
      <w:r>
        <w:rPr>
          <w:rFonts w:hint="eastAsia" w:ascii="仿宋_GB2312" w:eastAsia="仿宋_GB2312"/>
          <w:sz w:val="32"/>
          <w:szCs w:val="32"/>
          <w:lang w:val="en-US" w:eastAsia="zh-CN"/>
        </w:rPr>
        <w:t>,增加0万元，增长0%，增加的主要原因是：本年与上年均无结转结余资金。</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与年初预算数相比情况：财政拨款收入年初预算数</w:t>
      </w:r>
      <w:r>
        <w:rPr>
          <w:rFonts w:ascii="仿宋_GB2312" w:eastAsia="仿宋_GB2312"/>
          <w:color w:val="000000" w:themeColor="text1"/>
          <w:sz w:val="32"/>
          <w:szCs w:val="32"/>
        </w:rPr>
        <w:t>125.62</w:t>
      </w:r>
      <w:r>
        <w:rPr>
          <w:rFonts w:hint="eastAsia" w:ascii="仿宋_GB2312" w:eastAsia="仿宋_GB2312"/>
          <w:color w:val="000000" w:themeColor="text1"/>
          <w:sz w:val="32"/>
          <w:szCs w:val="32"/>
        </w:rPr>
        <w:t>万元，决算数</w:t>
      </w:r>
      <w:r>
        <w:rPr>
          <w:rFonts w:hint="eastAsia" w:ascii="仿宋_GB2312" w:eastAsia="仿宋_GB2312"/>
          <w:sz w:val="32"/>
          <w:szCs w:val="32"/>
        </w:rPr>
        <w:t>136.23</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，预决算差异率8.45%，差异主要原因是2018年7月增加艰苦边远地区津贴、2018年12月增加基本工资、高海拔工龄资的上调及补发等导致决算数较预算数增加。</w:t>
      </w:r>
      <w:bookmarkEnd w:id="31"/>
      <w:bookmarkStart w:id="32" w:name="OLE_LINK63"/>
      <w:r>
        <w:rPr>
          <w:rFonts w:hint="eastAsia" w:ascii="仿宋_GB2312" w:eastAsia="仿宋_GB2312"/>
          <w:color w:val="000000" w:themeColor="text1"/>
          <w:sz w:val="32"/>
          <w:szCs w:val="32"/>
        </w:rPr>
        <w:t>财政拨款支出年初预算数</w:t>
      </w:r>
      <w:r>
        <w:rPr>
          <w:rFonts w:ascii="仿宋_GB2312" w:eastAsia="仿宋_GB2312"/>
          <w:color w:val="000000" w:themeColor="text1"/>
          <w:sz w:val="32"/>
          <w:szCs w:val="32"/>
        </w:rPr>
        <w:t>125.62</w:t>
      </w:r>
      <w:r>
        <w:rPr>
          <w:rFonts w:hint="eastAsia" w:ascii="仿宋_GB2312" w:eastAsia="仿宋_GB2312"/>
          <w:color w:val="000000" w:themeColor="text1"/>
          <w:sz w:val="32"/>
          <w:szCs w:val="32"/>
        </w:rPr>
        <w:t>万元，决算数</w:t>
      </w:r>
      <w:r>
        <w:rPr>
          <w:rFonts w:hint="eastAsia" w:ascii="仿宋_GB2312" w:eastAsia="仿宋_GB2312"/>
          <w:sz w:val="32"/>
          <w:szCs w:val="32"/>
        </w:rPr>
        <w:t>136.23</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，预决算差异率8.45%，差异主要原因是2018年7月增加艰苦边远地区津贴、2018年12月增加基本工资、高海拔工龄资的上调及补发等导致决算数较预算数增加。</w:t>
      </w:r>
      <w:bookmarkEnd w:id="32"/>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（二）一般公共预算收支决算情况说明</w:t>
      </w:r>
    </w:p>
    <w:p>
      <w:pPr>
        <w:spacing w:line="540" w:lineRule="exact"/>
        <w:ind w:firstLine="640" w:firstLineChars="200"/>
        <w:rPr>
          <w:rFonts w:ascii="仿宋_GB2312" w:eastAsia="仿宋_GB2312"/>
          <w:color w:val="000000" w:themeColor="text1"/>
          <w:sz w:val="32"/>
          <w:szCs w:val="32"/>
        </w:rPr>
      </w:pPr>
      <w:bookmarkStart w:id="33" w:name="OLE_LINK64"/>
      <w:r>
        <w:rPr>
          <w:rFonts w:hint="eastAsia" w:ascii="仿宋_GB2312" w:eastAsia="仿宋_GB2312"/>
          <w:color w:val="000000" w:themeColor="text1"/>
          <w:sz w:val="32"/>
          <w:szCs w:val="32"/>
        </w:rPr>
        <w:t>2018年度</w:t>
      </w:r>
      <w:bookmarkStart w:id="34" w:name="OLE_LINK17"/>
      <w:r>
        <w:rPr>
          <w:rFonts w:hint="eastAsia" w:ascii="仿宋_GB2312" w:eastAsia="仿宋_GB2312"/>
          <w:color w:val="000000" w:themeColor="text1"/>
          <w:sz w:val="32"/>
          <w:szCs w:val="32"/>
        </w:rPr>
        <w:t>一般公共预算财政拨款收入</w:t>
      </w:r>
      <w:bookmarkEnd w:id="34"/>
      <w:r>
        <w:rPr>
          <w:rFonts w:ascii="仿宋_GB2312" w:eastAsia="仿宋_GB2312"/>
          <w:color w:val="000000" w:themeColor="text1"/>
          <w:sz w:val="32"/>
          <w:szCs w:val="32"/>
        </w:rPr>
        <w:t>136.23</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，与上年相比，减少565.76万元，下降80.59%，减少的主要原因是：2018年比2017年减少消防大队附属大楼工程项目资金。</w:t>
      </w:r>
      <w:bookmarkEnd w:id="33"/>
      <w:bookmarkStart w:id="35" w:name="OLE_LINK18"/>
      <w:bookmarkStart w:id="36" w:name="OLE_LINK65"/>
      <w:r>
        <w:rPr>
          <w:rFonts w:hint="eastAsia" w:ascii="仿宋_GB2312" w:eastAsia="仿宋_GB2312"/>
          <w:color w:val="000000" w:themeColor="text1"/>
          <w:sz w:val="32"/>
          <w:szCs w:val="32"/>
        </w:rPr>
        <w:t>一般公共预算财政拨款支出</w:t>
      </w:r>
      <w:r>
        <w:rPr>
          <w:rFonts w:hint="eastAsia" w:ascii="仿宋_GB2312" w:eastAsia="仿宋_GB2312"/>
          <w:sz w:val="32"/>
          <w:szCs w:val="32"/>
        </w:rPr>
        <w:t>136.23</w:t>
      </w:r>
      <w:r>
        <w:rPr>
          <w:rFonts w:hint="eastAsia" w:ascii="仿宋_GB2312" w:eastAsia="仿宋_GB2312"/>
          <w:color w:val="000000" w:themeColor="text1"/>
          <w:sz w:val="32"/>
          <w:szCs w:val="32"/>
        </w:rPr>
        <w:t>万元</w:t>
      </w:r>
      <w:bookmarkEnd w:id="35"/>
      <w:r>
        <w:rPr>
          <w:rFonts w:hint="eastAsia" w:ascii="仿宋_GB2312" w:eastAsia="仿宋_GB2312"/>
          <w:sz w:val="32"/>
          <w:szCs w:val="32"/>
        </w:rPr>
        <w:t>，与上年相比，减少565.76万元，下降80.59%，减少的主要原因是：2018年比2017年减少消防大队附属大楼工程项目资金。</w:t>
      </w:r>
      <w:bookmarkEnd w:id="36"/>
      <w:r>
        <w:rPr>
          <w:rFonts w:hint="eastAsia" w:ascii="仿宋_GB2312" w:eastAsia="仿宋_GB2312"/>
          <w:color w:val="000000" w:themeColor="text1"/>
          <w:sz w:val="32"/>
          <w:szCs w:val="32"/>
        </w:rPr>
        <w:t>其中：</w:t>
      </w:r>
      <w:bookmarkStart w:id="37" w:name="OLE_LINK19"/>
      <w:r>
        <w:rPr>
          <w:rFonts w:hint="eastAsia" w:ascii="仿宋_GB2312" w:eastAsia="仿宋_GB2312"/>
          <w:color w:val="000000" w:themeColor="text1"/>
          <w:sz w:val="32"/>
          <w:szCs w:val="32"/>
        </w:rPr>
        <w:t>按功能分类科目（按类级科目公开）</w:t>
      </w:r>
      <w:bookmarkEnd w:id="37"/>
      <w:r>
        <w:rPr>
          <w:rFonts w:hint="eastAsia" w:ascii="仿宋_GB2312" w:eastAsia="仿宋_GB2312"/>
          <w:color w:val="000000" w:themeColor="text1"/>
          <w:sz w:val="32"/>
          <w:szCs w:val="32"/>
        </w:rPr>
        <w:t>，</w:t>
      </w:r>
      <w:r>
        <w:rPr>
          <w:rFonts w:hint="eastAsia" w:ascii="仿宋_GB2312" w:eastAsia="仿宋_GB2312"/>
          <w:sz w:val="32"/>
          <w:szCs w:val="32"/>
        </w:rPr>
        <w:t>住房保障支出8.6万元,资源勘探信息等支出115.47万元,社会保障和就业支出12.16万元。</w:t>
      </w:r>
      <w:bookmarkStart w:id="38" w:name="OLE_LINK20"/>
      <w:bookmarkStart w:id="39" w:name="OLE_LINK21"/>
      <w:r>
        <w:rPr>
          <w:rFonts w:hint="eastAsia" w:ascii="仿宋_GB2312" w:eastAsia="仿宋_GB2312"/>
          <w:color w:val="000000" w:themeColor="text1"/>
          <w:sz w:val="32"/>
          <w:szCs w:val="32"/>
        </w:rPr>
        <w:t>按经济分类科目</w:t>
      </w:r>
      <w:bookmarkEnd w:id="38"/>
      <w:r>
        <w:rPr>
          <w:rFonts w:hint="eastAsia" w:ascii="仿宋_GB2312" w:eastAsia="仿宋_GB2312"/>
          <w:color w:val="000000" w:themeColor="text1"/>
          <w:sz w:val="32"/>
          <w:szCs w:val="32"/>
        </w:rPr>
        <w:t>（按类级科目公开）</w:t>
      </w:r>
      <w:bookmarkEnd w:id="39"/>
      <w:r>
        <w:rPr>
          <w:rFonts w:hint="eastAsia" w:ascii="仿宋_GB2312" w:eastAsia="仿宋_GB2312"/>
          <w:color w:val="000000" w:themeColor="text1"/>
          <w:sz w:val="32"/>
          <w:szCs w:val="32"/>
        </w:rPr>
        <w:t>，</w:t>
      </w:r>
      <w:r>
        <w:rPr>
          <w:rFonts w:hint="eastAsia" w:ascii="仿宋_GB2312" w:eastAsia="仿宋_GB2312"/>
          <w:sz w:val="32"/>
          <w:szCs w:val="32"/>
        </w:rPr>
        <w:t>工资福利支出131.31万元,商品和服务支出3.75万元,对个人和家庭的补助1.17万元。</w:t>
      </w:r>
    </w:p>
    <w:p>
      <w:pPr>
        <w:spacing w:line="540" w:lineRule="exact"/>
        <w:ind w:firstLine="640" w:firstLineChars="200"/>
        <w:rPr>
          <w:rFonts w:ascii="仿宋_GB2312" w:eastAsia="仿宋_GB2312"/>
          <w:color w:val="000000" w:themeColor="text1"/>
          <w:sz w:val="32"/>
          <w:szCs w:val="32"/>
        </w:rPr>
      </w:pPr>
      <w:bookmarkStart w:id="40" w:name="OLE_LINK67"/>
      <w:bookmarkStart w:id="41" w:name="OLE_LINK66"/>
      <w:r>
        <w:rPr>
          <w:rFonts w:hint="eastAsia" w:ascii="仿宋_GB2312" w:eastAsia="仿宋_GB2312"/>
          <w:color w:val="000000" w:themeColor="text1"/>
          <w:sz w:val="32"/>
          <w:szCs w:val="32"/>
        </w:rPr>
        <w:t>与年初预算数相比情况：一般公共预算财政拨款收入年初预算数</w:t>
      </w:r>
      <w:r>
        <w:rPr>
          <w:rFonts w:ascii="仿宋_GB2312" w:eastAsia="仿宋_GB2312"/>
          <w:color w:val="000000" w:themeColor="text1"/>
          <w:sz w:val="32"/>
          <w:szCs w:val="32"/>
        </w:rPr>
        <w:t>125.62</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136.23</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，预决算差异率8.45%，差异主要原因是2018年7月增加艰苦边远地区津贴、2018年12月增加基本工资、高海拔工龄资的上调及补发等导致决算数较预算数增加。</w:t>
      </w:r>
      <w:bookmarkEnd w:id="40"/>
      <w:bookmarkEnd w:id="41"/>
      <w:bookmarkStart w:id="42" w:name="OLE_LINK68"/>
      <w:r>
        <w:rPr>
          <w:rFonts w:hint="eastAsia" w:ascii="仿宋_GB2312" w:eastAsia="仿宋_GB2312"/>
          <w:color w:val="000000" w:themeColor="text1"/>
          <w:sz w:val="32"/>
          <w:szCs w:val="32"/>
        </w:rPr>
        <w:t>一般公共预算财政拨款支出年初预算数</w:t>
      </w:r>
      <w:r>
        <w:rPr>
          <w:rFonts w:ascii="仿宋_GB2312" w:eastAsia="仿宋_GB2312"/>
          <w:color w:val="000000" w:themeColor="text1"/>
          <w:sz w:val="32"/>
          <w:szCs w:val="32"/>
        </w:rPr>
        <w:t>125.62</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136.23</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，预决算差异率8.45%，差异主要原因是2018年7月增加艰苦边远地区津贴、2018年12月增加基本工资、高海拔工龄资的上调及补发等导致决算数较预算数增加。</w:t>
      </w:r>
      <w:bookmarkEnd w:id="42"/>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（三）政府性基金预算收支决算情况说明</w:t>
      </w:r>
    </w:p>
    <w:p>
      <w:pPr>
        <w:spacing w:line="540" w:lineRule="exact"/>
        <w:ind w:firstLine="640" w:firstLineChars="200"/>
        <w:rPr>
          <w:rFonts w:ascii="仿宋_GB2312" w:eastAsia="仿宋_GB2312"/>
          <w:color w:val="000000" w:themeColor="text1"/>
          <w:sz w:val="32"/>
          <w:szCs w:val="32"/>
        </w:rPr>
      </w:pPr>
      <w:bookmarkStart w:id="43" w:name="OLE_LINK69"/>
      <w:r>
        <w:rPr>
          <w:rFonts w:hint="eastAsia" w:ascii="仿宋_GB2312" w:eastAsia="仿宋_GB2312"/>
          <w:color w:val="000000" w:themeColor="text1"/>
          <w:sz w:val="32"/>
          <w:szCs w:val="32"/>
        </w:rPr>
        <w:t>2018年度</w:t>
      </w:r>
      <w:bookmarkStart w:id="44" w:name="OLE_LINK22"/>
      <w:r>
        <w:rPr>
          <w:rFonts w:hint="eastAsia" w:ascii="仿宋_GB2312" w:eastAsia="仿宋_GB2312"/>
          <w:color w:val="000000" w:themeColor="text1"/>
          <w:sz w:val="32"/>
          <w:szCs w:val="32"/>
        </w:rPr>
        <w:t>政府性基金预算财政拨款收入</w:t>
      </w:r>
      <w:bookmarkEnd w:id="44"/>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，与上年相比，无变化。</w:t>
      </w:r>
      <w:bookmarkEnd w:id="43"/>
      <w:bookmarkStart w:id="45" w:name="OLE_LINK23"/>
      <w:bookmarkStart w:id="46" w:name="OLE_LINK70"/>
      <w:r>
        <w:rPr>
          <w:rFonts w:hint="eastAsia" w:ascii="仿宋_GB2312" w:eastAsia="仿宋_GB2312"/>
          <w:color w:val="000000" w:themeColor="text1"/>
          <w:sz w:val="32"/>
          <w:szCs w:val="32"/>
        </w:rPr>
        <w:t>政府性基金预算支出</w:t>
      </w:r>
      <w:bookmarkEnd w:id="45"/>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，与上年相比，无变化。</w:t>
      </w:r>
      <w:bookmarkEnd w:id="46"/>
      <w:r>
        <w:rPr>
          <w:rFonts w:hint="eastAsia" w:ascii="仿宋_GB2312" w:eastAsia="仿宋_GB2312"/>
          <w:color w:val="000000" w:themeColor="text1"/>
          <w:sz w:val="32"/>
          <w:szCs w:val="32"/>
        </w:rPr>
        <w:t>其中：</w:t>
      </w:r>
      <w:bookmarkStart w:id="47" w:name="OLE_LINK24"/>
      <w:r>
        <w:rPr>
          <w:rFonts w:hint="eastAsia" w:ascii="仿宋_GB2312" w:eastAsia="仿宋_GB2312"/>
          <w:color w:val="000000" w:themeColor="text1"/>
          <w:sz w:val="32"/>
          <w:szCs w:val="32"/>
        </w:rPr>
        <w:t>按功能分类科目（按类级科目公开）</w:t>
      </w:r>
      <w:bookmarkEnd w:id="47"/>
      <w:r>
        <w:rPr>
          <w:rFonts w:hint="eastAsia" w:ascii="仿宋_GB2312" w:eastAsia="仿宋_GB2312"/>
          <w:color w:val="000000" w:themeColor="text1"/>
          <w:sz w:val="32"/>
          <w:szCs w:val="32"/>
        </w:rPr>
        <w:t>，无。按经济分类科目（按类级科目公开），无。</w:t>
      </w:r>
    </w:p>
    <w:p>
      <w:pPr>
        <w:spacing w:line="540" w:lineRule="exact"/>
        <w:ind w:firstLine="640" w:firstLineChars="200"/>
        <w:rPr>
          <w:rFonts w:ascii="仿宋_GB2312" w:eastAsia="仿宋_GB2312"/>
          <w:color w:val="000000" w:themeColor="text1"/>
          <w:sz w:val="32"/>
          <w:szCs w:val="32"/>
        </w:rPr>
      </w:pPr>
      <w:bookmarkStart w:id="48" w:name="OLE_LINK72"/>
      <w:bookmarkStart w:id="49" w:name="OLE_LINK71"/>
      <w:r>
        <w:rPr>
          <w:rFonts w:hint="eastAsia" w:ascii="仿宋_GB2312" w:eastAsia="仿宋_GB2312"/>
          <w:color w:val="000000" w:themeColor="text1"/>
          <w:sz w:val="32"/>
          <w:szCs w:val="32"/>
        </w:rPr>
        <w:t>与年初预算数相比情况：政府性基金预算财政拨款收入年初预算数0万元，决算数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，预决算差异率0%，差异主要原因是无变化。</w:t>
      </w:r>
      <w:bookmarkEnd w:id="48"/>
      <w:bookmarkEnd w:id="49"/>
      <w:bookmarkStart w:id="50" w:name="OLE_LINK73"/>
      <w:r>
        <w:rPr>
          <w:rFonts w:hint="eastAsia" w:ascii="仿宋_GB2312" w:eastAsia="仿宋_GB2312"/>
          <w:color w:val="000000" w:themeColor="text1"/>
          <w:sz w:val="32"/>
          <w:szCs w:val="32"/>
        </w:rPr>
        <w:t>政府性基金预算财政拨款支出年初预算数0万元，决算数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，预决算差异率0%，差异主要原因是无变化。</w:t>
      </w:r>
      <w:bookmarkEnd w:id="50"/>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三、部门结转结余情况</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0" w:firstLineChars="200"/>
        <w:jc w:val="both"/>
        <w:textAlignment w:val="auto"/>
        <w:outlineLvl w:val="9"/>
        <w:rPr>
          <w:rFonts w:ascii="仿宋_GB2312" w:eastAsia="仿宋_GB2312"/>
          <w:color w:val="000000" w:themeColor="text1"/>
          <w:sz w:val="32"/>
          <w:szCs w:val="32"/>
        </w:rPr>
      </w:pPr>
      <w:bookmarkStart w:id="51" w:name="OLE_LINK26"/>
      <w:bookmarkStart w:id="52" w:name="OLE_LINK25"/>
      <w:r>
        <w:rPr>
          <w:rFonts w:hint="eastAsia" w:ascii="仿宋_GB2312" w:eastAsia="仿宋_GB2312"/>
          <w:color w:val="000000" w:themeColor="text1"/>
          <w:sz w:val="32"/>
          <w:szCs w:val="32"/>
        </w:rPr>
        <w:t>年末结转结余</w:t>
      </w:r>
      <w:bookmarkEnd w:id="51"/>
      <w:bookmarkEnd w:id="52"/>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w:t>
      </w:r>
      <w:r>
        <w:rPr>
          <w:rFonts w:hint="eastAsia" w:ascii="仿宋_GB2312" w:eastAsia="仿宋_GB2312"/>
          <w:color w:val="000000"/>
          <w:sz w:val="32"/>
          <w:szCs w:val="32"/>
        </w:rPr>
        <w:t>增加0万元，增长0%。</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jc w:val="both"/>
        <w:textAlignment w:val="auto"/>
        <w:outlineLvl w:val="9"/>
        <w:rPr>
          <w:rFonts w:ascii="仿宋_GB2312" w:eastAsia="仿宋_GB2312"/>
          <w:sz w:val="32"/>
          <w:szCs w:val="32"/>
        </w:rPr>
      </w:pPr>
      <w:r>
        <w:rPr>
          <w:rFonts w:hint="eastAsia" w:ascii="仿宋_GB2312" w:eastAsia="仿宋_GB2312"/>
          <w:color w:val="000000" w:themeColor="text1"/>
          <w:sz w:val="32"/>
          <w:szCs w:val="32"/>
          <w:lang w:val="en-US" w:eastAsia="zh-CN"/>
        </w:rPr>
        <w:t xml:space="preserve">    </w:t>
      </w:r>
      <w:r>
        <w:rPr>
          <w:rFonts w:hint="eastAsia" w:ascii="仿宋_GB2312" w:eastAsia="仿宋_GB2312"/>
          <w:color w:val="000000" w:themeColor="text1"/>
          <w:sz w:val="32"/>
          <w:szCs w:val="32"/>
        </w:rPr>
        <w:t>其中</w:t>
      </w:r>
      <w:bookmarkStart w:id="53" w:name="OLE_LINK28"/>
      <w:bookmarkStart w:id="54" w:name="OLE_LINK27"/>
      <w:r>
        <w:rPr>
          <w:rFonts w:hint="eastAsia" w:ascii="仿宋_GB2312" w:eastAsia="仿宋_GB2312"/>
          <w:color w:val="000000" w:themeColor="text1"/>
          <w:sz w:val="32"/>
          <w:szCs w:val="32"/>
        </w:rPr>
        <w:t>财政拨款结转结余</w:t>
      </w:r>
      <w:bookmarkEnd w:id="53"/>
      <w:bookmarkEnd w:id="54"/>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w:t>
      </w:r>
      <w:r>
        <w:rPr>
          <w:rFonts w:hint="eastAsia" w:ascii="仿宋_GB2312" w:eastAsia="仿宋_GB2312"/>
          <w:color w:val="000000"/>
          <w:sz w:val="32"/>
          <w:szCs w:val="32"/>
        </w:rPr>
        <w:t>增加0万元，增长0%。</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0" w:firstLineChars="200"/>
        <w:jc w:val="both"/>
        <w:textAlignment w:val="auto"/>
        <w:outlineLvl w:val="9"/>
        <w:rPr>
          <w:rFonts w:ascii="黑体" w:hAnsi="黑体" w:eastAsia="黑体"/>
          <w:sz w:val="32"/>
          <w:szCs w:val="32"/>
        </w:rPr>
      </w:pPr>
      <w:r>
        <w:rPr>
          <w:rFonts w:hint="eastAsia" w:ascii="黑体" w:hAnsi="黑体" w:eastAsia="黑体"/>
          <w:sz w:val="32"/>
          <w:szCs w:val="32"/>
        </w:rPr>
        <w:t>四、一般公共预算“三公”经费支出情况</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0" w:firstLineChars="200"/>
        <w:jc w:val="both"/>
        <w:textAlignment w:val="auto"/>
        <w:outlineLvl w:val="9"/>
        <w:rPr>
          <w:rFonts w:ascii="仿宋_GB2312" w:eastAsia="仿宋_GB2312"/>
          <w:color w:val="000000" w:themeColor="text1"/>
          <w:sz w:val="32"/>
          <w:szCs w:val="32"/>
        </w:rPr>
      </w:pPr>
      <w:bookmarkStart w:id="55" w:name="OLE_LINK74"/>
      <w:r>
        <w:rPr>
          <w:rFonts w:hint="eastAsia" w:ascii="仿宋_GB2312" w:eastAsia="仿宋_GB2312"/>
          <w:color w:val="000000" w:themeColor="text1"/>
          <w:sz w:val="32"/>
          <w:szCs w:val="32"/>
        </w:rPr>
        <w:t>2018年度</w:t>
      </w:r>
      <w:bookmarkStart w:id="56" w:name="OLE_LINK29"/>
      <w:r>
        <w:rPr>
          <w:rFonts w:hint="eastAsia" w:ascii="仿宋_GB2312" w:eastAsia="仿宋_GB2312"/>
          <w:color w:val="000000" w:themeColor="text1"/>
          <w:sz w:val="32"/>
          <w:szCs w:val="32"/>
        </w:rPr>
        <w:t>一般公共预算“三公”经费支出决算</w:t>
      </w:r>
      <w:bookmarkEnd w:id="56"/>
      <w:r>
        <w:rPr>
          <w:rFonts w:hint="eastAsia" w:ascii="仿宋_GB2312" w:eastAsia="仿宋_GB2312"/>
          <w:sz w:val="32"/>
          <w:szCs w:val="32"/>
        </w:rPr>
        <w:t>1.83</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，与上年相比，增加0.83万元，增长83%，增加的主要原因是：增加公务用车运行维护费。</w:t>
      </w:r>
      <w:bookmarkEnd w:id="55"/>
      <w:bookmarkStart w:id="57" w:name="OLE_LINK75"/>
      <w:r>
        <w:rPr>
          <w:rFonts w:hint="eastAsia" w:ascii="仿宋_GB2312" w:eastAsia="仿宋_GB2312"/>
          <w:color w:val="000000" w:themeColor="text1"/>
          <w:sz w:val="32"/>
          <w:szCs w:val="32"/>
        </w:rPr>
        <w:t>其中，</w:t>
      </w:r>
      <w:bookmarkStart w:id="58" w:name="OLE_LINK30"/>
      <w:r>
        <w:rPr>
          <w:rFonts w:hint="eastAsia" w:ascii="仿宋_GB2312" w:eastAsia="仿宋_GB2312"/>
          <w:color w:val="000000" w:themeColor="text1"/>
          <w:sz w:val="32"/>
          <w:szCs w:val="32"/>
        </w:rPr>
        <w:t>因公出国（境）费支出</w:t>
      </w:r>
      <w:bookmarkEnd w:id="58"/>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0%，与上年相比，</w:t>
      </w:r>
      <w:r>
        <w:rPr>
          <w:rFonts w:hint="eastAsia" w:ascii="仿宋_GB2312" w:eastAsia="仿宋_GB2312"/>
          <w:sz w:val="32"/>
          <w:szCs w:val="32"/>
          <w:highlight w:val="none"/>
          <w:lang w:val="en-US" w:eastAsia="zh-CN"/>
        </w:rPr>
        <w:t>增加0万元，增长0%，增加</w:t>
      </w:r>
      <w:r>
        <w:rPr>
          <w:rFonts w:hint="eastAsia" w:ascii="仿宋_GB2312" w:eastAsia="仿宋_GB2312"/>
          <w:sz w:val="32"/>
          <w:szCs w:val="32"/>
        </w:rPr>
        <w:t>的主要原因是：</w:t>
      </w:r>
      <w:r>
        <w:rPr>
          <w:rFonts w:ascii="仿宋_GB2312" w:eastAsia="仿宋_GB2312"/>
          <w:color w:val="000000"/>
          <w:sz w:val="32"/>
          <w:szCs w:val="32"/>
        </w:rPr>
        <w:t>本单位无因公出国（境）费支出</w:t>
      </w:r>
      <w:r>
        <w:rPr>
          <w:rFonts w:hint="eastAsia" w:ascii="仿宋_GB2312" w:eastAsia="仿宋_GB2312"/>
          <w:sz w:val="32"/>
          <w:szCs w:val="32"/>
        </w:rPr>
        <w:t>；</w:t>
      </w:r>
      <w:bookmarkEnd w:id="57"/>
      <w:bookmarkStart w:id="59" w:name="OLE_LINK31"/>
      <w:bookmarkStart w:id="60" w:name="OLE_LINK76"/>
      <w:r>
        <w:rPr>
          <w:rFonts w:hint="eastAsia" w:ascii="仿宋_GB2312" w:eastAsia="仿宋_GB2312"/>
          <w:color w:val="000000" w:themeColor="text1"/>
          <w:sz w:val="32"/>
          <w:szCs w:val="32"/>
        </w:rPr>
        <w:t>公务用车购置及运行维护费支出</w:t>
      </w:r>
      <w:bookmarkEnd w:id="59"/>
      <w:r>
        <w:rPr>
          <w:rFonts w:hint="eastAsia" w:ascii="仿宋_GB2312" w:eastAsia="仿宋_GB2312"/>
          <w:sz w:val="32"/>
          <w:szCs w:val="32"/>
        </w:rPr>
        <w:t>1.83</w:t>
      </w:r>
      <w:r>
        <w:rPr>
          <w:rFonts w:hint="eastAsia" w:ascii="仿宋_GB2312" w:eastAsia="仿宋_GB2312"/>
          <w:color w:val="000000" w:themeColor="text1"/>
          <w:sz w:val="32"/>
          <w:szCs w:val="32"/>
        </w:rPr>
        <w:t>万元，占</w:t>
      </w:r>
      <w:r>
        <w:rPr>
          <w:rFonts w:hint="eastAsia" w:ascii="仿宋_GB2312" w:eastAsia="仿宋_GB2312"/>
          <w:sz w:val="32"/>
          <w:szCs w:val="32"/>
        </w:rPr>
        <w:t>100%，与上年相比，增加0.83万元，增长83%，增加的主要原因是：公务用车修理费和燃油费增加；</w:t>
      </w:r>
      <w:bookmarkEnd w:id="60"/>
      <w:bookmarkStart w:id="61" w:name="OLE_LINK32"/>
      <w:bookmarkStart w:id="62" w:name="OLE_LINK77"/>
      <w:bookmarkStart w:id="63" w:name="OLE_LINK78"/>
      <w:r>
        <w:rPr>
          <w:rFonts w:hint="eastAsia" w:ascii="仿宋_GB2312" w:eastAsia="仿宋_GB2312"/>
          <w:color w:val="000000" w:themeColor="text1"/>
          <w:sz w:val="32"/>
          <w:szCs w:val="32"/>
        </w:rPr>
        <w:t>公务接待费支出</w:t>
      </w:r>
      <w:bookmarkEnd w:id="61"/>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0%，与上年相比，</w:t>
      </w:r>
      <w:r>
        <w:rPr>
          <w:rFonts w:hint="eastAsia" w:ascii="仿宋_GB2312" w:eastAsia="仿宋_GB2312"/>
          <w:sz w:val="32"/>
          <w:szCs w:val="32"/>
          <w:highlight w:val="none"/>
          <w:lang w:val="en-US" w:eastAsia="zh-CN"/>
        </w:rPr>
        <w:t>增加0万元，增长0%，增加</w:t>
      </w:r>
      <w:r>
        <w:rPr>
          <w:rFonts w:hint="eastAsia" w:ascii="仿宋_GB2312" w:eastAsia="仿宋_GB2312"/>
          <w:sz w:val="32"/>
          <w:szCs w:val="32"/>
        </w:rPr>
        <w:t>的主要原因是：本单位无公务接待费支出。</w:t>
      </w:r>
      <w:bookmarkEnd w:id="62"/>
      <w:bookmarkEnd w:id="63"/>
      <w:r>
        <w:rPr>
          <w:rFonts w:hint="eastAsia" w:ascii="仿宋_GB2312" w:eastAsia="仿宋_GB2312"/>
          <w:color w:val="000000" w:themeColor="text1"/>
          <w:sz w:val="32"/>
          <w:szCs w:val="32"/>
        </w:rPr>
        <w:t>具体情况如下：</w:t>
      </w:r>
    </w:p>
    <w:p>
      <w:pPr>
        <w:spacing w:line="540" w:lineRule="exact"/>
        <w:ind w:firstLine="640" w:firstLineChars="200"/>
        <w:rPr>
          <w:rFonts w:ascii="仿宋_GB2312" w:eastAsia="仿宋_GB2312"/>
          <w:color w:val="000000" w:themeColor="text1"/>
          <w:sz w:val="32"/>
          <w:szCs w:val="32"/>
        </w:rPr>
      </w:pPr>
      <w:bookmarkStart w:id="64" w:name="OLE_LINK79"/>
      <w:bookmarkStart w:id="65" w:name="OLE_LINK80"/>
      <w:r>
        <w:rPr>
          <w:rFonts w:hint="eastAsia" w:ascii="仿宋_GB2312" w:eastAsia="仿宋_GB2312"/>
          <w:color w:val="000000" w:themeColor="text1"/>
          <w:sz w:val="32"/>
          <w:szCs w:val="32"/>
        </w:rPr>
        <w:t>因公出国（境）费支出</w:t>
      </w:r>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新疆喀什地区塔什库尔干县安全生产监督管理局</w:t>
      </w:r>
      <w:r>
        <w:rPr>
          <w:rFonts w:hint="eastAsia" w:ascii="仿宋_GB2312" w:eastAsia="仿宋_GB2312"/>
          <w:color w:val="000000" w:themeColor="text1"/>
          <w:sz w:val="32"/>
          <w:szCs w:val="32"/>
        </w:rPr>
        <w:t>单位</w:t>
      </w:r>
      <w:bookmarkStart w:id="66" w:name="OLE_LINK33"/>
      <w:r>
        <w:rPr>
          <w:rFonts w:hint="eastAsia" w:ascii="仿宋_GB2312" w:eastAsia="仿宋_GB2312"/>
          <w:color w:val="000000" w:themeColor="text1"/>
          <w:sz w:val="32"/>
          <w:szCs w:val="32"/>
        </w:rPr>
        <w:t>全年</w:t>
      </w:r>
      <w:bookmarkStart w:id="67" w:name="OLE_LINK35"/>
      <w:bookmarkStart w:id="68" w:name="OLE_LINK34"/>
      <w:bookmarkStart w:id="69" w:name="OLE_LINK36"/>
      <w:r>
        <w:rPr>
          <w:rFonts w:hint="eastAsia" w:ascii="仿宋_GB2312" w:eastAsia="仿宋_GB2312"/>
          <w:color w:val="000000" w:themeColor="text1"/>
          <w:sz w:val="32"/>
          <w:szCs w:val="32"/>
        </w:rPr>
        <w:t>使用一般公共预算财政拨款安排的出国（境）团组</w:t>
      </w:r>
      <w:bookmarkEnd w:id="66"/>
      <w:bookmarkEnd w:id="67"/>
      <w:bookmarkEnd w:id="68"/>
      <w:r>
        <w:rPr>
          <w:rFonts w:hint="eastAsia" w:ascii="仿宋_GB2312" w:eastAsia="仿宋_GB2312"/>
          <w:sz w:val="32"/>
          <w:szCs w:val="32"/>
        </w:rPr>
        <w:t>0</w:t>
      </w:r>
      <w:r>
        <w:rPr>
          <w:rFonts w:hint="eastAsia" w:ascii="仿宋_GB2312" w:eastAsia="仿宋_GB2312"/>
          <w:color w:val="000000" w:themeColor="text1"/>
          <w:sz w:val="32"/>
          <w:szCs w:val="32"/>
        </w:rPr>
        <w:t>个</w:t>
      </w:r>
      <w:bookmarkEnd w:id="69"/>
      <w:r>
        <w:rPr>
          <w:rFonts w:hint="eastAsia" w:ascii="仿宋_GB2312" w:eastAsia="仿宋_GB2312"/>
          <w:color w:val="000000" w:themeColor="text1"/>
          <w:sz w:val="32"/>
          <w:szCs w:val="32"/>
        </w:rPr>
        <w:t>，</w:t>
      </w:r>
      <w:bookmarkStart w:id="70" w:name="OLE_LINK37"/>
      <w:r>
        <w:rPr>
          <w:rFonts w:hint="eastAsia" w:ascii="仿宋_GB2312" w:eastAsia="仿宋_GB2312"/>
          <w:color w:val="000000" w:themeColor="text1"/>
          <w:sz w:val="32"/>
          <w:szCs w:val="32"/>
        </w:rPr>
        <w:t>累计</w:t>
      </w:r>
      <w:r>
        <w:rPr>
          <w:rFonts w:hint="eastAsia" w:ascii="仿宋_GB2312" w:eastAsia="仿宋_GB2312"/>
          <w:sz w:val="32"/>
          <w:szCs w:val="32"/>
        </w:rPr>
        <w:t>0</w:t>
      </w:r>
      <w:r>
        <w:rPr>
          <w:rFonts w:hint="eastAsia" w:ascii="仿宋_GB2312" w:eastAsia="仿宋_GB2312"/>
          <w:color w:val="000000" w:themeColor="text1"/>
          <w:sz w:val="32"/>
          <w:szCs w:val="32"/>
        </w:rPr>
        <w:t>人次</w:t>
      </w:r>
      <w:bookmarkEnd w:id="70"/>
      <w:r>
        <w:rPr>
          <w:rFonts w:hint="eastAsia" w:ascii="仿宋_GB2312" w:eastAsia="仿宋_GB2312"/>
          <w:color w:val="000000" w:themeColor="text1"/>
          <w:sz w:val="32"/>
          <w:szCs w:val="32"/>
        </w:rPr>
        <w:t>。</w:t>
      </w:r>
      <w:bookmarkStart w:id="71" w:name="OLE_LINK38"/>
      <w:r>
        <w:rPr>
          <w:rFonts w:hint="eastAsia" w:ascii="仿宋_GB2312" w:eastAsia="仿宋_GB2312"/>
          <w:color w:val="000000" w:themeColor="text1"/>
          <w:sz w:val="32"/>
          <w:szCs w:val="32"/>
        </w:rPr>
        <w:t>开支内容包括：</w:t>
      </w:r>
      <w:r>
        <w:rPr>
          <w:rFonts w:ascii="仿宋_GB2312" w:eastAsia="仿宋_GB2312"/>
          <w:color w:val="000000"/>
          <w:sz w:val="32"/>
          <w:szCs w:val="32"/>
        </w:rPr>
        <w:t>本单位无因公出国（境）费支出</w:t>
      </w:r>
      <w:r>
        <w:rPr>
          <w:rFonts w:ascii="仿宋_GB2312" w:eastAsia="仿宋_GB2312"/>
          <w:color w:val="000000" w:themeColor="text1"/>
          <w:sz w:val="32"/>
          <w:szCs w:val="32"/>
        </w:rPr>
        <w:t>。</w:t>
      </w:r>
      <w:bookmarkEnd w:id="64"/>
      <w:bookmarkEnd w:id="65"/>
      <w:bookmarkEnd w:id="71"/>
    </w:p>
    <w:p>
      <w:pPr>
        <w:spacing w:line="540" w:lineRule="exact"/>
        <w:ind w:firstLine="640" w:firstLineChars="200"/>
        <w:rPr>
          <w:rFonts w:ascii="仿宋_GB2312" w:eastAsia="仿宋_GB2312"/>
          <w:color w:val="000000" w:themeColor="text1"/>
          <w:sz w:val="32"/>
          <w:szCs w:val="32"/>
        </w:rPr>
      </w:pPr>
      <w:bookmarkStart w:id="72" w:name="OLE_LINK81"/>
      <w:r>
        <w:rPr>
          <w:rFonts w:hint="eastAsia" w:ascii="仿宋_GB2312" w:eastAsia="仿宋_GB2312"/>
          <w:color w:val="000000" w:themeColor="text1"/>
          <w:sz w:val="32"/>
          <w:szCs w:val="32"/>
        </w:rPr>
        <w:t>公务用车购置及运行维护费</w:t>
      </w:r>
      <w:r>
        <w:rPr>
          <w:rFonts w:hint="eastAsia" w:ascii="仿宋_GB2312" w:eastAsia="仿宋_GB2312"/>
          <w:sz w:val="32"/>
          <w:szCs w:val="32"/>
        </w:rPr>
        <w:t>1.83</w:t>
      </w:r>
      <w:r>
        <w:rPr>
          <w:rFonts w:hint="eastAsia" w:ascii="仿宋_GB2312" w:eastAsia="仿宋_GB2312"/>
          <w:color w:val="000000" w:themeColor="text1"/>
          <w:sz w:val="32"/>
          <w:szCs w:val="32"/>
        </w:rPr>
        <w:t>万元,其中，</w:t>
      </w:r>
      <w:bookmarkStart w:id="73" w:name="OLE_LINK39"/>
      <w:r>
        <w:rPr>
          <w:rFonts w:hint="eastAsia" w:ascii="仿宋_GB2312" w:eastAsia="仿宋_GB2312"/>
          <w:color w:val="000000" w:themeColor="text1"/>
          <w:sz w:val="32"/>
          <w:szCs w:val="32"/>
        </w:rPr>
        <w:t>公务用车购置</w:t>
      </w:r>
      <w:r>
        <w:rPr>
          <w:rFonts w:hint="eastAsia" w:ascii="仿宋_GB2312" w:eastAsia="仿宋_GB2312"/>
          <w:sz w:val="32"/>
          <w:szCs w:val="32"/>
        </w:rPr>
        <w:t>0</w:t>
      </w:r>
      <w:r>
        <w:rPr>
          <w:rFonts w:hint="eastAsia" w:ascii="仿宋_GB2312" w:eastAsia="仿宋_GB2312"/>
          <w:color w:val="000000" w:themeColor="text1"/>
          <w:sz w:val="32"/>
          <w:szCs w:val="32"/>
        </w:rPr>
        <w:t>万元</w:t>
      </w:r>
      <w:bookmarkEnd w:id="73"/>
      <w:r>
        <w:rPr>
          <w:rFonts w:hint="eastAsia" w:ascii="仿宋_GB2312" w:eastAsia="仿宋_GB2312"/>
          <w:color w:val="000000" w:themeColor="text1"/>
          <w:sz w:val="32"/>
          <w:szCs w:val="32"/>
        </w:rPr>
        <w:t>，</w:t>
      </w:r>
      <w:bookmarkStart w:id="74" w:name="OLE_LINK40"/>
      <w:bookmarkStart w:id="75" w:name="OLE_LINK41"/>
      <w:r>
        <w:rPr>
          <w:rFonts w:hint="eastAsia" w:ascii="仿宋_GB2312" w:eastAsia="仿宋_GB2312"/>
          <w:color w:val="000000" w:themeColor="text1"/>
          <w:sz w:val="32"/>
          <w:szCs w:val="32"/>
        </w:rPr>
        <w:t>公务用车运行维护费</w:t>
      </w:r>
      <w:r>
        <w:rPr>
          <w:rFonts w:hint="eastAsia" w:ascii="仿宋_GB2312" w:eastAsia="仿宋_GB2312"/>
          <w:sz w:val="32"/>
          <w:szCs w:val="32"/>
        </w:rPr>
        <w:t>1.83</w:t>
      </w:r>
      <w:r>
        <w:rPr>
          <w:rFonts w:hint="eastAsia" w:ascii="仿宋_GB2312" w:eastAsia="仿宋_GB2312"/>
          <w:color w:val="000000" w:themeColor="text1"/>
          <w:sz w:val="32"/>
          <w:szCs w:val="32"/>
        </w:rPr>
        <w:t>万元</w:t>
      </w:r>
      <w:bookmarkEnd w:id="74"/>
      <w:bookmarkEnd w:id="75"/>
      <w:r>
        <w:rPr>
          <w:rFonts w:hint="eastAsia" w:ascii="仿宋_GB2312" w:eastAsia="仿宋_GB2312"/>
          <w:color w:val="000000" w:themeColor="text1"/>
          <w:sz w:val="32"/>
          <w:szCs w:val="32"/>
        </w:rPr>
        <w:t>。主要用于</w:t>
      </w:r>
      <w:r>
        <w:rPr>
          <w:rFonts w:hint="eastAsia" w:ascii="仿宋_GB2312" w:eastAsia="仿宋_GB2312"/>
          <w:sz w:val="32"/>
          <w:szCs w:val="32"/>
        </w:rPr>
        <w:t>公务用车燃油费、保险费、维修费支出</w:t>
      </w:r>
      <w:r>
        <w:rPr>
          <w:rFonts w:hint="eastAsia" w:ascii="仿宋_GB2312" w:eastAsia="仿宋_GB2312"/>
          <w:color w:val="000000" w:themeColor="text1"/>
          <w:sz w:val="32"/>
          <w:szCs w:val="32"/>
        </w:rPr>
        <w:t>等。</w:t>
      </w:r>
      <w:bookmarkEnd w:id="72"/>
      <w:bookmarkStart w:id="76" w:name="OLE_LINK82"/>
      <w:r>
        <w:rPr>
          <w:rFonts w:hint="eastAsia" w:ascii="仿宋_GB2312" w:eastAsia="仿宋_GB2312"/>
          <w:color w:val="000000" w:themeColor="text1"/>
          <w:sz w:val="32"/>
          <w:szCs w:val="32"/>
        </w:rPr>
        <w:t>单位一般公共财政拨款安排的公务用车购置量</w:t>
      </w:r>
      <w:r>
        <w:rPr>
          <w:rFonts w:hint="eastAsia" w:ascii="仿宋_GB2312" w:eastAsia="仿宋_GB2312"/>
          <w:sz w:val="32"/>
          <w:szCs w:val="32"/>
        </w:rPr>
        <w:t>0</w:t>
      </w:r>
      <w:r>
        <w:rPr>
          <w:rFonts w:hint="eastAsia" w:ascii="仿宋_GB2312" w:eastAsia="仿宋_GB2312"/>
          <w:color w:val="000000" w:themeColor="text1"/>
          <w:sz w:val="32"/>
          <w:szCs w:val="32"/>
        </w:rPr>
        <w:t>辆，保有量为</w:t>
      </w:r>
      <w:r>
        <w:rPr>
          <w:rFonts w:hint="eastAsia" w:ascii="仿宋_GB2312" w:eastAsia="仿宋_GB2312"/>
          <w:sz w:val="32"/>
          <w:szCs w:val="32"/>
        </w:rPr>
        <w:t>1</w:t>
      </w:r>
      <w:r>
        <w:rPr>
          <w:rFonts w:hint="eastAsia" w:ascii="仿宋_GB2312" w:eastAsia="仿宋_GB2312"/>
          <w:color w:val="000000" w:themeColor="text1"/>
          <w:sz w:val="32"/>
          <w:szCs w:val="32"/>
        </w:rPr>
        <w:t>辆。</w:t>
      </w:r>
      <w:bookmarkEnd w:id="76"/>
    </w:p>
    <w:p>
      <w:pPr>
        <w:spacing w:line="540" w:lineRule="exact"/>
        <w:ind w:firstLine="640" w:firstLineChars="200"/>
        <w:rPr>
          <w:rFonts w:ascii="仿宋_GB2312" w:eastAsia="仿宋_GB2312"/>
          <w:color w:val="000000" w:themeColor="text1"/>
          <w:sz w:val="32"/>
          <w:szCs w:val="32"/>
        </w:rPr>
      </w:pPr>
      <w:bookmarkStart w:id="77" w:name="OLE_LINK83"/>
      <w:r>
        <w:rPr>
          <w:rFonts w:hint="eastAsia" w:ascii="仿宋_GB2312" w:eastAsia="仿宋_GB2312"/>
          <w:color w:val="000000" w:themeColor="text1"/>
          <w:sz w:val="32"/>
          <w:szCs w:val="32"/>
        </w:rPr>
        <w:t>公务接待费</w:t>
      </w:r>
      <w:r>
        <w:rPr>
          <w:rFonts w:hint="eastAsia" w:ascii="仿宋_GB2312" w:eastAsia="仿宋_GB2312"/>
          <w:sz w:val="32"/>
          <w:szCs w:val="32"/>
        </w:rPr>
        <w:t>0</w:t>
      </w:r>
      <w:r>
        <w:rPr>
          <w:rFonts w:hint="eastAsia" w:ascii="仿宋_GB2312" w:eastAsia="仿宋_GB2312"/>
          <w:color w:val="000000" w:themeColor="text1"/>
          <w:sz w:val="32"/>
          <w:szCs w:val="32"/>
        </w:rPr>
        <w:t>万元。具体是：国内公务接待支出</w:t>
      </w:r>
      <w:r>
        <w:rPr>
          <w:rFonts w:hint="eastAsia" w:ascii="仿宋_GB2312" w:eastAsia="仿宋_GB2312"/>
          <w:sz w:val="32"/>
          <w:szCs w:val="32"/>
        </w:rPr>
        <w:t>0</w:t>
      </w:r>
      <w:r>
        <w:rPr>
          <w:rFonts w:hint="eastAsia" w:ascii="仿宋_GB2312" w:eastAsia="仿宋_GB2312"/>
          <w:color w:val="000000" w:themeColor="text1"/>
          <w:sz w:val="32"/>
          <w:szCs w:val="32"/>
        </w:rPr>
        <w:t>万元，主要是</w:t>
      </w:r>
      <w:r>
        <w:rPr>
          <w:rFonts w:hint="eastAsia" w:ascii="仿宋_GB2312" w:eastAsia="仿宋_GB2312"/>
          <w:sz w:val="32"/>
          <w:szCs w:val="32"/>
        </w:rPr>
        <w:t>本单位无公务接待费支出</w:t>
      </w:r>
      <w:r>
        <w:rPr>
          <w:rFonts w:hint="eastAsia" w:ascii="仿宋_GB2312" w:eastAsia="仿宋_GB2312"/>
          <w:color w:val="000000" w:themeColor="text1"/>
          <w:sz w:val="32"/>
          <w:szCs w:val="32"/>
        </w:rPr>
        <w:t>等。</w:t>
      </w:r>
      <w:bookmarkEnd w:id="77"/>
      <w:bookmarkStart w:id="78" w:name="OLE_LINK84"/>
      <w:r>
        <w:rPr>
          <w:rFonts w:hint="eastAsia" w:ascii="仿宋_GB2312" w:eastAsia="仿宋_GB2312"/>
          <w:sz w:val="32"/>
          <w:szCs w:val="32"/>
        </w:rPr>
        <w:t>新疆喀什地区塔什库尔干县安全生产监督管理局</w:t>
      </w:r>
      <w:r>
        <w:rPr>
          <w:rFonts w:hint="eastAsia" w:ascii="仿宋_GB2312" w:eastAsia="仿宋_GB2312"/>
          <w:color w:val="000000" w:themeColor="text1"/>
          <w:sz w:val="32"/>
          <w:szCs w:val="32"/>
        </w:rPr>
        <w:t>单位国内公务接待</w:t>
      </w:r>
      <w:r>
        <w:rPr>
          <w:rFonts w:hint="eastAsia" w:ascii="仿宋_GB2312" w:eastAsia="仿宋_GB2312"/>
          <w:sz w:val="32"/>
          <w:szCs w:val="32"/>
        </w:rPr>
        <w:t>0</w:t>
      </w:r>
      <w:r>
        <w:rPr>
          <w:rFonts w:hint="eastAsia" w:ascii="仿宋_GB2312" w:eastAsia="仿宋_GB2312"/>
          <w:color w:val="000000" w:themeColor="text1"/>
          <w:sz w:val="32"/>
          <w:szCs w:val="32"/>
        </w:rPr>
        <w:t>批次，</w:t>
      </w:r>
      <w:r>
        <w:rPr>
          <w:rFonts w:hint="eastAsia" w:ascii="仿宋_GB2312" w:eastAsia="仿宋_GB2312"/>
          <w:sz w:val="32"/>
          <w:szCs w:val="32"/>
        </w:rPr>
        <w:t>0</w:t>
      </w:r>
      <w:r>
        <w:rPr>
          <w:rFonts w:hint="eastAsia" w:ascii="仿宋_GB2312" w:eastAsia="仿宋_GB2312"/>
          <w:color w:val="000000" w:themeColor="text1"/>
          <w:sz w:val="32"/>
          <w:szCs w:val="32"/>
        </w:rPr>
        <w:t>人次。</w:t>
      </w:r>
      <w:bookmarkEnd w:id="78"/>
    </w:p>
    <w:p>
      <w:pPr>
        <w:spacing w:line="540" w:lineRule="exact"/>
        <w:ind w:firstLine="640" w:firstLineChars="200"/>
        <w:rPr>
          <w:rFonts w:ascii="仿宋_GB2312" w:hAnsi="宋体" w:eastAsia="仿宋_GB2312" w:cs="宋体"/>
          <w:color w:val="000000" w:themeColor="text1"/>
          <w:kern w:val="0"/>
          <w:sz w:val="32"/>
          <w:szCs w:val="32"/>
        </w:rPr>
      </w:pPr>
      <w:bookmarkStart w:id="79" w:name="OLE_LINK85"/>
      <w:r>
        <w:rPr>
          <w:rFonts w:hint="eastAsia" w:ascii="仿宋_GB2312" w:eastAsia="仿宋_GB2312"/>
          <w:color w:val="000000" w:themeColor="text1"/>
          <w:sz w:val="32"/>
          <w:szCs w:val="32"/>
        </w:rPr>
        <w:t>与年初预算数相比情况：一般公共预算“三公”经费支出年初预算数</w:t>
      </w:r>
      <w:r>
        <w:rPr>
          <w:rFonts w:ascii="仿宋_GB2312" w:eastAsia="仿宋_GB2312"/>
          <w:color w:val="000000" w:themeColor="text1"/>
          <w:sz w:val="32"/>
          <w:szCs w:val="32"/>
        </w:rPr>
        <w:t>2</w:t>
      </w:r>
      <w:r>
        <w:rPr>
          <w:rFonts w:hint="eastAsia" w:ascii="仿宋_GB2312" w:eastAsia="仿宋_GB2312"/>
          <w:color w:val="000000" w:themeColor="text1"/>
          <w:sz w:val="32"/>
          <w:szCs w:val="32"/>
        </w:rPr>
        <w:t>万元，决算数1.83万元</w:t>
      </w:r>
      <w:r>
        <w:rPr>
          <w:rFonts w:ascii="仿宋_GB2312" w:eastAsia="仿宋_GB2312"/>
          <w:color w:val="000000" w:themeColor="text1"/>
          <w:sz w:val="32"/>
          <w:szCs w:val="32"/>
        </w:rPr>
        <w:t>，预决算差异率-8.5%，差异主要原因是减少公务用车运行维护费</w:t>
      </w:r>
      <w:r>
        <w:rPr>
          <w:rFonts w:hint="eastAsia" w:ascii="仿宋_GB2312" w:eastAsia="仿宋_GB2312"/>
          <w:color w:val="000000" w:themeColor="text1"/>
          <w:sz w:val="32"/>
          <w:szCs w:val="32"/>
          <w:lang w:eastAsia="zh-CN"/>
        </w:rPr>
        <w:t>支出</w:t>
      </w:r>
      <w:r>
        <w:rPr>
          <w:rFonts w:ascii="仿宋_GB2312" w:eastAsia="仿宋_GB2312"/>
          <w:color w:val="000000" w:themeColor="text1"/>
          <w:sz w:val="32"/>
          <w:szCs w:val="32"/>
        </w:rPr>
        <w:t>。</w:t>
      </w:r>
      <w:bookmarkEnd w:id="79"/>
      <w:bookmarkStart w:id="80" w:name="OLE_LINK86"/>
      <w:bookmarkStart w:id="81" w:name="OLE_LINK87"/>
      <w:r>
        <w:rPr>
          <w:rFonts w:hint="eastAsia" w:ascii="仿宋_GB2312" w:hAnsi="宋体" w:eastAsia="仿宋_GB2312" w:cs="宋体"/>
          <w:color w:val="000000" w:themeColor="text1"/>
          <w:kern w:val="0"/>
          <w:sz w:val="32"/>
          <w:szCs w:val="32"/>
        </w:rPr>
        <w:t>其中：因公出国（境）费</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万元，决算数0万元</w:t>
      </w:r>
      <w:r>
        <w:rPr>
          <w:rFonts w:ascii="仿宋_GB2312" w:eastAsia="仿宋_GB2312"/>
          <w:color w:val="000000" w:themeColor="text1"/>
          <w:sz w:val="32"/>
          <w:szCs w:val="32"/>
        </w:rPr>
        <w:t>，预决算差异率0%，差异主要原因是</w:t>
      </w:r>
      <w:r>
        <w:rPr>
          <w:rFonts w:ascii="仿宋_GB2312" w:eastAsia="仿宋_GB2312"/>
          <w:color w:val="000000"/>
          <w:sz w:val="32"/>
          <w:szCs w:val="32"/>
        </w:rPr>
        <w:t>本单位无因公出国（境）费支出</w:t>
      </w:r>
      <w:r>
        <w:rPr>
          <w:rFonts w:ascii="仿宋_GB2312" w:eastAsia="仿宋_GB2312"/>
          <w:color w:val="000000" w:themeColor="text1"/>
          <w:sz w:val="32"/>
          <w:szCs w:val="32"/>
        </w:rPr>
        <w:t>；</w:t>
      </w:r>
      <w:bookmarkEnd w:id="80"/>
      <w:bookmarkEnd w:id="81"/>
      <w:bookmarkStart w:id="82" w:name="OLE_LINK88"/>
      <w:bookmarkStart w:id="83" w:name="OLE_LINK89"/>
      <w:r>
        <w:rPr>
          <w:rFonts w:hint="eastAsia" w:ascii="仿宋_GB2312" w:hAnsi="宋体" w:eastAsia="仿宋_GB2312" w:cs="宋体"/>
          <w:color w:val="000000" w:themeColor="text1"/>
          <w:kern w:val="0"/>
          <w:sz w:val="32"/>
          <w:szCs w:val="32"/>
        </w:rPr>
        <w:t>公务用车购置</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，预决算差异率0%，差异主要原因是无</w:t>
      </w:r>
      <w:r>
        <w:rPr>
          <w:rFonts w:hint="eastAsia" w:ascii="仿宋_GB2312" w:hAnsi="宋体" w:eastAsia="仿宋_GB2312" w:cs="宋体"/>
          <w:color w:val="000000" w:themeColor="text1"/>
          <w:kern w:val="0"/>
          <w:sz w:val="32"/>
          <w:szCs w:val="32"/>
        </w:rPr>
        <w:t>公务用车购置</w:t>
      </w:r>
      <w:r>
        <w:rPr>
          <w:rFonts w:hint="eastAsia" w:ascii="仿宋_GB2312" w:hAnsi="宋体" w:eastAsia="仿宋_GB2312" w:cs="宋体"/>
          <w:color w:val="000000" w:themeColor="text1"/>
          <w:kern w:val="0"/>
          <w:sz w:val="32"/>
          <w:szCs w:val="32"/>
          <w:lang w:eastAsia="zh-CN"/>
        </w:rPr>
        <w:t>支出</w:t>
      </w:r>
      <w:r>
        <w:rPr>
          <w:rFonts w:ascii="仿宋_GB2312" w:eastAsia="仿宋_GB2312"/>
          <w:color w:val="000000" w:themeColor="text1"/>
          <w:sz w:val="32"/>
          <w:szCs w:val="32"/>
        </w:rPr>
        <w:t>；</w:t>
      </w:r>
      <w:bookmarkEnd w:id="82"/>
      <w:bookmarkEnd w:id="83"/>
      <w:bookmarkStart w:id="84" w:name="OLE_LINK90"/>
      <w:r>
        <w:rPr>
          <w:rFonts w:hint="eastAsia" w:ascii="仿宋_GB2312" w:hAnsi="宋体" w:eastAsia="仿宋_GB2312" w:cs="宋体"/>
          <w:color w:val="000000" w:themeColor="text1"/>
          <w:kern w:val="0"/>
          <w:sz w:val="32"/>
          <w:szCs w:val="32"/>
        </w:rPr>
        <w:t>公务用车运行费</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2</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1.83</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，预决算差异率-8.5%，差异主要原因是减少公务用车运行维护费</w:t>
      </w:r>
      <w:r>
        <w:rPr>
          <w:rFonts w:hint="eastAsia" w:ascii="仿宋_GB2312" w:eastAsia="仿宋_GB2312"/>
          <w:color w:val="000000" w:themeColor="text1"/>
          <w:sz w:val="32"/>
          <w:szCs w:val="32"/>
          <w:lang w:eastAsia="zh-CN"/>
        </w:rPr>
        <w:t>支出</w:t>
      </w:r>
      <w:r>
        <w:rPr>
          <w:rFonts w:ascii="仿宋_GB2312" w:eastAsia="仿宋_GB2312"/>
          <w:color w:val="000000" w:themeColor="text1"/>
          <w:sz w:val="32"/>
          <w:szCs w:val="32"/>
        </w:rPr>
        <w:t>；</w:t>
      </w:r>
      <w:bookmarkEnd w:id="84"/>
      <w:bookmarkStart w:id="85" w:name="OLE_LINK91"/>
      <w:r>
        <w:rPr>
          <w:rFonts w:hint="eastAsia" w:ascii="仿宋_GB2312" w:hAnsi="宋体" w:eastAsia="仿宋_GB2312" w:cs="宋体"/>
          <w:color w:val="000000" w:themeColor="text1"/>
          <w:kern w:val="0"/>
          <w:sz w:val="32"/>
          <w:szCs w:val="32"/>
        </w:rPr>
        <w:t>公务接待费</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万元，决算数0万元</w:t>
      </w:r>
      <w:r>
        <w:rPr>
          <w:rFonts w:ascii="仿宋_GB2312" w:eastAsia="仿宋_GB2312"/>
          <w:color w:val="000000" w:themeColor="text1"/>
          <w:sz w:val="32"/>
          <w:szCs w:val="32"/>
        </w:rPr>
        <w:t>，预决算差异率0%，差异主要原因是</w:t>
      </w:r>
      <w:bookmarkEnd w:id="85"/>
      <w:r>
        <w:rPr>
          <w:rFonts w:hint="eastAsia" w:ascii="仿宋_GB2312" w:eastAsia="仿宋_GB2312"/>
          <w:sz w:val="32"/>
          <w:szCs w:val="32"/>
        </w:rPr>
        <w:t>本单位无公务接待费支出</w:t>
      </w:r>
      <w:r>
        <w:rPr>
          <w:rFonts w:ascii="仿宋_GB2312" w:eastAsia="仿宋_GB2312"/>
          <w:color w:val="000000" w:themeColor="text1"/>
          <w:sz w:val="32"/>
          <w:szCs w:val="32"/>
        </w:rPr>
        <w:t>。</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五、机关运行经费支出情况</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2018年度新疆喀什地区塔什库尔干县安全生产监督管理局机关运行经费支出3.75万元，与上年相比，减少0.31万元，下降7.64%，减少的主要原因是：减少公务用车运行维护费。</w:t>
      </w:r>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六、政府采购情况</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2018年度</w:t>
      </w:r>
      <w:bookmarkStart w:id="86" w:name="OLE_LINK45"/>
      <w:r>
        <w:rPr>
          <w:rFonts w:hint="eastAsia" w:ascii="仿宋_GB2312" w:eastAsia="仿宋_GB2312"/>
          <w:color w:val="000000" w:themeColor="text1"/>
          <w:sz w:val="32"/>
          <w:szCs w:val="32"/>
        </w:rPr>
        <w:t>政府采购支出总额</w:t>
      </w:r>
      <w:bookmarkEnd w:id="86"/>
      <w:r>
        <w:rPr>
          <w:rFonts w:hint="eastAsia" w:ascii="仿宋_GB2312" w:eastAsia="仿宋_GB2312"/>
          <w:sz w:val="32"/>
          <w:szCs w:val="32"/>
        </w:rPr>
        <w:t>0.43</w:t>
      </w:r>
      <w:r>
        <w:rPr>
          <w:rFonts w:hint="eastAsia" w:ascii="仿宋_GB2312" w:eastAsia="仿宋_GB2312"/>
          <w:color w:val="000000" w:themeColor="text1"/>
          <w:sz w:val="32"/>
          <w:szCs w:val="32"/>
        </w:rPr>
        <w:t>万元，其中：</w:t>
      </w:r>
      <w:bookmarkStart w:id="87" w:name="OLE_LINK46"/>
      <w:r>
        <w:rPr>
          <w:rFonts w:hint="eastAsia" w:ascii="仿宋_GB2312" w:eastAsia="仿宋_GB2312"/>
          <w:color w:val="000000" w:themeColor="text1"/>
          <w:sz w:val="32"/>
          <w:szCs w:val="32"/>
        </w:rPr>
        <w:t>政府采购货物支出</w:t>
      </w:r>
      <w:bookmarkEnd w:id="87"/>
      <w:r>
        <w:rPr>
          <w:rFonts w:hint="eastAsia" w:ascii="仿宋_GB2312" w:eastAsia="仿宋_GB2312"/>
          <w:sz w:val="32"/>
          <w:szCs w:val="32"/>
        </w:rPr>
        <w:t>0</w:t>
      </w:r>
      <w:r>
        <w:rPr>
          <w:rFonts w:hint="eastAsia" w:ascii="仿宋_GB2312" w:eastAsia="仿宋_GB2312"/>
          <w:color w:val="000000" w:themeColor="text1"/>
          <w:sz w:val="32"/>
          <w:szCs w:val="32"/>
        </w:rPr>
        <w:t>万元、</w:t>
      </w:r>
      <w:bookmarkStart w:id="88" w:name="OLE_LINK47"/>
      <w:r>
        <w:rPr>
          <w:rFonts w:hint="eastAsia" w:ascii="仿宋_GB2312" w:eastAsia="仿宋_GB2312"/>
          <w:color w:val="000000" w:themeColor="text1"/>
          <w:sz w:val="32"/>
          <w:szCs w:val="32"/>
        </w:rPr>
        <w:t>政府采购工程支出</w:t>
      </w:r>
      <w:bookmarkEnd w:id="88"/>
      <w:r>
        <w:rPr>
          <w:rFonts w:hint="eastAsia" w:ascii="仿宋_GB2312" w:eastAsia="仿宋_GB2312"/>
          <w:sz w:val="32"/>
          <w:szCs w:val="32"/>
        </w:rPr>
        <w:t>0</w:t>
      </w:r>
      <w:r>
        <w:rPr>
          <w:rFonts w:hint="eastAsia" w:ascii="仿宋_GB2312" w:eastAsia="仿宋_GB2312"/>
          <w:color w:val="000000" w:themeColor="text1"/>
          <w:sz w:val="32"/>
          <w:szCs w:val="32"/>
        </w:rPr>
        <w:t>万元、</w:t>
      </w:r>
      <w:bookmarkStart w:id="89" w:name="OLE_LINK48"/>
      <w:r>
        <w:rPr>
          <w:rFonts w:hint="eastAsia" w:ascii="仿宋_GB2312" w:eastAsia="仿宋_GB2312"/>
          <w:color w:val="000000" w:themeColor="text1"/>
          <w:sz w:val="32"/>
          <w:szCs w:val="32"/>
        </w:rPr>
        <w:t>政府采购服务支出</w:t>
      </w:r>
      <w:bookmarkEnd w:id="89"/>
      <w:r>
        <w:rPr>
          <w:rFonts w:hint="eastAsia" w:ascii="仿宋_GB2312" w:eastAsia="仿宋_GB2312"/>
          <w:sz w:val="32"/>
          <w:szCs w:val="32"/>
        </w:rPr>
        <w:t>0.43</w:t>
      </w:r>
      <w:r>
        <w:rPr>
          <w:rFonts w:hint="eastAsia" w:ascii="仿宋_GB2312" w:eastAsia="仿宋_GB2312"/>
          <w:color w:val="000000" w:themeColor="text1"/>
          <w:sz w:val="32"/>
          <w:szCs w:val="32"/>
        </w:rPr>
        <w:t>万元。</w:t>
      </w:r>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七、其他重要事项的情况</w:t>
      </w:r>
    </w:p>
    <w:p>
      <w:pPr>
        <w:spacing w:line="540" w:lineRule="exact"/>
        <w:ind w:firstLine="643" w:firstLineChars="200"/>
        <w:rPr>
          <w:rFonts w:ascii="楷体_GB2312" w:eastAsia="楷体_GB2312"/>
          <w:b/>
          <w:bCs/>
          <w:color w:val="000000" w:themeColor="text1"/>
          <w:sz w:val="32"/>
          <w:szCs w:val="32"/>
        </w:rPr>
      </w:pPr>
      <w:r>
        <w:rPr>
          <w:rFonts w:hint="eastAsia" w:ascii="楷体_GB2312" w:eastAsia="楷体_GB2312"/>
          <w:b/>
          <w:bCs/>
          <w:color w:val="000000" w:themeColor="text1"/>
          <w:sz w:val="32"/>
          <w:szCs w:val="32"/>
        </w:rPr>
        <w:t>（一）国有资产占用情况说明</w:t>
      </w:r>
    </w:p>
    <w:p>
      <w:pPr>
        <w:spacing w:line="540" w:lineRule="exact"/>
        <w:ind w:firstLine="640" w:firstLineChars="200"/>
        <w:rPr>
          <w:rFonts w:ascii="仿宋_GB2312" w:eastAsia="仿宋_GB2312"/>
          <w:color w:val="000000" w:themeColor="text1"/>
          <w:sz w:val="32"/>
          <w:szCs w:val="32"/>
        </w:rPr>
      </w:pPr>
      <w:bookmarkStart w:id="90" w:name="OLE_LINK97"/>
      <w:r>
        <w:rPr>
          <w:rFonts w:hint="eastAsia" w:ascii="仿宋_GB2312" w:eastAsia="仿宋_GB2312"/>
          <w:color w:val="000000" w:themeColor="text1"/>
          <w:sz w:val="32"/>
          <w:szCs w:val="32"/>
        </w:rPr>
        <w:t>截至2018年12月31日，单位共有车辆</w:t>
      </w:r>
      <w:r>
        <w:rPr>
          <w:rFonts w:hint="eastAsia" w:ascii="仿宋_GB2312" w:eastAsia="仿宋_GB2312"/>
          <w:sz w:val="32"/>
          <w:szCs w:val="32"/>
        </w:rPr>
        <w:t>1</w:t>
      </w:r>
      <w:r>
        <w:rPr>
          <w:rFonts w:hint="eastAsia" w:ascii="仿宋_GB2312" w:eastAsia="仿宋_GB2312"/>
          <w:color w:val="000000" w:themeColor="text1"/>
          <w:sz w:val="32"/>
          <w:szCs w:val="32"/>
        </w:rPr>
        <w:t>辆，价值</w:t>
      </w:r>
      <w:r>
        <w:rPr>
          <w:rFonts w:hint="eastAsia" w:ascii="仿宋_GB2312" w:eastAsia="仿宋_GB2312"/>
          <w:sz w:val="32"/>
          <w:szCs w:val="32"/>
        </w:rPr>
        <w:t>22</w:t>
      </w:r>
      <w:r>
        <w:rPr>
          <w:rFonts w:hint="eastAsia" w:ascii="仿宋_GB2312" w:eastAsia="仿宋_GB2312"/>
          <w:color w:val="000000" w:themeColor="text1"/>
          <w:sz w:val="32"/>
          <w:szCs w:val="32"/>
        </w:rPr>
        <w:t>万元，其中：部级领导干部用车</w:t>
      </w:r>
      <w:r>
        <w:rPr>
          <w:rFonts w:hint="eastAsia" w:ascii="仿宋_GB2312" w:eastAsia="仿宋_GB2312"/>
          <w:sz w:val="32"/>
          <w:szCs w:val="32"/>
        </w:rPr>
        <w:t>0</w:t>
      </w:r>
      <w:r>
        <w:rPr>
          <w:rFonts w:hint="eastAsia" w:ascii="仿宋_GB2312" w:eastAsia="仿宋_GB2312"/>
          <w:color w:val="000000" w:themeColor="text1"/>
          <w:sz w:val="32"/>
          <w:szCs w:val="32"/>
        </w:rPr>
        <w:t>辆、主要领导干部用车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辆、机要通信用车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辆、应急保障用车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辆、执法执勤用车</w:t>
      </w:r>
      <w:r>
        <w:rPr>
          <w:rFonts w:hint="eastAsia" w:ascii="仿宋_GB2312" w:eastAsia="仿宋_GB2312"/>
          <w:sz w:val="32"/>
          <w:szCs w:val="32"/>
        </w:rPr>
        <w:t>0</w:t>
      </w:r>
      <w:r>
        <w:rPr>
          <w:rFonts w:hint="eastAsia" w:ascii="仿宋_GB2312" w:eastAsia="仿宋_GB2312"/>
          <w:color w:val="000000" w:themeColor="text1"/>
          <w:sz w:val="32"/>
          <w:szCs w:val="32"/>
        </w:rPr>
        <w:t>辆、特种专业技术用车</w:t>
      </w:r>
      <w:r>
        <w:rPr>
          <w:rFonts w:hint="eastAsia" w:ascii="仿宋_GB2312" w:eastAsia="仿宋_GB2312"/>
          <w:sz w:val="32"/>
          <w:szCs w:val="32"/>
        </w:rPr>
        <w:t>0</w:t>
      </w:r>
      <w:r>
        <w:rPr>
          <w:rFonts w:hint="eastAsia" w:ascii="仿宋_GB2312" w:eastAsia="仿宋_GB2312"/>
          <w:color w:val="000000" w:themeColor="text1"/>
          <w:sz w:val="32"/>
          <w:szCs w:val="32"/>
        </w:rPr>
        <w:t>辆、离退休干部用车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辆、其他用车</w:t>
      </w:r>
      <w:r>
        <w:rPr>
          <w:rFonts w:ascii="仿宋_GB2312" w:eastAsia="仿宋_GB2312"/>
          <w:color w:val="000000" w:themeColor="text1"/>
          <w:sz w:val="32"/>
          <w:szCs w:val="32"/>
        </w:rPr>
        <w:t>1</w:t>
      </w:r>
      <w:r>
        <w:rPr>
          <w:rFonts w:hint="eastAsia" w:ascii="仿宋_GB2312" w:eastAsia="仿宋_GB2312"/>
          <w:color w:val="000000" w:themeColor="text1"/>
          <w:sz w:val="32"/>
          <w:szCs w:val="32"/>
        </w:rPr>
        <w:t>辆，其他用车主要是：</w:t>
      </w:r>
      <w:r>
        <w:rPr>
          <w:rFonts w:hint="eastAsia" w:ascii="仿宋_GB2312" w:eastAsia="仿宋_GB2312"/>
          <w:color w:val="000000" w:themeColor="text1"/>
          <w:sz w:val="32"/>
          <w:szCs w:val="32"/>
          <w:lang w:eastAsia="zh-CN"/>
        </w:rPr>
        <w:t>猎豹越野车新</w:t>
      </w:r>
      <w:r>
        <w:rPr>
          <w:rFonts w:hint="eastAsia" w:ascii="仿宋_GB2312" w:eastAsia="仿宋_GB2312"/>
          <w:color w:val="000000" w:themeColor="text1"/>
          <w:sz w:val="32"/>
          <w:szCs w:val="32"/>
          <w:lang w:val="en-US" w:eastAsia="zh-CN"/>
        </w:rPr>
        <w:t>QAJ006一辆，主要用于</w:t>
      </w:r>
      <w:r>
        <w:rPr>
          <w:rFonts w:ascii="仿宋_GB2312" w:eastAsia="仿宋_GB2312"/>
          <w:color w:val="000000" w:themeColor="text1"/>
          <w:sz w:val="32"/>
          <w:szCs w:val="32"/>
        </w:rPr>
        <w:t>安全生产检查工作用车；</w:t>
      </w:r>
      <w:r>
        <w:rPr>
          <w:rFonts w:hint="eastAsia" w:ascii="仿宋_GB2312" w:eastAsia="仿宋_GB2312"/>
          <w:color w:val="000000" w:themeColor="text1"/>
          <w:sz w:val="32"/>
          <w:szCs w:val="32"/>
        </w:rPr>
        <w:t>单位价值50万元以上通用设备</w:t>
      </w:r>
      <w:r>
        <w:rPr>
          <w:rFonts w:hint="eastAsia" w:ascii="仿宋_GB2312" w:eastAsia="仿宋_GB2312"/>
          <w:sz w:val="32"/>
          <w:szCs w:val="32"/>
        </w:rPr>
        <w:t>0</w:t>
      </w:r>
      <w:r>
        <w:rPr>
          <w:rFonts w:hint="eastAsia" w:ascii="仿宋_GB2312" w:eastAsia="仿宋_GB2312"/>
          <w:color w:val="000000" w:themeColor="text1"/>
          <w:sz w:val="32"/>
          <w:szCs w:val="32"/>
        </w:rPr>
        <w:t>台（套）、单位价值100万元以上专用设备</w:t>
      </w:r>
      <w:r>
        <w:rPr>
          <w:rFonts w:hint="eastAsia" w:ascii="仿宋_GB2312" w:eastAsia="仿宋_GB2312"/>
          <w:sz w:val="32"/>
          <w:szCs w:val="32"/>
        </w:rPr>
        <w:t>0</w:t>
      </w:r>
      <w:r>
        <w:rPr>
          <w:rFonts w:hint="eastAsia" w:ascii="仿宋_GB2312" w:eastAsia="仿宋_GB2312"/>
          <w:color w:val="000000" w:themeColor="text1"/>
          <w:sz w:val="32"/>
          <w:szCs w:val="32"/>
        </w:rPr>
        <w:t>台（套）。</w:t>
      </w:r>
      <w:bookmarkEnd w:id="90"/>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（二）预算绩效情况的说明</w:t>
      </w:r>
    </w:p>
    <w:p>
      <w:pPr>
        <w:spacing w:line="540" w:lineRule="exact"/>
        <w:ind w:firstLine="640" w:firstLineChars="200"/>
        <w:rPr>
          <w:rFonts w:ascii="仿宋_GB2312" w:eastAsia="仿宋_GB2312"/>
          <w:sz w:val="32"/>
          <w:szCs w:val="32"/>
        </w:rPr>
      </w:pPr>
      <w:r>
        <w:rPr>
          <w:rFonts w:hint="eastAsia" w:ascii="仿宋_GB2312" w:eastAsia="仿宋_GB2312"/>
          <w:color w:val="000000" w:themeColor="text1"/>
          <w:sz w:val="32"/>
          <w:szCs w:val="32"/>
        </w:rPr>
        <w:t>2018年度，本部门单位预算绩效自评情况：</w:t>
      </w:r>
      <w:r>
        <w:rPr>
          <w:rFonts w:ascii="仿宋_GB2312" w:eastAsia="仿宋_GB2312"/>
          <w:color w:val="000000" w:themeColor="text1"/>
          <w:sz w:val="32"/>
          <w:szCs w:val="32"/>
        </w:rPr>
        <w:t>201</w:t>
      </w:r>
      <w:r>
        <w:rPr>
          <w:rFonts w:hint="eastAsia" w:ascii="仿宋_GB2312" w:eastAsia="仿宋_GB2312"/>
          <w:color w:val="000000" w:themeColor="text1"/>
          <w:sz w:val="32"/>
          <w:szCs w:val="32"/>
          <w:lang w:val="en-US" w:eastAsia="zh-CN"/>
        </w:rPr>
        <w:t>8</w:t>
      </w:r>
      <w:r>
        <w:rPr>
          <w:rFonts w:hint="eastAsia" w:ascii="仿宋_GB2312" w:eastAsia="仿宋_GB2312"/>
          <w:color w:val="000000" w:themeColor="text1"/>
          <w:sz w:val="32"/>
          <w:szCs w:val="32"/>
        </w:rPr>
        <w:t>年度，本部门单位实行绩效管理的项目</w:t>
      </w:r>
      <w:r>
        <w:rPr>
          <w:rFonts w:ascii="仿宋_GB2312" w:eastAsia="仿宋_GB2312"/>
          <w:color w:val="000000" w:themeColor="text1"/>
          <w:sz w:val="32"/>
          <w:szCs w:val="32"/>
        </w:rPr>
        <w:t>0</w:t>
      </w:r>
      <w:r>
        <w:rPr>
          <w:rFonts w:hint="eastAsia" w:ascii="仿宋_GB2312" w:eastAsia="仿宋_GB2312"/>
          <w:color w:val="000000" w:themeColor="text1"/>
          <w:sz w:val="32"/>
          <w:szCs w:val="32"/>
        </w:rPr>
        <w:t>个，涉及预算</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万元，项目支出决算</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万元。年末本部门单位民生项目和重点支出项目的绩效评价开展情况及结果：无</w:t>
      </w:r>
      <w:r>
        <w:rPr>
          <w:rFonts w:hint="eastAsia" w:ascii="仿宋_GB2312" w:eastAsia="仿宋_GB2312"/>
          <w:color w:val="000000" w:themeColor="text1"/>
          <w:sz w:val="32"/>
          <w:szCs w:val="32"/>
          <w:lang w:eastAsia="zh-CN"/>
        </w:rPr>
        <w:t>预算绩效情况</w:t>
      </w:r>
      <w:r>
        <w:rPr>
          <w:rFonts w:hint="eastAsia" w:ascii="仿宋_GB2312" w:eastAsia="仿宋_GB2312"/>
          <w:color w:val="000000" w:themeColor="text1"/>
          <w:sz w:val="32"/>
          <w:szCs w:val="32"/>
        </w:rPr>
        <w:t>。</w:t>
      </w:r>
    </w:p>
    <w:p>
      <w:pPr>
        <w:spacing w:line="540" w:lineRule="exact"/>
        <w:jc w:val="center"/>
        <w:rPr>
          <w:rFonts w:ascii="黑体" w:hAnsi="黑体" w:eastAsia="黑体"/>
          <w:sz w:val="32"/>
          <w:szCs w:val="32"/>
        </w:rPr>
      </w:pPr>
      <w:r>
        <w:rPr>
          <w:rFonts w:hint="eastAsia" w:ascii="黑体" w:hAnsi="黑体" w:eastAsia="黑体"/>
          <w:sz w:val="32"/>
          <w:szCs w:val="32"/>
        </w:rPr>
        <w:t>第三部分专业名词解释</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财政拨款收入：指同级财政当年拨付的资金。</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上级补助收入：指事业单位从主管部门和上级单位取得的非财政补助收入。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事业收入：指事业单位开展专业业务活动及其辅助活动所取得的收入。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经营收入：指事业单位在专业业务活动及其辅助活动之外开展非独立核算经营活动取得的收入。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附属单位上缴收入：指事业单位附属的独立核算单位按有关规定上缴的收入。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其他收入：指除上述“财政拨款收入”、“事业收入”、“经营收入”、“附属单位上缴收入”等之外取得的收入。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上年结转和结余：指以前年度支出预算因客观条件变化未执行完毕、结转到本年度按有关规定继续使用的资金，既包括财政拨款结转和结余，也包括事业收入、经营收入、其他收入的结转和结余。</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结余分配：反映单位当年结余的分配情况。</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基本支出：指为保障机构正常运转、完成日常工作任务而发生的人员支出和公用支出。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项目支出：指在基本支出之外为完成特定行政任务和事业发展目标所发生的支出。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经营支出：指事业单位在专业业务活动及其辅助活动之外开展非独立核算经营活动发生的支出。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对附属单位补助支出：指事业单位发生的用非财政预算资金对附属单位的补助支出。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line="540" w:lineRule="exact"/>
        <w:ind w:firstLine="640" w:firstLineChars="200"/>
        <w:rPr>
          <w:rFonts w:ascii="仿宋_GB2312" w:hAnsi="Calibri" w:eastAsia="仿宋_GB2312"/>
          <w:color w:val="000000" w:themeColor="text1"/>
          <w:sz w:val="32"/>
          <w:szCs w:val="32"/>
          <w:lang w:val="en-GB"/>
        </w:rPr>
      </w:pPr>
      <w:r>
        <w:rPr>
          <w:rFonts w:hint="eastAsia" w:ascii="仿宋_GB2312" w:eastAsia="仿宋_GB2312"/>
          <w:color w:val="000000" w:themeColor="text1"/>
          <w:sz w:val="32"/>
          <w:szCs w:val="32"/>
        </w:rPr>
        <w:t>本单位支出功能分类说明</w:t>
      </w:r>
      <w:r>
        <w:rPr>
          <w:rFonts w:hint="eastAsia" w:ascii="仿宋_GB2312" w:hAnsi="Calibri" w:eastAsia="仿宋_GB2312"/>
          <w:color w:val="000000" w:themeColor="text1"/>
          <w:sz w:val="32"/>
          <w:szCs w:val="32"/>
          <w:lang w:val="en-GB"/>
        </w:rPr>
        <w:t>。</w:t>
      </w:r>
      <w:r>
        <w:rPr>
          <w:rFonts w:hint="eastAsia" w:ascii="仿宋_GB2312" w:eastAsia="仿宋_GB2312"/>
          <w:sz w:val="32"/>
          <w:szCs w:val="32"/>
        </w:rPr>
        <w:t>221（类）02（款）01（项）指：住房公积金。215（类）06（款）01（项）指：行政运行。208（类）05（款）05（项）指：机关事业单位基本养老保险缴费支出。</w:t>
      </w:r>
    </w:p>
    <w:p>
      <w:pPr>
        <w:spacing w:line="540" w:lineRule="exact"/>
        <w:ind w:firstLine="640" w:firstLineChars="200"/>
        <w:rPr>
          <w:rFonts w:ascii="仿宋_GB2312" w:hAnsi="Calibri" w:eastAsia="仿宋_GB2312"/>
          <w:sz w:val="32"/>
          <w:szCs w:val="32"/>
          <w:lang w:val="en-GB"/>
        </w:rPr>
      </w:pPr>
      <w:r>
        <w:rPr>
          <w:rFonts w:hint="eastAsia" w:ascii="仿宋_GB2312" w:eastAsia="仿宋_GB2312"/>
          <w:sz w:val="32"/>
          <w:szCs w:val="32"/>
        </w:rPr>
        <w:t>其他有关说明内容</w:t>
      </w:r>
      <w:r>
        <w:rPr>
          <w:rFonts w:hint="eastAsia" w:ascii="仿宋_GB2312" w:hAnsi="Calibri" w:eastAsia="仿宋_GB2312"/>
          <w:sz w:val="32"/>
          <w:szCs w:val="32"/>
          <w:lang w:val="en-GB"/>
        </w:rPr>
        <w:t>。</w:t>
      </w:r>
    </w:p>
    <w:p>
      <w:pPr>
        <w:spacing w:line="540" w:lineRule="exact"/>
        <w:ind w:firstLine="643" w:firstLineChars="200"/>
        <w:rPr>
          <w:rFonts w:ascii="仿宋_GB2312" w:eastAsia="仿宋_GB2312"/>
          <w:b/>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第四部分部门决算公开的8张报表（见附表）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二、《收入决算表》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四、《财政拨款收入支出决算总表》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五、《一般公共预算财政拨款支出决算表》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六、《一般公共预算财政拨款基本支出决算表》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七、《一般公共预算财政拨款“三公”经费支出决算表》</w:t>
      </w:r>
    </w:p>
    <w:p>
      <w:pPr>
        <w:spacing w:line="540" w:lineRule="exact"/>
        <w:ind w:firstLine="640" w:firstLineChars="200"/>
        <w:rPr>
          <w:rFonts w:ascii="仿宋_GB2312" w:eastAsia="仿宋_GB2312"/>
          <w:sz w:val="32"/>
          <w:szCs w:val="32"/>
        </w:rPr>
        <w:sectPr>
          <w:footerReference r:id="rId3" w:type="default"/>
          <w:footerReference r:id="rId4" w:type="even"/>
          <w:pgSz w:w="11906" w:h="16838"/>
          <w:pgMar w:top="2041" w:right="1276" w:bottom="2041" w:left="1276" w:header="851" w:footer="1814" w:gutter="0"/>
          <w:pgNumType w:fmt="numberInDash"/>
          <w:cols w:space="425" w:num="1"/>
          <w:docGrid w:type="lines" w:linePitch="435" w:charSpace="-1675"/>
        </w:sectPr>
      </w:pPr>
      <w:r>
        <w:rPr>
          <w:rFonts w:hint="eastAsia" w:ascii="仿宋_GB2312" w:hAnsi="宋体" w:eastAsia="仿宋_GB2312"/>
          <w:sz w:val="32"/>
          <w:szCs w:val="32"/>
        </w:rPr>
        <w:t>八、</w:t>
      </w:r>
      <w:r>
        <w:rPr>
          <w:rFonts w:hint="eastAsia" w:ascii="仿宋_GB2312" w:eastAsia="仿宋_GB2312"/>
          <w:sz w:val="32"/>
          <w:szCs w:val="32"/>
        </w:rPr>
        <w:t>《政府性基金预算财政拨款收入支出决算表》</w:t>
      </w:r>
    </w:p>
    <w:p>
      <w:pPr>
        <w:spacing w:line="540" w:lineRule="exact"/>
        <w:rPr>
          <w:rFonts w:ascii="仿宋_GB2312" w:eastAsia="仿宋_GB2312"/>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page" w:x="9631" w:y="37"/>
      <w:jc w:val="right"/>
      <w:rPr>
        <w:rStyle w:val="8"/>
        <w:rFonts w:hint="eastAsia" w:ascii="宋体" w:hAnsi="宋体" w:eastAsia="宋体"/>
        <w:sz w:val="28"/>
        <w:lang w:eastAsia="zh-CN"/>
      </w:rPr>
    </w:pPr>
    <w:r>
      <w:rPr>
        <w:rStyle w:val="8"/>
        <w:rFonts w:ascii="宋体" w:hAnsi="宋体" w:eastAsia="宋体"/>
        <w:sz w:val="28"/>
      </w:rPr>
      <w:fldChar w:fldCharType="begin"/>
    </w:r>
    <w:r>
      <w:rPr>
        <w:rStyle w:val="8"/>
        <w:rFonts w:ascii="宋体" w:hAnsi="宋体" w:eastAsia="宋体"/>
        <w:sz w:val="28"/>
      </w:rPr>
      <w:instrText xml:space="preserve"> PAGE </w:instrText>
    </w:r>
    <w:r>
      <w:rPr>
        <w:rStyle w:val="8"/>
        <w:rFonts w:ascii="宋体" w:hAnsi="宋体" w:eastAsia="宋体"/>
        <w:sz w:val="28"/>
      </w:rPr>
      <w:fldChar w:fldCharType="separate"/>
    </w:r>
    <w:r>
      <w:rPr>
        <w:rStyle w:val="8"/>
        <w:rFonts w:ascii="宋体" w:hAnsi="宋体" w:eastAsia="宋体"/>
        <w:sz w:val="28"/>
      </w:rPr>
      <w:t>- 1 -</w:t>
    </w:r>
    <w:r>
      <w:rPr>
        <w:rStyle w:val="8"/>
        <w:rFonts w:ascii="宋体" w:hAnsi="宋体" w:eastAsia="宋体"/>
        <w:sz w:val="28"/>
      </w:rPr>
      <w:fldChar w:fldCharType="end"/>
    </w:r>
  </w:p>
  <w:p>
    <w:pPr>
      <w:pStyle w:val="5"/>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page" w:x="1756" w:y="37"/>
      <w:rPr>
        <w:rStyle w:val="8"/>
        <w:rFonts w:ascii="宋体" w:hAnsi="宋体" w:eastAsia="宋体"/>
        <w:sz w:val="28"/>
        <w:szCs w:val="28"/>
      </w:rPr>
    </w:pPr>
    <w:r>
      <w:rPr>
        <w:rStyle w:val="8"/>
        <w:rFonts w:ascii="宋体" w:hAnsi="宋体" w:eastAsia="宋体"/>
        <w:sz w:val="28"/>
        <w:szCs w:val="28"/>
      </w:rPr>
      <w:fldChar w:fldCharType="begin"/>
    </w:r>
    <w:r>
      <w:rPr>
        <w:rStyle w:val="8"/>
        <w:rFonts w:ascii="宋体" w:hAnsi="宋体" w:eastAsia="宋体"/>
        <w:sz w:val="28"/>
        <w:szCs w:val="28"/>
      </w:rPr>
      <w:instrText xml:space="preserve">PAGE  </w:instrText>
    </w:r>
    <w:r>
      <w:rPr>
        <w:rStyle w:val="8"/>
        <w:rFonts w:ascii="宋体" w:hAnsi="宋体" w:eastAsia="宋体"/>
        <w:sz w:val="28"/>
        <w:szCs w:val="28"/>
      </w:rPr>
      <w:fldChar w:fldCharType="separate"/>
    </w:r>
    <w:r>
      <w:rPr>
        <w:rStyle w:val="8"/>
        <w:rFonts w:ascii="宋体" w:hAnsi="宋体" w:eastAsia="宋体"/>
        <w:sz w:val="28"/>
        <w:szCs w:val="28"/>
      </w:rPr>
      <w:t>-12-</w:t>
    </w:r>
    <w:r>
      <w:rPr>
        <w:rStyle w:val="8"/>
        <w:rFonts w:ascii="宋体" w:hAnsi="宋体" w:eastAsia="宋体"/>
        <w:sz w:val="28"/>
        <w:szCs w:val="28"/>
      </w:rPr>
      <w:fldChar w:fldCharType="end"/>
    </w:r>
  </w:p>
  <w:p>
    <w:pPr>
      <w:pStyle w:val="5"/>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443568"/>
    <w:rsid w:val="00000A75"/>
    <w:rsid w:val="00003BF7"/>
    <w:rsid w:val="00005719"/>
    <w:rsid w:val="00007F37"/>
    <w:rsid w:val="00010976"/>
    <w:rsid w:val="0002118A"/>
    <w:rsid w:val="00021887"/>
    <w:rsid w:val="00022242"/>
    <w:rsid w:val="00040E57"/>
    <w:rsid w:val="00044097"/>
    <w:rsid w:val="00050E1F"/>
    <w:rsid w:val="00054305"/>
    <w:rsid w:val="00060E28"/>
    <w:rsid w:val="000635BD"/>
    <w:rsid w:val="00065838"/>
    <w:rsid w:val="00080DEB"/>
    <w:rsid w:val="00083BBE"/>
    <w:rsid w:val="00083EBE"/>
    <w:rsid w:val="00091B9F"/>
    <w:rsid w:val="000A2EE8"/>
    <w:rsid w:val="000A497E"/>
    <w:rsid w:val="000A7773"/>
    <w:rsid w:val="000B08C5"/>
    <w:rsid w:val="000B206D"/>
    <w:rsid w:val="000B2C8D"/>
    <w:rsid w:val="000B6AD4"/>
    <w:rsid w:val="000B6C14"/>
    <w:rsid w:val="000B7C75"/>
    <w:rsid w:val="000C1474"/>
    <w:rsid w:val="000C7811"/>
    <w:rsid w:val="000D21F9"/>
    <w:rsid w:val="000E0AB3"/>
    <w:rsid w:val="000E21E6"/>
    <w:rsid w:val="000E65F1"/>
    <w:rsid w:val="000E73E7"/>
    <w:rsid w:val="000E75AE"/>
    <w:rsid w:val="0010072E"/>
    <w:rsid w:val="00101D4F"/>
    <w:rsid w:val="0010481F"/>
    <w:rsid w:val="001128DE"/>
    <w:rsid w:val="00113241"/>
    <w:rsid w:val="0012066C"/>
    <w:rsid w:val="00123283"/>
    <w:rsid w:val="00124713"/>
    <w:rsid w:val="00124A31"/>
    <w:rsid w:val="00124B40"/>
    <w:rsid w:val="00133488"/>
    <w:rsid w:val="00133516"/>
    <w:rsid w:val="00137B91"/>
    <w:rsid w:val="00142400"/>
    <w:rsid w:val="00150BEF"/>
    <w:rsid w:val="00151A95"/>
    <w:rsid w:val="00157F86"/>
    <w:rsid w:val="00164EBC"/>
    <w:rsid w:val="001669CC"/>
    <w:rsid w:val="00166DAB"/>
    <w:rsid w:val="00166E4B"/>
    <w:rsid w:val="00167DB8"/>
    <w:rsid w:val="00170C1A"/>
    <w:rsid w:val="00171B68"/>
    <w:rsid w:val="00173DD7"/>
    <w:rsid w:val="00177527"/>
    <w:rsid w:val="00184AA3"/>
    <w:rsid w:val="00194099"/>
    <w:rsid w:val="001951FF"/>
    <w:rsid w:val="001A10E6"/>
    <w:rsid w:val="001A135B"/>
    <w:rsid w:val="001A1FDB"/>
    <w:rsid w:val="001A2A1A"/>
    <w:rsid w:val="001B3A06"/>
    <w:rsid w:val="001B5DF3"/>
    <w:rsid w:val="001C26F2"/>
    <w:rsid w:val="001C38EB"/>
    <w:rsid w:val="001C79E0"/>
    <w:rsid w:val="001D640A"/>
    <w:rsid w:val="001D65CB"/>
    <w:rsid w:val="001E197A"/>
    <w:rsid w:val="001E2962"/>
    <w:rsid w:val="001F0E21"/>
    <w:rsid w:val="001F2FE9"/>
    <w:rsid w:val="001F3267"/>
    <w:rsid w:val="001F6948"/>
    <w:rsid w:val="0020033F"/>
    <w:rsid w:val="00200C57"/>
    <w:rsid w:val="00207AD5"/>
    <w:rsid w:val="0021204D"/>
    <w:rsid w:val="002127E3"/>
    <w:rsid w:val="002146E7"/>
    <w:rsid w:val="00216FD0"/>
    <w:rsid w:val="00226DF0"/>
    <w:rsid w:val="00231C2E"/>
    <w:rsid w:val="00241293"/>
    <w:rsid w:val="00245135"/>
    <w:rsid w:val="002453A6"/>
    <w:rsid w:val="00247520"/>
    <w:rsid w:val="00251FC8"/>
    <w:rsid w:val="00256471"/>
    <w:rsid w:val="00257943"/>
    <w:rsid w:val="002608FE"/>
    <w:rsid w:val="00271D59"/>
    <w:rsid w:val="0027418F"/>
    <w:rsid w:val="00282470"/>
    <w:rsid w:val="00295B34"/>
    <w:rsid w:val="0029700A"/>
    <w:rsid w:val="002A7E48"/>
    <w:rsid w:val="002B1DA2"/>
    <w:rsid w:val="002B557B"/>
    <w:rsid w:val="002B5D8E"/>
    <w:rsid w:val="002C0FB9"/>
    <w:rsid w:val="002C4530"/>
    <w:rsid w:val="002D2B8C"/>
    <w:rsid w:val="002D34C1"/>
    <w:rsid w:val="002D76FA"/>
    <w:rsid w:val="002E189D"/>
    <w:rsid w:val="002E18D1"/>
    <w:rsid w:val="002E1B0E"/>
    <w:rsid w:val="002E531F"/>
    <w:rsid w:val="002E64E8"/>
    <w:rsid w:val="002F3234"/>
    <w:rsid w:val="002F4F3E"/>
    <w:rsid w:val="00300B06"/>
    <w:rsid w:val="0030440B"/>
    <w:rsid w:val="00305C33"/>
    <w:rsid w:val="00307208"/>
    <w:rsid w:val="00311036"/>
    <w:rsid w:val="003136FF"/>
    <w:rsid w:val="003167D1"/>
    <w:rsid w:val="00317644"/>
    <w:rsid w:val="00317B91"/>
    <w:rsid w:val="00320F9D"/>
    <w:rsid w:val="003217D2"/>
    <w:rsid w:val="003228EE"/>
    <w:rsid w:val="0032647C"/>
    <w:rsid w:val="00326734"/>
    <w:rsid w:val="0033566D"/>
    <w:rsid w:val="003441F7"/>
    <w:rsid w:val="00344D62"/>
    <w:rsid w:val="00345984"/>
    <w:rsid w:val="00361388"/>
    <w:rsid w:val="00363F78"/>
    <w:rsid w:val="003642F3"/>
    <w:rsid w:val="00364924"/>
    <w:rsid w:val="00366A76"/>
    <w:rsid w:val="003700A6"/>
    <w:rsid w:val="00371AB7"/>
    <w:rsid w:val="00376020"/>
    <w:rsid w:val="00376E66"/>
    <w:rsid w:val="003818F3"/>
    <w:rsid w:val="0038402D"/>
    <w:rsid w:val="00386083"/>
    <w:rsid w:val="003913BA"/>
    <w:rsid w:val="003929A0"/>
    <w:rsid w:val="00394E80"/>
    <w:rsid w:val="00396057"/>
    <w:rsid w:val="003A03AB"/>
    <w:rsid w:val="003A251D"/>
    <w:rsid w:val="003A4403"/>
    <w:rsid w:val="003B29BD"/>
    <w:rsid w:val="003B4AA1"/>
    <w:rsid w:val="003B68E6"/>
    <w:rsid w:val="003B6E53"/>
    <w:rsid w:val="003C5A61"/>
    <w:rsid w:val="003D124B"/>
    <w:rsid w:val="003D161B"/>
    <w:rsid w:val="003D3AA4"/>
    <w:rsid w:val="003E4A05"/>
    <w:rsid w:val="003E5F5C"/>
    <w:rsid w:val="003E7D9E"/>
    <w:rsid w:val="003F37E0"/>
    <w:rsid w:val="00401A23"/>
    <w:rsid w:val="00401CA2"/>
    <w:rsid w:val="00405E6D"/>
    <w:rsid w:val="00411C55"/>
    <w:rsid w:val="00415648"/>
    <w:rsid w:val="00415BCE"/>
    <w:rsid w:val="0042015D"/>
    <w:rsid w:val="0042215C"/>
    <w:rsid w:val="00425950"/>
    <w:rsid w:val="00430B78"/>
    <w:rsid w:val="00441209"/>
    <w:rsid w:val="00443568"/>
    <w:rsid w:val="00444981"/>
    <w:rsid w:val="0045026B"/>
    <w:rsid w:val="004558AB"/>
    <w:rsid w:val="00457729"/>
    <w:rsid w:val="0047598D"/>
    <w:rsid w:val="004802CE"/>
    <w:rsid w:val="00486DB6"/>
    <w:rsid w:val="00487D16"/>
    <w:rsid w:val="004957F5"/>
    <w:rsid w:val="004976A5"/>
    <w:rsid w:val="004A0034"/>
    <w:rsid w:val="004A02D4"/>
    <w:rsid w:val="004A0690"/>
    <w:rsid w:val="004A2CA4"/>
    <w:rsid w:val="004A7A7B"/>
    <w:rsid w:val="004B401D"/>
    <w:rsid w:val="004B58A1"/>
    <w:rsid w:val="004B7BB8"/>
    <w:rsid w:val="004C351C"/>
    <w:rsid w:val="004C5BB4"/>
    <w:rsid w:val="004C7372"/>
    <w:rsid w:val="004D508F"/>
    <w:rsid w:val="004D5F0E"/>
    <w:rsid w:val="004D6793"/>
    <w:rsid w:val="004D7DE9"/>
    <w:rsid w:val="004E15B7"/>
    <w:rsid w:val="004E5557"/>
    <w:rsid w:val="004E678C"/>
    <w:rsid w:val="004F067D"/>
    <w:rsid w:val="004F0DBA"/>
    <w:rsid w:val="004F33DA"/>
    <w:rsid w:val="004F77C5"/>
    <w:rsid w:val="00501302"/>
    <w:rsid w:val="00507F68"/>
    <w:rsid w:val="00523B8A"/>
    <w:rsid w:val="00532585"/>
    <w:rsid w:val="00533FA0"/>
    <w:rsid w:val="0054006F"/>
    <w:rsid w:val="00540C10"/>
    <w:rsid w:val="005464FA"/>
    <w:rsid w:val="00560650"/>
    <w:rsid w:val="00567FB5"/>
    <w:rsid w:val="005770C3"/>
    <w:rsid w:val="00577753"/>
    <w:rsid w:val="00581AD2"/>
    <w:rsid w:val="005857A0"/>
    <w:rsid w:val="00592D42"/>
    <w:rsid w:val="005A5B02"/>
    <w:rsid w:val="005B3245"/>
    <w:rsid w:val="005B6754"/>
    <w:rsid w:val="005B75C0"/>
    <w:rsid w:val="005C3143"/>
    <w:rsid w:val="005D311B"/>
    <w:rsid w:val="005D61D8"/>
    <w:rsid w:val="005E3B86"/>
    <w:rsid w:val="005E4E6B"/>
    <w:rsid w:val="005E6995"/>
    <w:rsid w:val="005E7C64"/>
    <w:rsid w:val="005F2A5A"/>
    <w:rsid w:val="005F2AEA"/>
    <w:rsid w:val="005F4FFE"/>
    <w:rsid w:val="00602C6F"/>
    <w:rsid w:val="00604ECA"/>
    <w:rsid w:val="006069FD"/>
    <w:rsid w:val="00610EE1"/>
    <w:rsid w:val="0061632B"/>
    <w:rsid w:val="006168AD"/>
    <w:rsid w:val="00621929"/>
    <w:rsid w:val="0062266C"/>
    <w:rsid w:val="006250CB"/>
    <w:rsid w:val="00627F36"/>
    <w:rsid w:val="006304D1"/>
    <w:rsid w:val="00631DA8"/>
    <w:rsid w:val="0063431E"/>
    <w:rsid w:val="00645C30"/>
    <w:rsid w:val="0065497B"/>
    <w:rsid w:val="00654E41"/>
    <w:rsid w:val="0067149A"/>
    <w:rsid w:val="0069278A"/>
    <w:rsid w:val="006A1C84"/>
    <w:rsid w:val="006A745B"/>
    <w:rsid w:val="006A78F4"/>
    <w:rsid w:val="006B0F85"/>
    <w:rsid w:val="006B4B06"/>
    <w:rsid w:val="006B4D0D"/>
    <w:rsid w:val="006B60E5"/>
    <w:rsid w:val="006B636C"/>
    <w:rsid w:val="006C1DED"/>
    <w:rsid w:val="006C3692"/>
    <w:rsid w:val="006D0B78"/>
    <w:rsid w:val="006D45B7"/>
    <w:rsid w:val="006D62B0"/>
    <w:rsid w:val="006F14EB"/>
    <w:rsid w:val="006F5BD8"/>
    <w:rsid w:val="007015B6"/>
    <w:rsid w:val="00701EC2"/>
    <w:rsid w:val="007021BE"/>
    <w:rsid w:val="00706C32"/>
    <w:rsid w:val="007106B4"/>
    <w:rsid w:val="007214A9"/>
    <w:rsid w:val="007214DF"/>
    <w:rsid w:val="007220B1"/>
    <w:rsid w:val="007302C1"/>
    <w:rsid w:val="0073120F"/>
    <w:rsid w:val="007314F0"/>
    <w:rsid w:val="0074240E"/>
    <w:rsid w:val="00742FA1"/>
    <w:rsid w:val="007476BA"/>
    <w:rsid w:val="00750798"/>
    <w:rsid w:val="00752BCF"/>
    <w:rsid w:val="0076538D"/>
    <w:rsid w:val="007714E5"/>
    <w:rsid w:val="00773D5E"/>
    <w:rsid w:val="00776FAF"/>
    <w:rsid w:val="00777229"/>
    <w:rsid w:val="007775E8"/>
    <w:rsid w:val="0078072D"/>
    <w:rsid w:val="00795099"/>
    <w:rsid w:val="00796088"/>
    <w:rsid w:val="007A2C71"/>
    <w:rsid w:val="007A2FBD"/>
    <w:rsid w:val="007A6743"/>
    <w:rsid w:val="007B1E23"/>
    <w:rsid w:val="007B2E9D"/>
    <w:rsid w:val="007B4447"/>
    <w:rsid w:val="007C0F24"/>
    <w:rsid w:val="007C1415"/>
    <w:rsid w:val="007C2670"/>
    <w:rsid w:val="007C2E4F"/>
    <w:rsid w:val="007C5E7D"/>
    <w:rsid w:val="007C7E2E"/>
    <w:rsid w:val="007D2127"/>
    <w:rsid w:val="007E3095"/>
    <w:rsid w:val="007F27ED"/>
    <w:rsid w:val="008043B9"/>
    <w:rsid w:val="0080628E"/>
    <w:rsid w:val="00807ACF"/>
    <w:rsid w:val="00821E76"/>
    <w:rsid w:val="008259BC"/>
    <w:rsid w:val="0083105A"/>
    <w:rsid w:val="00837040"/>
    <w:rsid w:val="008427AB"/>
    <w:rsid w:val="00847DCE"/>
    <w:rsid w:val="0085023C"/>
    <w:rsid w:val="00853966"/>
    <w:rsid w:val="00857827"/>
    <w:rsid w:val="00866A6C"/>
    <w:rsid w:val="008969FE"/>
    <w:rsid w:val="008A237C"/>
    <w:rsid w:val="008A2D2C"/>
    <w:rsid w:val="008A3633"/>
    <w:rsid w:val="008B2514"/>
    <w:rsid w:val="008B4607"/>
    <w:rsid w:val="008B5C78"/>
    <w:rsid w:val="008C030F"/>
    <w:rsid w:val="008C3836"/>
    <w:rsid w:val="008E28BD"/>
    <w:rsid w:val="008E4EAC"/>
    <w:rsid w:val="008E5D6E"/>
    <w:rsid w:val="008F0F07"/>
    <w:rsid w:val="00910E73"/>
    <w:rsid w:val="009110DE"/>
    <w:rsid w:val="00913B22"/>
    <w:rsid w:val="00914BA4"/>
    <w:rsid w:val="00920C0A"/>
    <w:rsid w:val="00920E2A"/>
    <w:rsid w:val="00922EA0"/>
    <w:rsid w:val="009240D6"/>
    <w:rsid w:val="00924A08"/>
    <w:rsid w:val="009256ED"/>
    <w:rsid w:val="00927052"/>
    <w:rsid w:val="00927281"/>
    <w:rsid w:val="00940134"/>
    <w:rsid w:val="00943A3E"/>
    <w:rsid w:val="00944CCC"/>
    <w:rsid w:val="00945E7F"/>
    <w:rsid w:val="00947403"/>
    <w:rsid w:val="0095057C"/>
    <w:rsid w:val="009543BA"/>
    <w:rsid w:val="00954FB4"/>
    <w:rsid w:val="00960925"/>
    <w:rsid w:val="00970AB3"/>
    <w:rsid w:val="00982C13"/>
    <w:rsid w:val="00985DF4"/>
    <w:rsid w:val="00987E45"/>
    <w:rsid w:val="0099241E"/>
    <w:rsid w:val="009942F3"/>
    <w:rsid w:val="00994950"/>
    <w:rsid w:val="0099652B"/>
    <w:rsid w:val="009A0831"/>
    <w:rsid w:val="009A44FB"/>
    <w:rsid w:val="009A5CDE"/>
    <w:rsid w:val="009B3F92"/>
    <w:rsid w:val="009C3CE9"/>
    <w:rsid w:val="009C6A82"/>
    <w:rsid w:val="009D15D2"/>
    <w:rsid w:val="009D592F"/>
    <w:rsid w:val="009D641F"/>
    <w:rsid w:val="009E49B5"/>
    <w:rsid w:val="009E711C"/>
    <w:rsid w:val="009F06B8"/>
    <w:rsid w:val="00A0017F"/>
    <w:rsid w:val="00A037A6"/>
    <w:rsid w:val="00A11A5F"/>
    <w:rsid w:val="00A11F40"/>
    <w:rsid w:val="00A13D3F"/>
    <w:rsid w:val="00A273DB"/>
    <w:rsid w:val="00A3080D"/>
    <w:rsid w:val="00A30EB7"/>
    <w:rsid w:val="00A31D7F"/>
    <w:rsid w:val="00A338C6"/>
    <w:rsid w:val="00A408E3"/>
    <w:rsid w:val="00A425CE"/>
    <w:rsid w:val="00A44660"/>
    <w:rsid w:val="00A55F77"/>
    <w:rsid w:val="00A72457"/>
    <w:rsid w:val="00A86966"/>
    <w:rsid w:val="00A872D8"/>
    <w:rsid w:val="00A912CC"/>
    <w:rsid w:val="00A970D1"/>
    <w:rsid w:val="00AA57AE"/>
    <w:rsid w:val="00AB0AFB"/>
    <w:rsid w:val="00AC002C"/>
    <w:rsid w:val="00AC1DD9"/>
    <w:rsid w:val="00AC4218"/>
    <w:rsid w:val="00AD3489"/>
    <w:rsid w:val="00AD3E2D"/>
    <w:rsid w:val="00AD51DD"/>
    <w:rsid w:val="00AE5C1B"/>
    <w:rsid w:val="00AE79D8"/>
    <w:rsid w:val="00AE7BAC"/>
    <w:rsid w:val="00AF09FB"/>
    <w:rsid w:val="00B00C16"/>
    <w:rsid w:val="00B03B3E"/>
    <w:rsid w:val="00B046A4"/>
    <w:rsid w:val="00B06382"/>
    <w:rsid w:val="00B0733F"/>
    <w:rsid w:val="00B10701"/>
    <w:rsid w:val="00B146E7"/>
    <w:rsid w:val="00B30B86"/>
    <w:rsid w:val="00B32A4F"/>
    <w:rsid w:val="00B358E2"/>
    <w:rsid w:val="00B40CB6"/>
    <w:rsid w:val="00B50AD6"/>
    <w:rsid w:val="00B51AB3"/>
    <w:rsid w:val="00B5337C"/>
    <w:rsid w:val="00B5340F"/>
    <w:rsid w:val="00B611F7"/>
    <w:rsid w:val="00B6765D"/>
    <w:rsid w:val="00B717C5"/>
    <w:rsid w:val="00B75463"/>
    <w:rsid w:val="00B90F21"/>
    <w:rsid w:val="00B93445"/>
    <w:rsid w:val="00B94F7E"/>
    <w:rsid w:val="00B95F83"/>
    <w:rsid w:val="00B965C5"/>
    <w:rsid w:val="00B96E34"/>
    <w:rsid w:val="00B9729A"/>
    <w:rsid w:val="00BB0177"/>
    <w:rsid w:val="00BB3A31"/>
    <w:rsid w:val="00BC2D65"/>
    <w:rsid w:val="00BD1F2C"/>
    <w:rsid w:val="00BD2BBE"/>
    <w:rsid w:val="00BD7EF8"/>
    <w:rsid w:val="00BE0FEE"/>
    <w:rsid w:val="00BE4817"/>
    <w:rsid w:val="00BE721C"/>
    <w:rsid w:val="00BF0DC7"/>
    <w:rsid w:val="00BF1F54"/>
    <w:rsid w:val="00C04782"/>
    <w:rsid w:val="00C04F2D"/>
    <w:rsid w:val="00C238F0"/>
    <w:rsid w:val="00C25CC6"/>
    <w:rsid w:val="00C31297"/>
    <w:rsid w:val="00C61A9B"/>
    <w:rsid w:val="00C732F1"/>
    <w:rsid w:val="00C8565C"/>
    <w:rsid w:val="00C92227"/>
    <w:rsid w:val="00CB0287"/>
    <w:rsid w:val="00CB11AE"/>
    <w:rsid w:val="00CB2CF7"/>
    <w:rsid w:val="00CC1506"/>
    <w:rsid w:val="00CC176A"/>
    <w:rsid w:val="00CC1B4E"/>
    <w:rsid w:val="00CC3731"/>
    <w:rsid w:val="00CC4506"/>
    <w:rsid w:val="00CC4F04"/>
    <w:rsid w:val="00CD723D"/>
    <w:rsid w:val="00CE1BBB"/>
    <w:rsid w:val="00CF226A"/>
    <w:rsid w:val="00CF3263"/>
    <w:rsid w:val="00CF444E"/>
    <w:rsid w:val="00D001BF"/>
    <w:rsid w:val="00D07FED"/>
    <w:rsid w:val="00D1171B"/>
    <w:rsid w:val="00D1499A"/>
    <w:rsid w:val="00D16172"/>
    <w:rsid w:val="00D20653"/>
    <w:rsid w:val="00D25C67"/>
    <w:rsid w:val="00D30DDB"/>
    <w:rsid w:val="00D334A9"/>
    <w:rsid w:val="00D36199"/>
    <w:rsid w:val="00D43678"/>
    <w:rsid w:val="00D51F2C"/>
    <w:rsid w:val="00D5247F"/>
    <w:rsid w:val="00D528F6"/>
    <w:rsid w:val="00D670F7"/>
    <w:rsid w:val="00D7746E"/>
    <w:rsid w:val="00D819E7"/>
    <w:rsid w:val="00D85A61"/>
    <w:rsid w:val="00D92C82"/>
    <w:rsid w:val="00DA1E10"/>
    <w:rsid w:val="00DA463D"/>
    <w:rsid w:val="00DA5B64"/>
    <w:rsid w:val="00DB2B00"/>
    <w:rsid w:val="00DB45E7"/>
    <w:rsid w:val="00DC19E1"/>
    <w:rsid w:val="00DC25CF"/>
    <w:rsid w:val="00DC65F7"/>
    <w:rsid w:val="00DF32E5"/>
    <w:rsid w:val="00DF3EFD"/>
    <w:rsid w:val="00E07FDF"/>
    <w:rsid w:val="00E14EDE"/>
    <w:rsid w:val="00E242B2"/>
    <w:rsid w:val="00E31696"/>
    <w:rsid w:val="00E33E4C"/>
    <w:rsid w:val="00E44960"/>
    <w:rsid w:val="00E52F6A"/>
    <w:rsid w:val="00E545C9"/>
    <w:rsid w:val="00E55774"/>
    <w:rsid w:val="00E56018"/>
    <w:rsid w:val="00E64B7B"/>
    <w:rsid w:val="00E66654"/>
    <w:rsid w:val="00E74817"/>
    <w:rsid w:val="00E75B6D"/>
    <w:rsid w:val="00E76C2B"/>
    <w:rsid w:val="00E8294F"/>
    <w:rsid w:val="00E870C3"/>
    <w:rsid w:val="00E8738A"/>
    <w:rsid w:val="00E916E5"/>
    <w:rsid w:val="00E92F11"/>
    <w:rsid w:val="00E95399"/>
    <w:rsid w:val="00E95FBD"/>
    <w:rsid w:val="00E9654C"/>
    <w:rsid w:val="00EA1A1C"/>
    <w:rsid w:val="00EA36D3"/>
    <w:rsid w:val="00EB1C85"/>
    <w:rsid w:val="00EB22F0"/>
    <w:rsid w:val="00EB380F"/>
    <w:rsid w:val="00EB3823"/>
    <w:rsid w:val="00EC5A7D"/>
    <w:rsid w:val="00EC7099"/>
    <w:rsid w:val="00ED5E90"/>
    <w:rsid w:val="00ED60E2"/>
    <w:rsid w:val="00EE0A13"/>
    <w:rsid w:val="00EE2897"/>
    <w:rsid w:val="00EF31D5"/>
    <w:rsid w:val="00EF7FDA"/>
    <w:rsid w:val="00F01612"/>
    <w:rsid w:val="00F04B17"/>
    <w:rsid w:val="00F113F4"/>
    <w:rsid w:val="00F13479"/>
    <w:rsid w:val="00F14CE8"/>
    <w:rsid w:val="00F1625A"/>
    <w:rsid w:val="00F17C93"/>
    <w:rsid w:val="00F50BA2"/>
    <w:rsid w:val="00F5664D"/>
    <w:rsid w:val="00F6771B"/>
    <w:rsid w:val="00F703C3"/>
    <w:rsid w:val="00F80799"/>
    <w:rsid w:val="00F81776"/>
    <w:rsid w:val="00F835AD"/>
    <w:rsid w:val="00F844FD"/>
    <w:rsid w:val="00F869A3"/>
    <w:rsid w:val="00F86FB3"/>
    <w:rsid w:val="00F97BF1"/>
    <w:rsid w:val="00FA29D8"/>
    <w:rsid w:val="00FA5F5D"/>
    <w:rsid w:val="00FB0BA6"/>
    <w:rsid w:val="00FC29A0"/>
    <w:rsid w:val="00FC6C17"/>
    <w:rsid w:val="00FE48DB"/>
    <w:rsid w:val="00FF3620"/>
    <w:rsid w:val="00FF3A84"/>
    <w:rsid w:val="01110239"/>
    <w:rsid w:val="028847F9"/>
    <w:rsid w:val="033C0E6C"/>
    <w:rsid w:val="03AA79F6"/>
    <w:rsid w:val="04741FE5"/>
    <w:rsid w:val="04DB02C7"/>
    <w:rsid w:val="06B856EE"/>
    <w:rsid w:val="073F71FA"/>
    <w:rsid w:val="07FE5938"/>
    <w:rsid w:val="084604BC"/>
    <w:rsid w:val="08883825"/>
    <w:rsid w:val="09725983"/>
    <w:rsid w:val="0A382BB5"/>
    <w:rsid w:val="0A6231CF"/>
    <w:rsid w:val="0AA4543A"/>
    <w:rsid w:val="0BE61132"/>
    <w:rsid w:val="0C9B0DD6"/>
    <w:rsid w:val="0CE4791C"/>
    <w:rsid w:val="0E063C64"/>
    <w:rsid w:val="0F4C7B96"/>
    <w:rsid w:val="0FFB575E"/>
    <w:rsid w:val="10845F1B"/>
    <w:rsid w:val="11463A00"/>
    <w:rsid w:val="11600918"/>
    <w:rsid w:val="11B0398F"/>
    <w:rsid w:val="12454DCB"/>
    <w:rsid w:val="13964DBD"/>
    <w:rsid w:val="13B960C5"/>
    <w:rsid w:val="150B4037"/>
    <w:rsid w:val="152777F4"/>
    <w:rsid w:val="15C674B6"/>
    <w:rsid w:val="15D917E9"/>
    <w:rsid w:val="18D54A0D"/>
    <w:rsid w:val="1A4106A0"/>
    <w:rsid w:val="1A4F5437"/>
    <w:rsid w:val="1AB77CD0"/>
    <w:rsid w:val="1E807156"/>
    <w:rsid w:val="1EA657F6"/>
    <w:rsid w:val="1F097CB6"/>
    <w:rsid w:val="1FC75B36"/>
    <w:rsid w:val="2166156B"/>
    <w:rsid w:val="21B02D83"/>
    <w:rsid w:val="22A236F5"/>
    <w:rsid w:val="23995975"/>
    <w:rsid w:val="2432220E"/>
    <w:rsid w:val="248303BA"/>
    <w:rsid w:val="24837E47"/>
    <w:rsid w:val="252E01AA"/>
    <w:rsid w:val="25336574"/>
    <w:rsid w:val="2680023E"/>
    <w:rsid w:val="2897058F"/>
    <w:rsid w:val="29680352"/>
    <w:rsid w:val="2A020F75"/>
    <w:rsid w:val="2B007AEE"/>
    <w:rsid w:val="2B145EBE"/>
    <w:rsid w:val="2BC14C56"/>
    <w:rsid w:val="2C1B026F"/>
    <w:rsid w:val="2CC61F55"/>
    <w:rsid w:val="2E326930"/>
    <w:rsid w:val="2EF7452F"/>
    <w:rsid w:val="2F1D13B4"/>
    <w:rsid w:val="2F6F21EE"/>
    <w:rsid w:val="2FAA3DA6"/>
    <w:rsid w:val="30682E1F"/>
    <w:rsid w:val="30E210D2"/>
    <w:rsid w:val="311371D6"/>
    <w:rsid w:val="31EB64C9"/>
    <w:rsid w:val="32946988"/>
    <w:rsid w:val="336D0D6F"/>
    <w:rsid w:val="352E4BEC"/>
    <w:rsid w:val="36484B8F"/>
    <w:rsid w:val="37DD5594"/>
    <w:rsid w:val="38F24FA8"/>
    <w:rsid w:val="3A98342A"/>
    <w:rsid w:val="3AB6780E"/>
    <w:rsid w:val="3AD56D70"/>
    <w:rsid w:val="3B2920C2"/>
    <w:rsid w:val="3B511136"/>
    <w:rsid w:val="3BE41ABD"/>
    <w:rsid w:val="3C5421A9"/>
    <w:rsid w:val="3C5C7809"/>
    <w:rsid w:val="3D903B21"/>
    <w:rsid w:val="3F440741"/>
    <w:rsid w:val="4191033B"/>
    <w:rsid w:val="41FC306C"/>
    <w:rsid w:val="44BE5554"/>
    <w:rsid w:val="451C2344"/>
    <w:rsid w:val="451E0908"/>
    <w:rsid w:val="452C2D31"/>
    <w:rsid w:val="45A61D4F"/>
    <w:rsid w:val="45D26E14"/>
    <w:rsid w:val="46A541B1"/>
    <w:rsid w:val="48C57772"/>
    <w:rsid w:val="49782886"/>
    <w:rsid w:val="4A6F0D28"/>
    <w:rsid w:val="4AAF085C"/>
    <w:rsid w:val="4AEB7E60"/>
    <w:rsid w:val="4B4B135B"/>
    <w:rsid w:val="4BC7055F"/>
    <w:rsid w:val="4CFC7DB2"/>
    <w:rsid w:val="4E2776E0"/>
    <w:rsid w:val="4E7C187D"/>
    <w:rsid w:val="508941AD"/>
    <w:rsid w:val="50E65530"/>
    <w:rsid w:val="51457139"/>
    <w:rsid w:val="51574DBD"/>
    <w:rsid w:val="51EC1DA8"/>
    <w:rsid w:val="52FC5524"/>
    <w:rsid w:val="532D7A17"/>
    <w:rsid w:val="54AF4562"/>
    <w:rsid w:val="54C9674B"/>
    <w:rsid w:val="556318EA"/>
    <w:rsid w:val="55A60AA1"/>
    <w:rsid w:val="56451615"/>
    <w:rsid w:val="56FA62CA"/>
    <w:rsid w:val="57FC5774"/>
    <w:rsid w:val="59B332C9"/>
    <w:rsid w:val="59CB60E8"/>
    <w:rsid w:val="5A44758A"/>
    <w:rsid w:val="5BEC4BB3"/>
    <w:rsid w:val="5C070B55"/>
    <w:rsid w:val="5CB96DCE"/>
    <w:rsid w:val="5CE61580"/>
    <w:rsid w:val="5D175666"/>
    <w:rsid w:val="5D556A3C"/>
    <w:rsid w:val="5D7B25C9"/>
    <w:rsid w:val="5ECB44B4"/>
    <w:rsid w:val="5EE2043C"/>
    <w:rsid w:val="5F017513"/>
    <w:rsid w:val="602D2E37"/>
    <w:rsid w:val="60B1019B"/>
    <w:rsid w:val="61460FBE"/>
    <w:rsid w:val="62775810"/>
    <w:rsid w:val="62D83744"/>
    <w:rsid w:val="630F4048"/>
    <w:rsid w:val="63AA02E5"/>
    <w:rsid w:val="63B72A42"/>
    <w:rsid w:val="64700DE9"/>
    <w:rsid w:val="65C613BD"/>
    <w:rsid w:val="65FD118C"/>
    <w:rsid w:val="682C3D89"/>
    <w:rsid w:val="68611305"/>
    <w:rsid w:val="6A162DE0"/>
    <w:rsid w:val="6A331428"/>
    <w:rsid w:val="6B2E5CB6"/>
    <w:rsid w:val="6B3D4886"/>
    <w:rsid w:val="6DF8675E"/>
    <w:rsid w:val="6EA80098"/>
    <w:rsid w:val="6F8D70FF"/>
    <w:rsid w:val="6FFE5011"/>
    <w:rsid w:val="71082E7E"/>
    <w:rsid w:val="7178734D"/>
    <w:rsid w:val="71791096"/>
    <w:rsid w:val="717B0C34"/>
    <w:rsid w:val="71FB78FD"/>
    <w:rsid w:val="7275064A"/>
    <w:rsid w:val="733F750B"/>
    <w:rsid w:val="735702E2"/>
    <w:rsid w:val="75D87BBA"/>
    <w:rsid w:val="765F635A"/>
    <w:rsid w:val="76B73454"/>
    <w:rsid w:val="76D254BD"/>
    <w:rsid w:val="77727ACD"/>
    <w:rsid w:val="78071142"/>
    <w:rsid w:val="79296B37"/>
    <w:rsid w:val="7A4C4C40"/>
    <w:rsid w:val="7AA0518E"/>
    <w:rsid w:val="7B041636"/>
    <w:rsid w:val="7BEF56AD"/>
    <w:rsid w:val="7CA86749"/>
    <w:rsid w:val="7EC92370"/>
    <w:rsid w:val="7F2238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unhideWhenUsed/>
    <w:qFormat/>
    <w:uiPriority w:val="1"/>
  </w:style>
  <w:style w:type="table" w:default="1" w:styleId="10">
    <w:name w:val="Normal Table"/>
    <w:unhideWhenUsed/>
    <w:qFormat/>
    <w:uiPriority w:val="99"/>
    <w:tblPr>
      <w:tblLayout w:type="fixed"/>
      <w:tblCellMar>
        <w:top w:w="0" w:type="dxa"/>
        <w:left w:w="108" w:type="dxa"/>
        <w:bottom w:w="0" w:type="dxa"/>
        <w:right w:w="108" w:type="dxa"/>
      </w:tblCellMar>
    </w:tblPr>
  </w:style>
  <w:style w:type="paragraph" w:styleId="2">
    <w:name w:val="annotation subject"/>
    <w:basedOn w:val="3"/>
    <w:next w:val="3"/>
    <w:link w:val="13"/>
    <w:unhideWhenUsed/>
    <w:qFormat/>
    <w:uiPriority w:val="99"/>
    <w:rPr>
      <w:b/>
      <w:bCs/>
    </w:rPr>
  </w:style>
  <w:style w:type="paragraph" w:styleId="3">
    <w:name w:val="annotation text"/>
    <w:basedOn w:val="1"/>
    <w:link w:val="12"/>
    <w:unhideWhenUsed/>
    <w:qFormat/>
    <w:uiPriority w:val="99"/>
    <w:pPr>
      <w:jc w:val="left"/>
    </w:pPr>
  </w:style>
  <w:style w:type="paragraph" w:styleId="4">
    <w:name w:val="Balloon Text"/>
    <w:basedOn w:val="1"/>
    <w:link w:val="14"/>
    <w:unhideWhenUsed/>
    <w:qFormat/>
    <w:uiPriority w:val="99"/>
    <w:rPr>
      <w:sz w:val="18"/>
      <w:szCs w:val="18"/>
    </w:rPr>
  </w:style>
  <w:style w:type="paragraph" w:styleId="5">
    <w:name w:val="footer"/>
    <w:basedOn w:val="1"/>
    <w:link w:val="11"/>
    <w:qFormat/>
    <w:uiPriority w:val="0"/>
    <w:pPr>
      <w:tabs>
        <w:tab w:val="center" w:pos="4153"/>
        <w:tab w:val="right" w:pos="8306"/>
      </w:tabs>
      <w:snapToGrid w:val="0"/>
      <w:jc w:val="left"/>
    </w:pPr>
    <w:rPr>
      <w:rFonts w:eastAsia="黑体"/>
      <w:snapToGrid w:val="0"/>
      <w:kern w:val="0"/>
      <w:sz w:val="18"/>
      <w:szCs w:val="18"/>
    </w:rPr>
  </w:style>
  <w:style w:type="paragraph" w:styleId="6">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character" w:styleId="8">
    <w:name w:val="page number"/>
    <w:basedOn w:val="7"/>
    <w:qFormat/>
    <w:uiPriority w:val="0"/>
  </w:style>
  <w:style w:type="character" w:styleId="9">
    <w:name w:val="annotation reference"/>
    <w:basedOn w:val="7"/>
    <w:unhideWhenUsed/>
    <w:qFormat/>
    <w:uiPriority w:val="99"/>
    <w:rPr>
      <w:sz w:val="21"/>
      <w:szCs w:val="21"/>
    </w:rPr>
  </w:style>
  <w:style w:type="character" w:customStyle="1" w:styleId="11">
    <w:name w:val="页脚 Char"/>
    <w:basedOn w:val="7"/>
    <w:link w:val="5"/>
    <w:qFormat/>
    <w:uiPriority w:val="0"/>
    <w:rPr>
      <w:rFonts w:ascii="Times New Roman" w:hAnsi="Times New Roman" w:eastAsia="黑体" w:cs="Times New Roman"/>
      <w:snapToGrid w:val="0"/>
      <w:kern w:val="0"/>
      <w:sz w:val="18"/>
      <w:szCs w:val="18"/>
    </w:rPr>
  </w:style>
  <w:style w:type="character" w:customStyle="1" w:styleId="12">
    <w:name w:val="批注文字 Char"/>
    <w:basedOn w:val="7"/>
    <w:link w:val="3"/>
    <w:semiHidden/>
    <w:qFormat/>
    <w:uiPriority w:val="99"/>
    <w:rPr>
      <w:rFonts w:ascii="Times New Roman" w:hAnsi="Times New Roman" w:eastAsia="宋体" w:cs="Times New Roman"/>
      <w:szCs w:val="24"/>
    </w:rPr>
  </w:style>
  <w:style w:type="character" w:customStyle="1" w:styleId="13">
    <w:name w:val="批注主题 Char"/>
    <w:basedOn w:val="12"/>
    <w:link w:val="2"/>
    <w:semiHidden/>
    <w:qFormat/>
    <w:uiPriority w:val="99"/>
    <w:rPr>
      <w:rFonts w:ascii="Times New Roman" w:hAnsi="Times New Roman" w:eastAsia="宋体" w:cs="Times New Roman"/>
      <w:b/>
      <w:bCs/>
      <w:szCs w:val="24"/>
    </w:rPr>
  </w:style>
  <w:style w:type="character" w:customStyle="1" w:styleId="14">
    <w:name w:val="批注框文本 Char"/>
    <w:basedOn w:val="7"/>
    <w:link w:val="4"/>
    <w:semiHidden/>
    <w:qFormat/>
    <w:uiPriority w:val="99"/>
    <w:rPr>
      <w:rFonts w:ascii="Times New Roman" w:hAnsi="Times New Roman" w:eastAsia="宋体" w:cs="Times New Roman"/>
      <w:sz w:val="18"/>
      <w:szCs w:val="18"/>
    </w:rPr>
  </w:style>
  <w:style w:type="character" w:customStyle="1" w:styleId="15">
    <w:name w:val="页眉 Char"/>
    <w:basedOn w:val="7"/>
    <w:link w:val="6"/>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1150</Words>
  <Characters>6561</Characters>
  <Lines>54</Lines>
  <Paragraphs>15</Paragraphs>
  <TotalTime>0</TotalTime>
  <ScaleCrop>false</ScaleCrop>
  <LinksUpToDate>false</LinksUpToDate>
  <CharactersWithSpaces>7696</CharactersWithSpaces>
  <Application>WPS Office_10.1.0.7400_F1E327BC-269C-435d-A152-05C5408002CA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2019-05-30T09:42:00Z</dcterms:created>
  <dc:creator>Administrator</dc:creator>
  <cp:lastModifiedBy>Lenovo</cp:lastModifiedBy>
  <dcterms:modified xsi:type="dcterms:W3CDTF">2020-04-05T05:27:30Z</dcterms:modified>
  <cp:revision>811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