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2018年度新疆喀什地区塔什库尔干县人民武装部部门决算公开说明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1、武装部负责本地区民兵、预备役工作，领导区域内人民武装工作。</w:t>
      </w:r>
      <w:r>
        <w:rPr>
          <w:rFonts w:hint="eastAsia" w:ascii="仿宋_GB2312" w:eastAsia="仿宋_GB2312"/>
          <w:sz w:val="32"/>
          <w:szCs w:val="32"/>
        </w:rPr>
        <w:br w:type="textWrapping"/>
      </w:r>
      <w:r>
        <w:rPr>
          <w:rFonts w:hint="eastAsia" w:ascii="仿宋_GB2312" w:eastAsia="仿宋_GB2312"/>
          <w:sz w:val="32"/>
          <w:szCs w:val="32"/>
        </w:rPr>
        <w:t>2、领导本地区的民兵组织建设、政治教育和、军事训练、武器装备管理。</w:t>
      </w:r>
      <w:r>
        <w:rPr>
          <w:rFonts w:hint="eastAsia" w:ascii="仿宋_GB2312" w:eastAsia="仿宋_GB2312"/>
          <w:sz w:val="32"/>
          <w:szCs w:val="32"/>
        </w:rPr>
        <w:br w:type="textWrapping"/>
      </w:r>
      <w:r>
        <w:rPr>
          <w:rFonts w:hint="eastAsia" w:ascii="仿宋_GB2312" w:eastAsia="仿宋_GB2312"/>
          <w:sz w:val="32"/>
          <w:szCs w:val="32"/>
        </w:rPr>
        <w:t>3、开展全民国防教育，做好拥军优属和拥政爱民的工作，组织民兵参加三个文明建设。</w:t>
      </w:r>
      <w:r>
        <w:rPr>
          <w:rFonts w:hint="eastAsia" w:ascii="仿宋_GB2312" w:eastAsia="仿宋_GB2312"/>
          <w:sz w:val="32"/>
          <w:szCs w:val="32"/>
        </w:rPr>
        <w:br w:type="textWrapping"/>
      </w:r>
      <w:r>
        <w:rPr>
          <w:rFonts w:hint="eastAsia" w:ascii="仿宋_GB2312" w:eastAsia="仿宋_GB2312"/>
          <w:sz w:val="32"/>
          <w:szCs w:val="32"/>
        </w:rPr>
        <w:t>4、组织带领民兵完成战备执勤、防汛、抢险、救灾等任务，配合公安部门维护社会治安。</w:t>
      </w:r>
      <w:r>
        <w:rPr>
          <w:rFonts w:hint="eastAsia" w:ascii="仿宋_GB2312" w:eastAsia="仿宋_GB2312"/>
          <w:sz w:val="32"/>
          <w:szCs w:val="32"/>
        </w:rPr>
        <w:br w:type="textWrapping"/>
      </w:r>
      <w:r>
        <w:rPr>
          <w:rFonts w:hint="eastAsia" w:ascii="仿宋_GB2312" w:eastAsia="仿宋_GB2312"/>
          <w:sz w:val="32"/>
          <w:szCs w:val="32"/>
        </w:rPr>
        <w:t>5、负责民兵和预备役人员登记、统计工作，保质保量完成征兵任务。</w:t>
      </w:r>
      <w:r>
        <w:rPr>
          <w:rFonts w:hint="eastAsia" w:ascii="仿宋_GB2312" w:eastAsia="仿宋_GB2312"/>
          <w:sz w:val="32"/>
          <w:szCs w:val="32"/>
        </w:rPr>
        <w:br w:type="textWrapping"/>
      </w:r>
      <w:r>
        <w:rPr>
          <w:rFonts w:hint="eastAsia" w:ascii="仿宋_GB2312" w:eastAsia="仿宋_GB2312"/>
          <w:sz w:val="32"/>
          <w:szCs w:val="32"/>
        </w:rPr>
        <w:t>6、负责国防动员工作，战时负责组织动员民兵参军参战，支援前线、保卫后方和协助组织人口疏散等工作。</w:t>
      </w:r>
      <w:r>
        <w:rPr>
          <w:rFonts w:hint="eastAsia" w:ascii="仿宋_GB2312" w:eastAsia="仿宋_GB2312"/>
          <w:sz w:val="32"/>
          <w:szCs w:val="32"/>
        </w:rPr>
        <w:br w:type="textWrapping"/>
      </w:r>
      <w:r>
        <w:rPr>
          <w:rFonts w:hint="eastAsia" w:ascii="仿宋_GB2312" w:eastAsia="仿宋_GB2312"/>
          <w:sz w:val="32"/>
          <w:szCs w:val="32"/>
        </w:rPr>
        <w:t>7、加强自身正规化建设，建立良好的战备、工作、学习和生活秩序。</w:t>
      </w:r>
      <w:r>
        <w:rPr>
          <w:rFonts w:hint="eastAsia" w:ascii="仿宋_GB2312" w:eastAsia="仿宋_GB2312"/>
          <w:sz w:val="32"/>
          <w:szCs w:val="32"/>
        </w:rPr>
        <w:br w:type="textWrapping"/>
      </w:r>
      <w:r>
        <w:rPr>
          <w:rFonts w:hint="eastAsia" w:ascii="仿宋_GB2312" w:eastAsia="仿宋_GB2312"/>
          <w:sz w:val="32"/>
          <w:szCs w:val="32"/>
        </w:rPr>
        <w:t>8、协助有关部门开展国防教育，做好退伍军人的安置和烈军属的优抚工作。</w:t>
      </w:r>
      <w:r>
        <w:rPr>
          <w:rFonts w:hint="eastAsia" w:ascii="仿宋_GB2312" w:eastAsia="仿宋_GB2312"/>
          <w:sz w:val="32"/>
          <w:szCs w:val="32"/>
        </w:rPr>
        <w:br w:type="textWrapping"/>
      </w:r>
      <w:r>
        <w:rPr>
          <w:rFonts w:hint="eastAsia" w:ascii="仿宋_GB2312" w:eastAsia="仿宋_GB2312"/>
          <w:sz w:val="32"/>
          <w:szCs w:val="32"/>
        </w:rPr>
        <w:t>9、协助军队做好本区域的军事设施保护工作。</w:t>
      </w:r>
      <w:r>
        <w:rPr>
          <w:rFonts w:hint="eastAsia" w:ascii="仿宋_GB2312" w:eastAsia="仿宋_GB2312"/>
          <w:sz w:val="32"/>
          <w:szCs w:val="32"/>
        </w:rPr>
        <w:br w:type="textWrapping"/>
      </w:r>
      <w:r>
        <w:rPr>
          <w:rFonts w:hint="eastAsia" w:ascii="仿宋_GB2312" w:eastAsia="仿宋_GB2312"/>
          <w:sz w:val="32"/>
          <w:szCs w:val="32"/>
        </w:rPr>
        <w:t>10、完成地方党委、人民政府和上级军事机关交给的其他工作任务。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新疆喀什地区塔什库尔干县人民武装部</w:t>
      </w:r>
      <w:r>
        <w:rPr>
          <w:rFonts w:hint="eastAsia" w:ascii="仿宋_GB2312" w:eastAsia="仿宋_GB2312"/>
          <w:sz w:val="32"/>
          <w:szCs w:val="32"/>
        </w:rPr>
        <w:t>部门决算包括：</w:t>
      </w:r>
      <w:r>
        <w:rPr>
          <w:rFonts w:ascii="仿宋_GB2312" w:eastAsia="仿宋_GB2312"/>
          <w:sz w:val="32"/>
          <w:szCs w:val="32"/>
        </w:rPr>
        <w:t>新疆喀什地区塔什库尔干县人民武装部</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新疆喀什地区塔什库尔干县人民武装部</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新疆喀什地区塔什库尔干县人民武装部</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103.26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，与上年相比，增加4.77万元，增长4.84%，增加的主要原因是：</w:t>
      </w:r>
      <w:r>
        <w:rPr>
          <w:rFonts w:hint="eastAsia" w:ascii="仿宋_GB2312" w:eastAsia="仿宋_GB2312"/>
          <w:color w:val="000000" w:themeColor="text1"/>
          <w:sz w:val="32"/>
          <w:szCs w:val="32"/>
        </w:rPr>
        <w:t>政策性工资调整</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其中基本工资上调，艰苦边远津贴调增，高海拔地区工龄工资上调及补发导致本年决算数较上年增加；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103.26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，与上年相比，增加4.77万元，增长4.84%，增加的主要原因是：</w:t>
      </w:r>
      <w:r>
        <w:rPr>
          <w:rFonts w:hint="eastAsia" w:ascii="仿宋_GB2312" w:eastAsia="仿宋_GB2312"/>
          <w:color w:val="000000" w:themeColor="text1"/>
          <w:sz w:val="32"/>
          <w:szCs w:val="32"/>
        </w:rPr>
        <w:t>政策性工资调整</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其中基本工资上调，艰苦边远津贴调增，高海拔地区工龄工资上调及补发导致本年决算数较上年增加；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103.26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103.26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况：本年收入年初预算数93.15万元</w:t>
      </w:r>
      <w:r>
        <w:rPr>
          <w:rFonts w:hint="eastAsia" w:ascii="仿宋_GB2312" w:eastAsia="仿宋_GB2312"/>
          <w:sz w:val="32"/>
          <w:szCs w:val="32"/>
        </w:rPr>
        <w:t>，决算数103.26万元</w:t>
      </w:r>
      <w:r>
        <w:rPr>
          <w:rFonts w:ascii="仿宋_GB2312" w:eastAsia="仿宋_GB2312"/>
          <w:sz w:val="32"/>
          <w:szCs w:val="32"/>
        </w:rPr>
        <w:t>，预决算差异率10.85%，差异主要原因是政策性工资调整</w:t>
      </w:r>
      <w:r>
        <w:rPr>
          <w:rFonts w:hint="eastAsia" w:ascii="仿宋_GB2312" w:eastAsia="仿宋_GB2312"/>
          <w:sz w:val="32"/>
          <w:szCs w:val="32"/>
          <w:lang w:eastAsia="zh-CN"/>
        </w:rPr>
        <w:t>，</w:t>
      </w:r>
      <w:r>
        <w:rPr>
          <w:rFonts w:ascii="仿宋_GB2312" w:eastAsia="仿宋_GB2312"/>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sz w:val="32"/>
          <w:szCs w:val="32"/>
        </w:rPr>
        <w:t>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103.26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103.26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与年初预算数相比情况：本年支出年初预算数93.15万元，</w:t>
      </w:r>
      <w:r>
        <w:rPr>
          <w:rFonts w:hint="eastAsia" w:ascii="仿宋_GB2312" w:eastAsia="仿宋_GB2312"/>
          <w:sz w:val="32"/>
          <w:szCs w:val="32"/>
        </w:rPr>
        <w:t>决算数103.26万元</w:t>
      </w:r>
      <w:r>
        <w:rPr>
          <w:rFonts w:ascii="仿宋_GB2312" w:eastAsia="仿宋_GB2312"/>
          <w:sz w:val="32"/>
          <w:szCs w:val="32"/>
        </w:rPr>
        <w:t>，预决算差异率10.85%，差异主要原因是政策性工资调整</w:t>
      </w:r>
      <w:r>
        <w:rPr>
          <w:rFonts w:hint="eastAsia" w:ascii="仿宋_GB2312" w:eastAsia="仿宋_GB2312"/>
          <w:sz w:val="32"/>
          <w:szCs w:val="32"/>
          <w:lang w:eastAsia="zh-CN"/>
        </w:rPr>
        <w:t>，</w:t>
      </w:r>
      <w:r>
        <w:rPr>
          <w:rFonts w:ascii="仿宋_GB2312" w:eastAsia="仿宋_GB2312"/>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sz w:val="32"/>
          <w:szCs w:val="32"/>
        </w:rPr>
        <w:t>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103.26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，与上年相比，增加4.77万元，增长4.84%，增加的主要原因是：政策性工资调整</w:t>
      </w:r>
      <w:r>
        <w:rPr>
          <w:rFonts w:hint="eastAsia" w:ascii="仿宋_GB2312" w:eastAsia="仿宋_GB2312"/>
          <w:sz w:val="32"/>
          <w:szCs w:val="32"/>
          <w:lang w:eastAsia="zh-CN"/>
        </w:rPr>
        <w:t>，</w:t>
      </w:r>
      <w:r>
        <w:rPr>
          <w:rFonts w:hint="eastAsia" w:ascii="仿宋_GB2312" w:eastAsia="仿宋_GB2312"/>
          <w:sz w:val="32"/>
          <w:szCs w:val="32"/>
        </w:rPr>
        <w:t>其中基本工资上调，艰苦边远津贴调增，高海拔地区工龄工资上调及补发导致本年决算数较上年增加。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103.26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，与上年相比，增加4.77万元，增长4.84%，增加的主要原因是：</w:t>
      </w:r>
      <w:r>
        <w:rPr>
          <w:rFonts w:ascii="仿宋_GB2312" w:eastAsia="仿宋_GB2312"/>
          <w:sz w:val="32"/>
          <w:szCs w:val="32"/>
        </w:rPr>
        <w:t>政策性工资调整</w:t>
      </w:r>
      <w:r>
        <w:rPr>
          <w:rFonts w:hint="eastAsia" w:ascii="仿宋_GB2312" w:eastAsia="仿宋_GB2312"/>
          <w:sz w:val="32"/>
          <w:szCs w:val="32"/>
          <w:lang w:eastAsia="zh-CN"/>
        </w:rPr>
        <w:t>，</w:t>
      </w:r>
      <w:r>
        <w:rPr>
          <w:rFonts w:ascii="仿宋_GB2312" w:eastAsia="仿宋_GB2312"/>
          <w:sz w:val="32"/>
          <w:szCs w:val="32"/>
        </w:rPr>
        <w:t>其中基本工资上调，艰苦边远津贴调增，高海拔地区工龄工资上调及补发导致本年决算数较上年增加。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103.26</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93.15</w:t>
      </w:r>
      <w:r>
        <w:rPr>
          <w:rFonts w:hint="eastAsia" w:ascii="仿宋_GB2312" w:eastAsia="仿宋_GB2312"/>
          <w:color w:val="000000" w:themeColor="text1"/>
          <w:sz w:val="32"/>
          <w:szCs w:val="32"/>
        </w:rPr>
        <w:t>万元，决算数</w:t>
      </w:r>
      <w:r>
        <w:rPr>
          <w:rFonts w:hint="eastAsia" w:ascii="仿宋_GB2312" w:eastAsia="仿宋_GB2312"/>
          <w:sz w:val="32"/>
          <w:szCs w:val="32"/>
        </w:rPr>
        <w:t>103.26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，预决算差异率10.85%，差异主要原因是政策性工资调整</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color w:val="000000" w:themeColor="text1"/>
          <w:sz w:val="32"/>
          <w:szCs w:val="32"/>
        </w:rPr>
        <w:t>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93.15</w:t>
      </w:r>
      <w:r>
        <w:rPr>
          <w:rFonts w:hint="eastAsia" w:ascii="仿宋_GB2312" w:eastAsia="仿宋_GB2312"/>
          <w:color w:val="000000" w:themeColor="text1"/>
          <w:sz w:val="32"/>
          <w:szCs w:val="32"/>
        </w:rPr>
        <w:t>万元，决算数</w:t>
      </w:r>
      <w:r>
        <w:rPr>
          <w:rFonts w:hint="eastAsia" w:ascii="仿宋_GB2312" w:eastAsia="仿宋_GB2312"/>
          <w:sz w:val="32"/>
          <w:szCs w:val="32"/>
        </w:rPr>
        <w:t>103.26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，预决算差异率10.85%，差异主要原因是政策性工资调整</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color w:val="000000" w:themeColor="text1"/>
          <w:sz w:val="32"/>
          <w:szCs w:val="32"/>
        </w:rPr>
        <w:t>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103.26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，与上年相比，增加4.77万元，增长4.84%，增加的主要原因是：政策性工资调整</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其中基本工资上调，艰苦边远津贴调增，高海拔地区工龄工资上调及补发导致本年决算数较上年增加。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103.26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，与上年相比，增加4.77万元，增长4.84%，增加的主要原因是：政策性工资调整</w:t>
      </w:r>
      <w:r>
        <w:rPr>
          <w:rFonts w:hint="eastAsia" w:ascii="仿宋_GB2312" w:eastAsia="仿宋_GB2312"/>
          <w:sz w:val="32"/>
          <w:szCs w:val="32"/>
          <w:lang w:eastAsia="zh-CN"/>
        </w:rPr>
        <w:t>，</w:t>
      </w:r>
      <w:r>
        <w:rPr>
          <w:rFonts w:hint="eastAsia" w:ascii="仿宋_GB2312" w:eastAsia="仿宋_GB2312"/>
          <w:sz w:val="32"/>
          <w:szCs w:val="32"/>
        </w:rPr>
        <w:t>其中基本工资上调，艰苦边远津贴调增，高海拔地区工龄工资上调及补发导致本年决算数较上年增加。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住房保障支出6.28万元,一般公共服务支出87.65万元,社会保障和就业支出9.33万元。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工资福利支出103.26万元。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93.15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103.26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，预决算差异率10.85%，差异主要原因是政策性工资调整</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color w:val="000000" w:themeColor="text1"/>
          <w:sz w:val="32"/>
          <w:szCs w:val="32"/>
        </w:rPr>
        <w:t>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93.15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103.26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，预决算差异率10.85%，差异主要原因是政策性工资调整</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其中基本工资上调，艰苦边远津贴调增，高海拔地区工龄工资上调及补发导致本年决算数较</w:t>
      </w:r>
      <w:r>
        <w:rPr>
          <w:rFonts w:hint="eastAsia" w:ascii="仿宋_GB2312" w:eastAsia="仿宋_GB2312"/>
          <w:sz w:val="32"/>
          <w:szCs w:val="32"/>
          <w:lang w:val="en-US" w:eastAsia="zh-CN"/>
        </w:rPr>
        <w:t>预算数</w:t>
      </w:r>
      <w:r>
        <w:rPr>
          <w:rFonts w:ascii="仿宋_GB2312" w:eastAsia="仿宋_GB2312"/>
          <w:color w:val="000000" w:themeColor="text1"/>
          <w:sz w:val="32"/>
          <w:szCs w:val="32"/>
        </w:rPr>
        <w:t>增加。</w:t>
      </w:r>
      <w:bookmarkEnd w:id="43"/>
      <w:bookmarkStart w:id="83" w:name="_GoBack"/>
      <w:bookmarkEnd w:id="8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sz w:val="32"/>
          <w:szCs w:val="32"/>
        </w:rPr>
      </w:pPr>
      <w:bookmarkStart w:id="56" w:name="OLE_LINK79"/>
      <w:bookmarkStart w:id="57" w:name="OLE_LINK80"/>
      <w:r>
        <w:rPr>
          <w:rFonts w:hint="eastAsia" w:ascii="仿宋_GB2312" w:eastAsia="仿宋_GB2312"/>
          <w:color w:val="000000"/>
          <w:sz w:val="32"/>
          <w:szCs w:val="32"/>
        </w:rPr>
        <w:t>2018年度一般公共预算“三公”经费支出决算</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本单位无</w:t>
      </w:r>
      <w:r>
        <w:rPr>
          <w:rFonts w:hint="eastAsia" w:ascii="仿宋_GB2312" w:eastAsia="仿宋_GB2312"/>
          <w:color w:val="000000"/>
          <w:sz w:val="32"/>
          <w:szCs w:val="32"/>
        </w:rPr>
        <w:t>“三公”经费支出</w:t>
      </w:r>
      <w:r>
        <w:rPr>
          <w:rFonts w:hint="eastAsia" w:ascii="仿宋_GB2312" w:eastAsia="仿宋_GB2312"/>
          <w:sz w:val="32"/>
          <w:szCs w:val="32"/>
        </w:rPr>
        <w:t>。</w:t>
      </w:r>
      <w:r>
        <w:rPr>
          <w:rFonts w:hint="eastAsia" w:ascii="仿宋_GB2312" w:eastAsia="仿宋_GB2312"/>
          <w:color w:val="000000"/>
          <w:sz w:val="32"/>
          <w:szCs w:val="32"/>
        </w:rPr>
        <w:t>其中，因公出国（境）费支出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r>
        <w:rPr>
          <w:rFonts w:hint="eastAsia" w:ascii="仿宋_GB2312" w:eastAsia="仿宋_GB2312"/>
          <w:color w:val="000000"/>
          <w:sz w:val="32"/>
          <w:szCs w:val="32"/>
        </w:rPr>
        <w:t>公务用车购置及运行维护费支出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val="en-US"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的主要原因是：本单位无公务用车购置及维护</w:t>
      </w:r>
      <w:r>
        <w:rPr>
          <w:rFonts w:hint="eastAsia" w:ascii="仿宋_GB2312" w:eastAsia="仿宋_GB2312"/>
          <w:color w:val="000000"/>
          <w:sz w:val="32"/>
          <w:szCs w:val="32"/>
        </w:rPr>
        <w:t>费</w:t>
      </w:r>
      <w:r>
        <w:rPr>
          <w:rFonts w:hint="eastAsia" w:ascii="仿宋_GB2312" w:eastAsia="仿宋_GB2312"/>
          <w:sz w:val="32"/>
          <w:szCs w:val="32"/>
        </w:rPr>
        <w:t>支出；</w:t>
      </w:r>
      <w:r>
        <w:rPr>
          <w:rFonts w:hint="eastAsia" w:ascii="仿宋_GB2312" w:eastAsia="仿宋_GB2312"/>
          <w:color w:val="000000"/>
          <w:sz w:val="32"/>
          <w:szCs w:val="32"/>
        </w:rPr>
        <w:t>公务接待费支出</w:t>
      </w:r>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新疆喀什地区塔什库尔干县人民武装部</w:t>
      </w:r>
      <w:r>
        <w:rPr>
          <w:rFonts w:hint="eastAsia" w:ascii="仿宋_GB2312" w:eastAsia="仿宋_GB2312"/>
          <w:color w:val="000000" w:themeColor="text1"/>
          <w:sz w:val="32"/>
          <w:szCs w:val="32"/>
        </w:rPr>
        <w:t>单位</w:t>
      </w:r>
      <w:bookmarkStart w:id="58" w:name="OLE_LINK33"/>
      <w:r>
        <w:rPr>
          <w:rFonts w:hint="eastAsia" w:ascii="仿宋_GB2312" w:eastAsia="仿宋_GB2312"/>
          <w:color w:val="000000" w:themeColor="text1"/>
          <w:sz w:val="32"/>
          <w:szCs w:val="32"/>
        </w:rPr>
        <w:t>全年</w:t>
      </w:r>
      <w:bookmarkStart w:id="59" w:name="OLE_LINK35"/>
      <w:bookmarkStart w:id="60" w:name="OLE_LINK34"/>
      <w:bookmarkStart w:id="61" w:name="OLE_LINK36"/>
      <w:r>
        <w:rPr>
          <w:rFonts w:hint="eastAsia" w:ascii="仿宋_GB2312" w:eastAsia="仿宋_GB2312"/>
          <w:color w:val="000000" w:themeColor="text1"/>
          <w:sz w:val="32"/>
          <w:szCs w:val="32"/>
        </w:rPr>
        <w:t>使用一般公共预算财政拨款安排的出国（境）团组</w:t>
      </w:r>
      <w:bookmarkEnd w:id="58"/>
      <w:bookmarkEnd w:id="59"/>
      <w:bookmarkEnd w:id="60"/>
      <w:r>
        <w:rPr>
          <w:rFonts w:hint="eastAsia" w:ascii="仿宋_GB2312" w:eastAsia="仿宋_GB2312"/>
          <w:sz w:val="32"/>
          <w:szCs w:val="32"/>
        </w:rPr>
        <w:t>0</w:t>
      </w:r>
      <w:r>
        <w:rPr>
          <w:rFonts w:hint="eastAsia" w:ascii="仿宋_GB2312" w:eastAsia="仿宋_GB2312"/>
          <w:color w:val="000000" w:themeColor="text1"/>
          <w:sz w:val="32"/>
          <w:szCs w:val="32"/>
        </w:rPr>
        <w:t>个</w:t>
      </w:r>
      <w:bookmarkEnd w:id="61"/>
      <w:r>
        <w:rPr>
          <w:rFonts w:hint="eastAsia" w:ascii="仿宋_GB2312" w:eastAsia="仿宋_GB2312"/>
          <w:color w:val="000000" w:themeColor="text1"/>
          <w:sz w:val="32"/>
          <w:szCs w:val="32"/>
        </w:rPr>
        <w:t>，</w:t>
      </w:r>
      <w:bookmarkStart w:id="62"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2"/>
      <w:r>
        <w:rPr>
          <w:rFonts w:hint="eastAsia" w:ascii="仿宋_GB2312" w:eastAsia="仿宋_GB2312"/>
          <w:color w:val="000000" w:themeColor="text1"/>
          <w:sz w:val="32"/>
          <w:szCs w:val="32"/>
        </w:rPr>
        <w:t>。</w:t>
      </w:r>
      <w:bookmarkStart w:id="63"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6"/>
      <w:bookmarkEnd w:id="57"/>
      <w:bookmarkEnd w:id="63"/>
    </w:p>
    <w:p>
      <w:pPr>
        <w:spacing w:line="540" w:lineRule="exact"/>
        <w:ind w:firstLine="640" w:firstLineChars="200"/>
        <w:rPr>
          <w:rFonts w:ascii="仿宋_GB2312" w:eastAsia="仿宋_GB2312"/>
          <w:color w:val="000000" w:themeColor="text1"/>
          <w:sz w:val="32"/>
          <w:szCs w:val="32"/>
        </w:rPr>
      </w:pPr>
      <w:bookmarkStart w:id="64"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5"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5"/>
      <w:r>
        <w:rPr>
          <w:rFonts w:hint="eastAsia" w:ascii="仿宋_GB2312" w:eastAsia="仿宋_GB2312"/>
          <w:color w:val="000000" w:themeColor="text1"/>
          <w:sz w:val="32"/>
          <w:szCs w:val="32"/>
        </w:rPr>
        <w:t>，</w:t>
      </w:r>
      <w:bookmarkStart w:id="66" w:name="OLE_LINK40"/>
      <w:bookmarkStart w:id="67"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6"/>
      <w:bookmarkEnd w:id="67"/>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本单位无公务用车购置及运行维护费支出</w:t>
      </w:r>
      <w:r>
        <w:rPr>
          <w:rFonts w:hint="eastAsia" w:ascii="仿宋_GB2312" w:eastAsia="仿宋_GB2312"/>
          <w:color w:val="000000" w:themeColor="text1"/>
          <w:sz w:val="32"/>
          <w:szCs w:val="32"/>
        </w:rPr>
        <w:t>等。</w:t>
      </w:r>
      <w:bookmarkEnd w:id="64"/>
      <w:bookmarkStart w:id="68"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8"/>
    </w:p>
    <w:p>
      <w:pPr>
        <w:spacing w:line="540" w:lineRule="exact"/>
        <w:ind w:firstLine="640" w:firstLineChars="200"/>
        <w:rPr>
          <w:rFonts w:ascii="仿宋_GB2312" w:eastAsia="仿宋_GB2312"/>
          <w:color w:val="000000" w:themeColor="text1"/>
          <w:sz w:val="32"/>
          <w:szCs w:val="32"/>
        </w:rPr>
      </w:pPr>
      <w:bookmarkStart w:id="69"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9"/>
      <w:bookmarkStart w:id="70" w:name="OLE_LINK84"/>
      <w:r>
        <w:rPr>
          <w:rFonts w:hint="eastAsia" w:ascii="仿宋_GB2312" w:eastAsia="仿宋_GB2312"/>
          <w:sz w:val="32"/>
          <w:szCs w:val="32"/>
        </w:rPr>
        <w:t>新疆喀什地区塔什库尔干县人民武装部</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0"/>
    </w:p>
    <w:p>
      <w:pPr>
        <w:spacing w:line="540" w:lineRule="exact"/>
        <w:ind w:firstLine="640" w:firstLineChars="200"/>
        <w:rPr>
          <w:rFonts w:ascii="仿宋_GB2312" w:hAnsi="宋体" w:eastAsia="仿宋_GB2312" w:cs="宋体"/>
          <w:color w:val="000000" w:themeColor="text1"/>
          <w:kern w:val="0"/>
          <w:sz w:val="32"/>
          <w:szCs w:val="32"/>
        </w:rPr>
      </w:pPr>
      <w:bookmarkStart w:id="71"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1"/>
      <w:bookmarkStart w:id="72" w:name="OLE_LINK86"/>
      <w:bookmarkStart w:id="73"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72"/>
      <w:bookmarkEnd w:id="73"/>
      <w:bookmarkStart w:id="74" w:name="OLE_LINK88"/>
      <w:bookmarkStart w:id="75"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4"/>
      <w:bookmarkEnd w:id="75"/>
      <w:bookmarkStart w:id="76"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76"/>
      <w:bookmarkStart w:id="77"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7"/>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新疆喀什地区塔什库尔干县人民武装部日常公用经费0万元，与上年相比，无变化。</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8" w:name="OLE_LINK45"/>
      <w:r>
        <w:rPr>
          <w:rFonts w:hint="eastAsia" w:ascii="仿宋_GB2312" w:eastAsia="仿宋_GB2312"/>
          <w:color w:val="000000" w:themeColor="text1"/>
          <w:sz w:val="32"/>
          <w:szCs w:val="32"/>
        </w:rPr>
        <w:t>政府采购支出总额</w:t>
      </w:r>
      <w:bookmarkEnd w:id="78"/>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9" w:name="OLE_LINK46"/>
      <w:r>
        <w:rPr>
          <w:rFonts w:hint="eastAsia" w:ascii="仿宋_GB2312" w:eastAsia="仿宋_GB2312"/>
          <w:color w:val="000000" w:themeColor="text1"/>
          <w:sz w:val="32"/>
          <w:szCs w:val="32"/>
        </w:rPr>
        <w:t>政府采购货物支出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7"/>
      <w:r>
        <w:rPr>
          <w:rFonts w:hint="eastAsia" w:ascii="仿宋_GB2312" w:eastAsia="仿宋_GB2312"/>
          <w:color w:val="000000" w:themeColor="text1"/>
          <w:sz w:val="32"/>
          <w:szCs w:val="32"/>
        </w:rPr>
        <w:t>政府采购工程支出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8"/>
      <w:r>
        <w:rPr>
          <w:rFonts w:hint="eastAsia" w:ascii="仿宋_GB2312" w:eastAsia="仿宋_GB2312"/>
          <w:color w:val="000000" w:themeColor="text1"/>
          <w:sz w:val="32"/>
          <w:szCs w:val="32"/>
        </w:rPr>
        <w:t>政府采购服务支出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2"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221（类）02（款）01（项）指：住房公积金。201（类）99（款）99（项）指：其他一般公共服务支出。208（类）05（款）05（项）指：机关事业单位基本养老保险缴费支出。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6D53BE"/>
    <w:rsid w:val="028847F9"/>
    <w:rsid w:val="03911476"/>
    <w:rsid w:val="03AA79F6"/>
    <w:rsid w:val="04741FE5"/>
    <w:rsid w:val="04DB02C7"/>
    <w:rsid w:val="05B05EF0"/>
    <w:rsid w:val="06B856EE"/>
    <w:rsid w:val="07FE5938"/>
    <w:rsid w:val="084604BC"/>
    <w:rsid w:val="08883825"/>
    <w:rsid w:val="09725983"/>
    <w:rsid w:val="0A382BB5"/>
    <w:rsid w:val="0A52448A"/>
    <w:rsid w:val="0AA4543A"/>
    <w:rsid w:val="0BE61132"/>
    <w:rsid w:val="0C9B0DD6"/>
    <w:rsid w:val="0CE4791C"/>
    <w:rsid w:val="0E063C64"/>
    <w:rsid w:val="0EB67709"/>
    <w:rsid w:val="0ECE1221"/>
    <w:rsid w:val="0F4C7B96"/>
    <w:rsid w:val="0FFB575E"/>
    <w:rsid w:val="10845F1B"/>
    <w:rsid w:val="11463A00"/>
    <w:rsid w:val="11600918"/>
    <w:rsid w:val="11B0398F"/>
    <w:rsid w:val="13B960C5"/>
    <w:rsid w:val="13E74BF2"/>
    <w:rsid w:val="152777F4"/>
    <w:rsid w:val="15C674B6"/>
    <w:rsid w:val="18D54A0D"/>
    <w:rsid w:val="1A4106A0"/>
    <w:rsid w:val="1A4F5437"/>
    <w:rsid w:val="1AB77CD0"/>
    <w:rsid w:val="1E807156"/>
    <w:rsid w:val="1EA657F6"/>
    <w:rsid w:val="1F097CB6"/>
    <w:rsid w:val="2166156B"/>
    <w:rsid w:val="21B02D83"/>
    <w:rsid w:val="22A236F5"/>
    <w:rsid w:val="22B70639"/>
    <w:rsid w:val="23995975"/>
    <w:rsid w:val="2432220E"/>
    <w:rsid w:val="248303BA"/>
    <w:rsid w:val="24837E47"/>
    <w:rsid w:val="252E01AA"/>
    <w:rsid w:val="253D241F"/>
    <w:rsid w:val="2680023E"/>
    <w:rsid w:val="29680352"/>
    <w:rsid w:val="2A020F75"/>
    <w:rsid w:val="2B007AEE"/>
    <w:rsid w:val="2BC14C56"/>
    <w:rsid w:val="2C1B026F"/>
    <w:rsid w:val="2CC61F55"/>
    <w:rsid w:val="2DCE48E9"/>
    <w:rsid w:val="2EF7452F"/>
    <w:rsid w:val="2F1D13B4"/>
    <w:rsid w:val="2FAA3DA6"/>
    <w:rsid w:val="30682E1F"/>
    <w:rsid w:val="30E210D2"/>
    <w:rsid w:val="311371D6"/>
    <w:rsid w:val="31EB64C9"/>
    <w:rsid w:val="322B044A"/>
    <w:rsid w:val="336D0D6F"/>
    <w:rsid w:val="3490178D"/>
    <w:rsid w:val="352E4BEC"/>
    <w:rsid w:val="37DD5594"/>
    <w:rsid w:val="38F24FA8"/>
    <w:rsid w:val="3A98342A"/>
    <w:rsid w:val="3AB6780E"/>
    <w:rsid w:val="3AD56D70"/>
    <w:rsid w:val="3B2920C2"/>
    <w:rsid w:val="3BE41ABD"/>
    <w:rsid w:val="3C5421A9"/>
    <w:rsid w:val="3D903B21"/>
    <w:rsid w:val="3DA04666"/>
    <w:rsid w:val="3F440741"/>
    <w:rsid w:val="40BA3D33"/>
    <w:rsid w:val="41FC306C"/>
    <w:rsid w:val="44BE5554"/>
    <w:rsid w:val="451E0908"/>
    <w:rsid w:val="452A2640"/>
    <w:rsid w:val="452C2D31"/>
    <w:rsid w:val="45D26E14"/>
    <w:rsid w:val="46A541B1"/>
    <w:rsid w:val="47DA7523"/>
    <w:rsid w:val="48C57772"/>
    <w:rsid w:val="49782886"/>
    <w:rsid w:val="4A6F0D28"/>
    <w:rsid w:val="4AAF085C"/>
    <w:rsid w:val="4AEB7E60"/>
    <w:rsid w:val="4B4B135B"/>
    <w:rsid w:val="4BC7055F"/>
    <w:rsid w:val="4CFC7DB2"/>
    <w:rsid w:val="4E7C187D"/>
    <w:rsid w:val="4FBC3C4B"/>
    <w:rsid w:val="500A5FEE"/>
    <w:rsid w:val="508941AD"/>
    <w:rsid w:val="509162D6"/>
    <w:rsid w:val="50E65530"/>
    <w:rsid w:val="51457139"/>
    <w:rsid w:val="51574DBD"/>
    <w:rsid w:val="51EC1DA8"/>
    <w:rsid w:val="52FC5524"/>
    <w:rsid w:val="532D7A17"/>
    <w:rsid w:val="54AF4562"/>
    <w:rsid w:val="54C9674B"/>
    <w:rsid w:val="556318EA"/>
    <w:rsid w:val="55A60AA1"/>
    <w:rsid w:val="56451615"/>
    <w:rsid w:val="57FC5774"/>
    <w:rsid w:val="59B332C9"/>
    <w:rsid w:val="5A44758A"/>
    <w:rsid w:val="5BC128AA"/>
    <w:rsid w:val="5BEC4BB3"/>
    <w:rsid w:val="5C070B55"/>
    <w:rsid w:val="5CB96DCE"/>
    <w:rsid w:val="5CE61580"/>
    <w:rsid w:val="5D175666"/>
    <w:rsid w:val="5D556A3C"/>
    <w:rsid w:val="5D7B25C9"/>
    <w:rsid w:val="5E6A6BC5"/>
    <w:rsid w:val="5ECB44B4"/>
    <w:rsid w:val="5EE2043C"/>
    <w:rsid w:val="602D2E37"/>
    <w:rsid w:val="61460FBE"/>
    <w:rsid w:val="62775810"/>
    <w:rsid w:val="62D83744"/>
    <w:rsid w:val="630F4048"/>
    <w:rsid w:val="63AA02E5"/>
    <w:rsid w:val="64700DE9"/>
    <w:rsid w:val="65C613BD"/>
    <w:rsid w:val="65FD118C"/>
    <w:rsid w:val="674F41D9"/>
    <w:rsid w:val="682C3D89"/>
    <w:rsid w:val="68611305"/>
    <w:rsid w:val="69ED6E9F"/>
    <w:rsid w:val="6A162DE0"/>
    <w:rsid w:val="6A331428"/>
    <w:rsid w:val="6B2E5CB6"/>
    <w:rsid w:val="6B3D4886"/>
    <w:rsid w:val="6DF8675E"/>
    <w:rsid w:val="6EA80098"/>
    <w:rsid w:val="6F8D70FF"/>
    <w:rsid w:val="6FFE5011"/>
    <w:rsid w:val="708656B2"/>
    <w:rsid w:val="7178734D"/>
    <w:rsid w:val="71791096"/>
    <w:rsid w:val="717B0C34"/>
    <w:rsid w:val="71FB78FD"/>
    <w:rsid w:val="7275064A"/>
    <w:rsid w:val="733F750B"/>
    <w:rsid w:val="735702E2"/>
    <w:rsid w:val="74DC4661"/>
    <w:rsid w:val="765F635A"/>
    <w:rsid w:val="76B73454"/>
    <w:rsid w:val="76D254BD"/>
    <w:rsid w:val="77727ACD"/>
    <w:rsid w:val="78071142"/>
    <w:rsid w:val="79296B37"/>
    <w:rsid w:val="7A4C4C40"/>
    <w:rsid w:val="7AA0518E"/>
    <w:rsid w:val="7B041636"/>
    <w:rsid w:val="7CA86749"/>
    <w:rsid w:val="7EC92370"/>
    <w:rsid w:val="7F2238BD"/>
    <w:rsid w:val="7F8C7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2020-04-05T05:30:41Z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