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2018年度新疆喀什地区塔什库尔干县委组织部部门决算公开说明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1、负责党的组织制度建设。</w:t>
      </w:r>
      <w:r>
        <w:rPr>
          <w:rFonts w:hint="eastAsia" w:ascii="仿宋_GB2312" w:eastAsia="仿宋_GB2312"/>
          <w:sz w:val="32"/>
          <w:szCs w:val="32"/>
        </w:rPr>
        <w:br w:type="textWrapping"/>
      </w:r>
      <w:r>
        <w:rPr>
          <w:rFonts w:hint="eastAsia" w:ascii="仿宋_GB2312" w:eastAsia="仿宋_GB2312"/>
          <w:sz w:val="32"/>
          <w:szCs w:val="32"/>
        </w:rPr>
        <w:t>2、负责基层党组织和党员队伍建设。</w:t>
      </w:r>
      <w:r>
        <w:rPr>
          <w:rFonts w:hint="eastAsia" w:ascii="仿宋_GB2312" w:eastAsia="仿宋_GB2312"/>
          <w:sz w:val="32"/>
          <w:szCs w:val="32"/>
        </w:rPr>
        <w:br w:type="textWrapping"/>
      </w:r>
      <w:r>
        <w:rPr>
          <w:rFonts w:hint="eastAsia" w:ascii="仿宋_GB2312" w:eastAsia="仿宋_GB2312"/>
          <w:sz w:val="32"/>
          <w:szCs w:val="32"/>
        </w:rPr>
        <w:t>3、负责领导班子和领导干部队伍特别是优秀年轻干部队伍建设。</w:t>
      </w:r>
      <w:r>
        <w:rPr>
          <w:rFonts w:hint="eastAsia" w:ascii="仿宋_GB2312" w:eastAsia="仿宋_GB2312"/>
          <w:sz w:val="32"/>
          <w:szCs w:val="32"/>
        </w:rPr>
        <w:br w:type="textWrapping"/>
      </w:r>
      <w:r>
        <w:rPr>
          <w:rFonts w:hint="eastAsia" w:ascii="仿宋_GB2312" w:eastAsia="仿宋_GB2312"/>
          <w:sz w:val="32"/>
          <w:szCs w:val="32"/>
        </w:rPr>
        <w:t>4、负责公务员队伍建设。</w:t>
      </w:r>
      <w:r>
        <w:rPr>
          <w:rFonts w:hint="eastAsia" w:ascii="仿宋_GB2312" w:eastAsia="仿宋_GB2312"/>
          <w:sz w:val="32"/>
          <w:szCs w:val="32"/>
        </w:rPr>
        <w:br w:type="textWrapping"/>
      </w:r>
      <w:r>
        <w:rPr>
          <w:rFonts w:hint="eastAsia" w:ascii="仿宋_GB2312" w:eastAsia="仿宋_GB2312"/>
          <w:sz w:val="32"/>
          <w:szCs w:val="32"/>
        </w:rPr>
        <w:t>5、负责人才工作。</w:t>
      </w:r>
      <w:r>
        <w:rPr>
          <w:rFonts w:hint="eastAsia" w:ascii="仿宋_GB2312" w:eastAsia="仿宋_GB2312"/>
          <w:sz w:val="32"/>
          <w:szCs w:val="32"/>
        </w:rPr>
        <w:br w:type="textWrapping"/>
      </w:r>
      <w:r>
        <w:rPr>
          <w:rFonts w:hint="eastAsia" w:ascii="仿宋_GB2312" w:eastAsia="仿宋_GB2312"/>
          <w:sz w:val="32"/>
          <w:szCs w:val="32"/>
        </w:rPr>
        <w:t>6、负责干部队伍建设宏观指导和干部教育培训、管理监督工作。</w:t>
      </w:r>
      <w:r>
        <w:rPr>
          <w:rFonts w:hint="eastAsia" w:ascii="仿宋_GB2312" w:eastAsia="仿宋_GB2312"/>
          <w:sz w:val="32"/>
          <w:szCs w:val="32"/>
        </w:rPr>
        <w:br w:type="textWrapping"/>
      </w:r>
      <w:r>
        <w:rPr>
          <w:rFonts w:hint="eastAsia" w:ascii="仿宋_GB2312" w:eastAsia="仿宋_GB2312"/>
          <w:sz w:val="32"/>
          <w:szCs w:val="32"/>
        </w:rPr>
        <w:t>7、负责干部人才援疆工作。</w:t>
      </w:r>
      <w:r>
        <w:rPr>
          <w:rFonts w:hint="eastAsia" w:ascii="仿宋_GB2312" w:eastAsia="仿宋_GB2312"/>
          <w:sz w:val="32"/>
          <w:szCs w:val="32"/>
        </w:rPr>
        <w:br w:type="textWrapping"/>
      </w:r>
      <w:r>
        <w:rPr>
          <w:rFonts w:hint="eastAsia" w:ascii="仿宋_GB2312" w:eastAsia="仿宋_GB2312"/>
          <w:sz w:val="32"/>
          <w:szCs w:val="32"/>
        </w:rPr>
        <w:t>8、负责党的建设和组织工作研究。</w:t>
      </w:r>
      <w:r>
        <w:rPr>
          <w:rFonts w:hint="eastAsia" w:ascii="仿宋_GB2312" w:eastAsia="仿宋_GB2312"/>
          <w:sz w:val="32"/>
          <w:szCs w:val="32"/>
        </w:rPr>
        <w:br w:type="textWrapping"/>
      </w:r>
      <w:r>
        <w:rPr>
          <w:rFonts w:hint="eastAsia" w:ascii="仿宋_GB2312" w:eastAsia="仿宋_GB2312"/>
          <w:sz w:val="32"/>
          <w:szCs w:val="32"/>
        </w:rPr>
        <w:t>9、负责老干部服务管理工作。</w:t>
      </w:r>
      <w:r>
        <w:rPr>
          <w:rFonts w:hint="eastAsia" w:ascii="仿宋_GB2312" w:eastAsia="仿宋_GB2312"/>
          <w:sz w:val="32"/>
          <w:szCs w:val="32"/>
        </w:rPr>
        <w:br w:type="textWrapping"/>
      </w:r>
      <w:r>
        <w:rPr>
          <w:rFonts w:hint="eastAsia" w:ascii="仿宋_GB2312" w:eastAsia="仿宋_GB2312"/>
          <w:sz w:val="32"/>
          <w:szCs w:val="32"/>
        </w:rPr>
        <w:t>10、统一管理中共塔什库尔干县塔吉克自治县委员会机构编制委员会办公室和公务员工作，开展中共塔什库尔干塔吉克自治县委员会老干部局相关工作。</w:t>
      </w:r>
      <w:r>
        <w:rPr>
          <w:rFonts w:hint="eastAsia" w:ascii="仿宋_GB2312" w:eastAsia="仿宋_GB2312"/>
          <w:sz w:val="32"/>
          <w:szCs w:val="32"/>
        </w:rPr>
        <w:br w:type="textWrapping"/>
      </w:r>
      <w:r>
        <w:rPr>
          <w:rFonts w:hint="eastAsia" w:ascii="仿宋_GB2312" w:eastAsia="仿宋_GB2312"/>
          <w:sz w:val="32"/>
          <w:szCs w:val="32"/>
        </w:rPr>
        <w:t>11、完成中共塔什库尔干塔吉克自治县委员会交办的其他任务。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新疆喀什地区塔什库尔干县委组织部</w:t>
      </w:r>
      <w:r>
        <w:rPr>
          <w:rFonts w:hint="eastAsia" w:ascii="仿宋_GB2312" w:eastAsia="仿宋_GB2312"/>
          <w:sz w:val="32"/>
          <w:szCs w:val="32"/>
        </w:rPr>
        <w:t>部门决算包括：</w:t>
      </w:r>
      <w:r>
        <w:rPr>
          <w:rFonts w:ascii="仿宋_GB2312" w:eastAsia="仿宋_GB2312"/>
          <w:sz w:val="32"/>
          <w:szCs w:val="32"/>
        </w:rPr>
        <w:t>新疆喀什地区塔什库尔干县委组织部</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新疆喀什地区塔什库尔干县委组织部</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新疆喀什地区塔什库尔干县委组织部</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5,030.91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，与上年相比，增加366.51万元，增长7.86%，增加的主要原因是：</w:t>
      </w:r>
      <w:r>
        <w:rPr>
          <w:rFonts w:hint="eastAsia" w:ascii="仿宋_GB2312" w:eastAsia="仿宋_GB2312"/>
          <w:color w:val="000000" w:themeColor="text1"/>
          <w:sz w:val="32"/>
          <w:szCs w:val="32"/>
        </w:rPr>
        <w:t>一是人员共增加4人；二是政策性调资：其中：基本工资增资，艰苦边远津贴调资，高海拔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工龄工资上调及补发导致本年决算数较上年决算数增加；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5,654.91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，与上年相比，增加1,614.51万元，增长39.96%，增加的主要原因是：</w:t>
      </w:r>
      <w:r>
        <w:rPr>
          <w:rFonts w:hint="eastAsia" w:ascii="仿宋_GB2312" w:eastAsia="仿宋_GB2312"/>
          <w:color w:val="000000" w:themeColor="text1"/>
          <w:sz w:val="32"/>
          <w:szCs w:val="32"/>
        </w:rPr>
        <w:t>一是人员共增加4人；二是政策性调资：其中：基本工资增资，艰苦边远津贴调资，高海拔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工龄工资上调及补发导致本年决算数较上年决算数增加；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，与上年相比，减少624万元，下降100%，减少的主要原因是：</w:t>
      </w:r>
      <w:r>
        <w:rPr>
          <w:rFonts w:ascii="仿宋_GB2312" w:eastAsia="仿宋_GB2312"/>
          <w:color w:val="000000" w:themeColor="text1"/>
          <w:sz w:val="32"/>
          <w:szCs w:val="32"/>
        </w:rPr>
        <w:t>2017年结转624万</w:t>
      </w:r>
      <w:r>
        <w:rPr>
          <w:rFonts w:hint="eastAsia" w:ascii="仿宋_GB2312" w:eastAsia="仿宋_GB2312"/>
          <w:color w:val="000000" w:themeColor="text1"/>
          <w:sz w:val="32"/>
          <w:szCs w:val="32"/>
          <w:lang w:eastAsia="zh-CN"/>
        </w:rPr>
        <w:t>在</w:t>
      </w:r>
      <w:r>
        <w:rPr>
          <w:rFonts w:ascii="仿宋_GB2312" w:eastAsia="仿宋_GB2312"/>
          <w:color w:val="000000" w:themeColor="text1"/>
          <w:sz w:val="32"/>
          <w:szCs w:val="32"/>
        </w:rPr>
        <w:t>2018年已支出</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2018年</w:t>
      </w:r>
      <w:r>
        <w:rPr>
          <w:rFonts w:ascii="仿宋_GB2312" w:eastAsia="仿宋_GB2312"/>
          <w:color w:val="000000" w:themeColor="text1"/>
          <w:sz w:val="32"/>
          <w:szCs w:val="32"/>
        </w:rPr>
        <w:t>无结转</w:t>
      </w:r>
      <w:r>
        <w:rPr>
          <w:rFonts w:hint="eastAsia" w:ascii="仿宋_GB2312" w:eastAsia="仿宋_GB2312"/>
          <w:color w:val="000000" w:themeColor="text1"/>
          <w:sz w:val="32"/>
          <w:szCs w:val="32"/>
          <w:lang w:val="en-US" w:eastAsia="zh-CN"/>
        </w:rPr>
        <w:t>结余资金</w:t>
      </w:r>
      <w:r>
        <w:rPr>
          <w:rFonts w:ascii="仿宋_GB2312" w:eastAsia="仿宋_GB2312"/>
          <w:color w:val="000000" w:themeColor="text1"/>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5,030.91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5,030.91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况：本年收入年初预算数520.35万元</w:t>
      </w:r>
      <w:r>
        <w:rPr>
          <w:rFonts w:hint="eastAsia" w:ascii="仿宋_GB2312" w:eastAsia="仿宋_GB2312"/>
          <w:sz w:val="32"/>
          <w:szCs w:val="32"/>
        </w:rPr>
        <w:t>，决算数5,030.91万元</w:t>
      </w:r>
      <w:r>
        <w:rPr>
          <w:rFonts w:ascii="仿宋_GB2312" w:eastAsia="仿宋_GB2312"/>
          <w:sz w:val="32"/>
          <w:szCs w:val="32"/>
        </w:rPr>
        <w:t>，预决算差异率866.83%，差异主要原因是2018年基层组织建设项目、村民服务中心建设项目、塔什库尔干县乡镇干部周转宿舍建设项目支出未纳入年初预算导致本年决算数比预算数大幅增加。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5,654.91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1,929.59</w:t>
      </w:r>
      <w:r>
        <w:rPr>
          <w:rFonts w:hint="eastAsia" w:ascii="仿宋_GB2312" w:eastAsia="仿宋_GB2312"/>
          <w:color w:val="000000" w:themeColor="text1"/>
          <w:sz w:val="32"/>
          <w:szCs w:val="32"/>
        </w:rPr>
        <w:t>万元，占</w:t>
      </w:r>
      <w:r>
        <w:rPr>
          <w:rFonts w:hint="eastAsia" w:ascii="仿宋_GB2312" w:eastAsia="仿宋_GB2312"/>
          <w:sz w:val="32"/>
          <w:szCs w:val="32"/>
        </w:rPr>
        <w:t>34.12%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3,725.33</w:t>
      </w:r>
      <w:r>
        <w:rPr>
          <w:rFonts w:hint="eastAsia" w:ascii="仿宋_GB2312" w:eastAsia="仿宋_GB2312"/>
          <w:color w:val="000000" w:themeColor="text1"/>
          <w:sz w:val="32"/>
          <w:szCs w:val="32"/>
        </w:rPr>
        <w:t>万元，占</w:t>
      </w:r>
      <w:r>
        <w:rPr>
          <w:rFonts w:hint="eastAsia" w:ascii="仿宋_GB2312" w:eastAsia="仿宋_GB2312"/>
          <w:sz w:val="32"/>
          <w:szCs w:val="32"/>
        </w:rPr>
        <w:t>65.88%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与年初预算数相比情况：本年支出年初预算数520.35万元，</w:t>
      </w:r>
      <w:r>
        <w:rPr>
          <w:rFonts w:hint="eastAsia" w:ascii="仿宋_GB2312" w:eastAsia="仿宋_GB2312"/>
          <w:sz w:val="32"/>
          <w:szCs w:val="32"/>
        </w:rPr>
        <w:t>决算数5,654.91万元</w:t>
      </w:r>
      <w:r>
        <w:rPr>
          <w:rFonts w:ascii="仿宋_GB2312" w:eastAsia="仿宋_GB2312"/>
          <w:sz w:val="32"/>
          <w:szCs w:val="32"/>
        </w:rPr>
        <w:t>，预决算差异率986.75%，差异主要原因是2018年基层组织建设项目、村民服务中心建设项目、塔什库尔干县乡镇干部周转宿舍建设项目支出未纳入年初预算导致本年决算数比预算数大幅增加。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5,030.91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，与上年相比，增加366.51万元，增长7.86%，增加的主要原因是：一是人员共增加4人；二是政策性调资：其中：基本工资增资，艰苦边远津贴调资，高海拔</w:t>
      </w:r>
      <w:r>
        <w:rPr>
          <w:rFonts w:hint="eastAsia" w:ascii="仿宋_GB2312" w:eastAsia="仿宋_GB2312"/>
          <w:sz w:val="32"/>
          <w:szCs w:val="32"/>
          <w:lang w:val="en-US" w:eastAsia="zh-CN"/>
        </w:rPr>
        <w:t>地区</w:t>
      </w:r>
      <w:r>
        <w:rPr>
          <w:rFonts w:hint="eastAsia" w:ascii="仿宋_GB2312" w:eastAsia="仿宋_GB2312"/>
          <w:sz w:val="32"/>
          <w:szCs w:val="32"/>
        </w:rPr>
        <w:t>工龄工资上调及补发导致本年决算数较上年决算数增加。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5,654.91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，与上年相比，增加1,614.51万元，增长39.96%，增加的主要原因是：</w:t>
      </w:r>
      <w:r>
        <w:rPr>
          <w:rFonts w:ascii="仿宋_GB2312" w:eastAsia="仿宋_GB2312"/>
          <w:sz w:val="32"/>
          <w:szCs w:val="32"/>
        </w:rPr>
        <w:t>一是人员共增加4人；二是政策性调资：其中：基本工资增资，艰苦边远津贴调资，高海拔</w:t>
      </w:r>
      <w:r>
        <w:rPr>
          <w:rFonts w:hint="eastAsia" w:ascii="仿宋_GB2312" w:eastAsia="仿宋_GB2312"/>
          <w:sz w:val="32"/>
          <w:szCs w:val="32"/>
          <w:lang w:val="en-US" w:eastAsia="zh-CN"/>
        </w:rPr>
        <w:t>地区</w:t>
      </w:r>
      <w:r>
        <w:rPr>
          <w:rFonts w:ascii="仿宋_GB2312" w:eastAsia="仿宋_GB2312"/>
          <w:sz w:val="32"/>
          <w:szCs w:val="32"/>
        </w:rPr>
        <w:t>工龄工资上调及补发导致本年决算数较上年决算数增加。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1,929.59</w:t>
      </w:r>
      <w:r>
        <w:rPr>
          <w:rFonts w:hint="eastAsia" w:ascii="仿宋_GB2312" w:eastAsia="仿宋_GB2312"/>
          <w:color w:val="000000" w:themeColor="text1"/>
          <w:sz w:val="32"/>
          <w:szCs w:val="32"/>
        </w:rPr>
        <w:t>万元，项目支出</w:t>
      </w:r>
      <w:r>
        <w:rPr>
          <w:rFonts w:hint="eastAsia" w:ascii="仿宋_GB2312" w:eastAsia="仿宋_GB2312"/>
          <w:sz w:val="32"/>
          <w:szCs w:val="32"/>
        </w:rPr>
        <w:t>3,725.33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，与上年相比，减少624万元，下降100%，减少的主要原因是：2017年结转624万，2018年已支出无结转。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520.35</w:t>
      </w:r>
      <w:r>
        <w:rPr>
          <w:rFonts w:hint="eastAsia" w:ascii="仿宋_GB2312" w:eastAsia="仿宋_GB2312"/>
          <w:color w:val="000000" w:themeColor="text1"/>
          <w:sz w:val="32"/>
          <w:szCs w:val="32"/>
        </w:rPr>
        <w:t>万元，决算数</w:t>
      </w:r>
      <w:r>
        <w:rPr>
          <w:rFonts w:hint="eastAsia" w:ascii="仿宋_GB2312" w:eastAsia="仿宋_GB2312"/>
          <w:sz w:val="32"/>
          <w:szCs w:val="32"/>
        </w:rPr>
        <w:t>5,030.91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，预决算差异率866.83%，差异主要原因是2018年基层组织建设项目、村民服务中心建设项目、塔什库尔干县乡镇干部周转宿舍建设项目支出未纳入年初预算导致本年决算数比预算数大幅增加。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520.35</w:t>
      </w:r>
      <w:r>
        <w:rPr>
          <w:rFonts w:hint="eastAsia" w:ascii="仿宋_GB2312" w:eastAsia="仿宋_GB2312"/>
          <w:color w:val="000000" w:themeColor="text1"/>
          <w:sz w:val="32"/>
          <w:szCs w:val="32"/>
        </w:rPr>
        <w:t>万元，决算数</w:t>
      </w:r>
      <w:r>
        <w:rPr>
          <w:rFonts w:hint="eastAsia" w:ascii="仿宋_GB2312" w:eastAsia="仿宋_GB2312"/>
          <w:sz w:val="32"/>
          <w:szCs w:val="32"/>
        </w:rPr>
        <w:t>5,654.91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，预决算差异率986.75%，差异主要原因是2018年基层组织建设项目、村民服务中心建设项目、塔什库尔干县乡镇干部周转宿舍建设项目支出未纳入年初预算导致本年决算数比预算数大幅增加。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5,030.91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，与上年相比，增加366.51万元，增长7.86%，增加的主要原因是：一是人员共增加4人；二是政策性调资：其中：基本工资增资，艰苦边远津贴调资，高海拔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工龄工资上调及补发导致本年决算数较上年决算数增加。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5,654.91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，与上年相比，增加1,614.51万元，增长39.96%，增加的主要原因是：一是人员共增加4人；二是政策性调资：其中：基本工资增资，艰苦边远津贴调资，高海拔</w:t>
      </w:r>
      <w:r>
        <w:rPr>
          <w:rFonts w:hint="eastAsia" w:ascii="仿宋_GB2312" w:eastAsia="仿宋_GB2312"/>
          <w:sz w:val="32"/>
          <w:szCs w:val="32"/>
          <w:lang w:val="en-US" w:eastAsia="zh-CN"/>
        </w:rPr>
        <w:t>地区</w:t>
      </w:r>
      <w:r>
        <w:rPr>
          <w:rFonts w:hint="eastAsia" w:ascii="仿宋_GB2312" w:eastAsia="仿宋_GB2312"/>
          <w:sz w:val="32"/>
          <w:szCs w:val="32"/>
        </w:rPr>
        <w:t>工龄工资上调及补发导致本年决算数较上年决算数增加。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住房保障支出16.38万元,一般公共服务支出3,860.35万元,农林水支出759.96万元,其他支出370.52万元,社会保障和就业支出647.7万元。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工资福利支出243.52万元,商品和服务支出21.25万元,对个人和家庭的补助1,448.86万元,资本性支出3,941.29万元。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520.35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5,030.91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，预决算差异率866.83%，差异主要原因是2018年基层组织建设项目、村民服务中心建设项目、塔什库尔干县乡镇干部周转宿舍建设项目支出未纳入年初预算导致本年决算数比预算数大幅增加。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520.35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5,654.91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，预决算差异率986.75%，差异主要原因是2018年基层组织建设项目、村民服务中心建设项目、塔什库尔干县乡镇干部周转宿舍建设项目支出未纳入年初预算导致本年决算数比预算数大幅增加。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，预决算差异率0%，差异主要原因是本单位无政府性基金预算财政拨款收入无差异。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，预决算差异率0%，差异主要原因是本单位无政府性基金预算财政拨款无差异。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。与上年相比，减少624万元，下降100%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。与上年相比，减少624万元，下降100%。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6</w:t>
      </w:r>
      <w:r>
        <w:rPr>
          <w:rFonts w:hint="eastAsia" w:ascii="仿宋_GB2312" w:eastAsia="仿宋_GB2312"/>
          <w:color w:val="000000" w:themeColor="text1"/>
          <w:sz w:val="32"/>
          <w:szCs w:val="32"/>
        </w:rPr>
        <w:t>万元</w:t>
      </w:r>
      <w:r>
        <w:rPr>
          <w:rFonts w:hint="eastAsia" w:ascii="仿宋_GB2312" w:eastAsia="仿宋_GB2312"/>
          <w:sz w:val="32"/>
          <w:szCs w:val="32"/>
        </w:rPr>
        <w:t>，</w:t>
      </w:r>
      <w:bookmarkEnd w:id="56"/>
      <w:bookmarkStart w:id="58" w:name="OLE_LINK79"/>
      <w:bookmarkStart w:id="59" w:name="OLE_LINK80"/>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Start w:id="60" w:name="OLE_LINK75"/>
      <w:r>
        <w:rPr>
          <w:rFonts w:hint="eastAsia" w:ascii="仿宋_GB2312" w:eastAsia="仿宋_GB2312"/>
          <w:color w:val="000000"/>
          <w:sz w:val="32"/>
          <w:szCs w:val="32"/>
          <w:highlight w:val="none"/>
        </w:rPr>
        <w:t>其中，</w:t>
      </w:r>
      <w:bookmarkStart w:id="61" w:name="OLE_LINK30"/>
      <w:r>
        <w:rPr>
          <w:rFonts w:hint="eastAsia" w:ascii="仿宋_GB2312" w:eastAsia="仿宋_GB2312"/>
          <w:color w:val="000000"/>
          <w:sz w:val="32"/>
          <w:szCs w:val="32"/>
          <w:highlight w:val="none"/>
        </w:rPr>
        <w:t>因公出国（境）费支出</w:t>
      </w:r>
      <w:bookmarkEnd w:id="61"/>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60"/>
      <w:bookmarkStart w:id="62" w:name="OLE_LINK31"/>
      <w:bookmarkStart w:id="63"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62"/>
      <w:r>
        <w:rPr>
          <w:rFonts w:hint="eastAsia" w:ascii="仿宋_GB2312" w:eastAsia="仿宋_GB2312"/>
          <w:sz w:val="32"/>
          <w:szCs w:val="32"/>
          <w:highlight w:val="none"/>
          <w:lang w:val="en-US" w:eastAsia="zh-CN"/>
        </w:rPr>
        <w:t>6</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63"/>
      <w:bookmarkStart w:id="64" w:name="OLE_LINK32"/>
      <w:bookmarkStart w:id="65" w:name="OLE_LINK78"/>
      <w:bookmarkStart w:id="66" w:name="OLE_LINK77"/>
      <w:r>
        <w:rPr>
          <w:rFonts w:hint="eastAsia" w:ascii="仿宋_GB2312" w:eastAsia="仿宋_GB2312"/>
          <w:color w:val="000000"/>
          <w:sz w:val="32"/>
          <w:szCs w:val="32"/>
        </w:rPr>
        <w:t>公务接待费支出</w:t>
      </w:r>
      <w:bookmarkEnd w:id="64"/>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5"/>
      <w:bookmarkEnd w:id="66"/>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新疆喀什地区塔什库尔干县委组织部</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8"/>
      <w:bookmarkEnd w:id="59"/>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一般公务用车维护费、保险费、燃油费等支出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新疆喀什地区塔什库尔干县委组织部</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万元，决算数6万元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，预决算差异率0%，差异主要原因是无因公出国（境）费支出无差异；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2018年度新疆喀什地区塔什库尔干县委组织部机关运行经费支出21.25万元，与上年相比，减少3.91万元，下降15.54%，减少的主要原因是：电费和培训费支出较上年减少。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79.88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75.42</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4.47</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19.52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吉普轿车一辆主要用于单位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，三菱越野车一辆主要用于单位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为全力做好201</w:t>
      </w:r>
      <w:r>
        <w:rPr>
          <w:rFonts w:hint="eastAsia" w:ascii="仿宋_GB2312" w:eastAsia="仿宋_GB2312"/>
          <w:sz w:val="32"/>
          <w:szCs w:val="32"/>
          <w:lang w:val="en-US" w:eastAsia="zh-CN"/>
        </w:rPr>
        <w:t>8</w:t>
      </w:r>
      <w:r>
        <w:rPr>
          <w:rFonts w:ascii="仿宋_GB2312" w:eastAsia="仿宋_GB2312"/>
          <w:sz w:val="32"/>
          <w:szCs w:val="32"/>
        </w:rPr>
        <w:t>年绩效监控管理工作,县委组织部在办公室人员不足的情况下，按照“建立健全工作机构，明确专人具体负责”的要求，成立绩效审核小组，具体如下:组长:毛主虎(县委常委、组织部副部长)副组长：刘鹏（县委组织部副部长、老干局局长县）成员：阿衣古里•艾买提（出纳</w:t>
      </w:r>
      <w:r>
        <w:rPr>
          <w:rFonts w:hint="eastAsia" w:ascii="仿宋_GB2312" w:eastAsia="仿宋_GB2312"/>
          <w:sz w:val="32"/>
          <w:szCs w:val="32"/>
          <w:lang w:eastAsia="zh-CN"/>
        </w:rPr>
        <w:t>）</w:t>
      </w:r>
      <w:r>
        <w:rPr>
          <w:rFonts w:ascii="仿宋_GB2312" w:eastAsia="仿宋_GB2312"/>
          <w:sz w:val="32"/>
          <w:szCs w:val="32"/>
        </w:rPr>
        <w:t>阿依仙木姑丽（办公室秘书）</w:t>
      </w:r>
      <w:r>
        <w:rPr>
          <w:rFonts w:hint="eastAsia" w:ascii="仿宋_GB2312" w:eastAsia="仿宋_GB2312"/>
          <w:sz w:val="32"/>
          <w:szCs w:val="32"/>
          <w:lang w:eastAsia="zh-CN"/>
        </w:rPr>
        <w:t>，</w:t>
      </w:r>
      <w:r>
        <w:rPr>
          <w:rFonts w:ascii="仿宋_GB2312" w:eastAsia="仿宋_GB2312"/>
          <w:sz w:val="32"/>
          <w:szCs w:val="32"/>
        </w:rPr>
        <w:t>全力做好预算绩效管理和绩效自评工作。2018年度本部门实行绩效管理的项目8个，涉及预算</w:t>
      </w:r>
      <w:r>
        <w:rPr>
          <w:rFonts w:hint="eastAsia" w:ascii="仿宋_GB2312" w:eastAsia="仿宋_GB2312"/>
          <w:sz w:val="32"/>
          <w:szCs w:val="32"/>
          <w:lang w:val="en-US" w:eastAsia="zh-CN"/>
        </w:rPr>
        <w:t>3725.33</w:t>
      </w:r>
      <w:r>
        <w:rPr>
          <w:rFonts w:ascii="仿宋_GB2312" w:eastAsia="仿宋_GB2312"/>
          <w:sz w:val="32"/>
          <w:szCs w:val="32"/>
        </w:rPr>
        <w:t>万元，项目支出</w:t>
      </w:r>
      <w:r>
        <w:rPr>
          <w:rFonts w:hint="eastAsia" w:ascii="仿宋_GB2312" w:eastAsia="仿宋_GB2312"/>
          <w:sz w:val="32"/>
          <w:szCs w:val="32"/>
          <w:lang w:val="en-US" w:eastAsia="zh-CN"/>
        </w:rPr>
        <w:t>金额</w:t>
      </w:r>
      <w:r>
        <w:rPr>
          <w:rFonts w:ascii="仿宋_GB2312" w:eastAsia="仿宋_GB2312"/>
          <w:sz w:val="32"/>
          <w:szCs w:val="32"/>
        </w:rPr>
        <w:t>3725.33万元，执行率</w:t>
      </w:r>
      <w:r>
        <w:rPr>
          <w:rFonts w:hint="eastAsia" w:ascii="仿宋_GB2312" w:eastAsia="仿宋_GB2312"/>
          <w:sz w:val="32"/>
          <w:szCs w:val="32"/>
          <w:lang w:val="en-US" w:eastAsia="zh-CN"/>
        </w:rPr>
        <w:t>100%</w:t>
      </w:r>
      <w:r>
        <w:rPr>
          <w:rFonts w:ascii="仿宋_GB2312" w:eastAsia="仿宋_GB2312"/>
          <w:sz w:val="32"/>
          <w:szCs w:val="32"/>
        </w:rPr>
        <w:t>。</w:t>
      </w:r>
    </w:p>
    <w:p>
      <w:pPr>
        <w:spacing w:line="540" w:lineRule="exact"/>
        <w:ind w:left="-1" w:right="-1" w:firstLine="646"/>
        <w:jc w:val="left"/>
      </w:pPr>
      <w:r>
        <w:rPr>
          <w:rFonts w:ascii="仿宋_GB2312" w:hAnsi="仿宋_GB2312" w:eastAsia="仿宋_GB2312" w:cs="仿宋_GB2312"/>
          <w:b w:val="0"/>
          <w:color w:val="auto"/>
          <w:sz w:val="32"/>
          <w:u w:val="none"/>
        </w:rPr>
        <w:t>1、对高校毕业生到基层任职补助资金项目绩效自评综述：根据年初设定的绩效目标，该项目绩效自评得分为100分。项目全年预算数为330.84万元，执行数为330.84万元，完成预算的100%。主要产出和效果：为不断激发到村任职高校毕业生干事创业、服务群众的热情，健全基层组织服务保障功能，充分调动群众参与各项事务、活动的积极性、主动性，筑牢塔什库尔干县社会基层基础，2018年为塔什库尔干县自治区选派大学生村官及“天池计划”人员共29名，发放工资及艰苦边远津贴及津贴补贴资金330.84万元。发现的问题及原因：此项资金的发放，由于涉及到的金额大、范围广，如果要全部直接发放给受益人群，不利于操作。下一步改进措施：结合工作实际科学的做好支出进度安排，简化审批手续，确保次项资金按时足额发放至领取人手中。</w:t>
      </w:r>
    </w:p>
    <w:p>
      <w:pPr>
        <w:spacing w:line="540" w:lineRule="exact"/>
        <w:ind w:left="-1" w:right="-1" w:firstLine="646"/>
        <w:jc w:val="left"/>
      </w:pPr>
      <w:r>
        <w:rPr>
          <w:rFonts w:ascii="仿宋_GB2312" w:hAnsi="仿宋_GB2312" w:eastAsia="仿宋_GB2312" w:cs="仿宋_GB2312"/>
          <w:b w:val="0"/>
          <w:color w:val="auto"/>
          <w:sz w:val="32"/>
          <w:u w:val="none"/>
        </w:rPr>
        <w:t>2、塔什库尔干县“灾后重建”村民服务中心建设项目绩效自评综述：根据年初设定的绩效目标，该项目绩效自评得分为100分。项目全年预算数为624万元，执行数为624万元，完成预算的100%。主要产出和效果：2018年塔什库尔干县“灾后重建”村民服务中心建设项目，主要在班迪尔乡巴扎达什特村、坎尔洋村；塔什库尔干乡色日克塔什村、库孜滚、瓦尔希迭村、萨热吉勒尕村；库科西力克乡瓦窑本村；瓦恰乡夏拉夫迭村、库热格村、昆玉孜村、库尕丹村、夏布孜喀拉村，新建280㎡村民服务中心及其配套设施，该项目实施后，可以有效解决深度贫困村活动场所、思想教育场所、文化宣传等问题，同时也实现了深度贫困村群众日常集中学习、开展各类活动场地，为群众办实事好事提供了有效的条件。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3、塔什库尔干乡库孜滚村、萨热吉勒尕村、夏拉夫迭村、白尕吾勒村村民服务中心建设项目绩效自评综述：根据年初设定的绩效目标，该项目绩效自评得分为100分。项目全年预算数为266.12万元，执行数为266.12万元，完成预算的100%。主要产出和效果：瓦恰乡夏拉夫迭村新建350㎡村民服务中心及其配套设施、在塔什库尔干乡萨热吉勒尕村新建150㎡村民服务中心及其配套设施，该项目实施后，可以有效解决深度贫困村活动场所、思想教育场所、文化宣传等问题，同时也实现了深度贫困村群众日常集中学习、开展各类活动场地，为群众办实事好事提供了有效的条件</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发现的问题及原因：无。下一步改进措施：无。</w:t>
      </w:r>
    </w:p>
    <w:p>
      <w:pPr>
        <w:spacing w:line="540" w:lineRule="exact"/>
        <w:ind w:left="-1" w:right="-1" w:firstLine="646"/>
        <w:jc w:val="left"/>
      </w:pPr>
      <w:r>
        <w:rPr>
          <w:rFonts w:ascii="仿宋_GB2312" w:hAnsi="仿宋_GB2312" w:eastAsia="仿宋_GB2312" w:cs="仿宋_GB2312"/>
          <w:b w:val="0"/>
          <w:color w:val="auto"/>
          <w:sz w:val="32"/>
          <w:u w:val="none"/>
        </w:rPr>
        <w:t>4、塔什库尔干县农牧民夜校项目绩效自评综述：根据年初设定的绩效目标，该项目绩效自评得分为100分。项目全年预算数为163万元，执行数为163万元，完成预算的100%。主要产出和效果：为进一步提高农牧民国语水平，进一步提高兼职教师的授课积极性，责任心，实施了农牧民夜校项目。按照每村高级班、中级班、初级班的分班要求，每村分为3个班，每班每天授课2个课时的任务，授课教师授课，领取课时费。这样能够提高授课教师的责任心，使农牧民更好的提高国语水平。发现的问题及原因：此项资金的发放，由于涉及到的金额大、范围广，如果要全部直接发放给受益人群，不利于操作。下一步改进措施：各乡镇党建办每月底上报各村课时费情况表，组织部直接将课时费打卡至授课教师</w:t>
      </w:r>
      <w:r>
        <w:rPr>
          <w:rFonts w:hint="eastAsia" w:ascii="仿宋_GB2312" w:hAnsi="仿宋_GB2312" w:eastAsia="仿宋_GB2312" w:cs="仿宋_GB2312"/>
          <w:b w:val="0"/>
          <w:color w:val="auto"/>
          <w:sz w:val="32"/>
          <w:u w:val="none"/>
          <w:lang w:val="en-US" w:eastAsia="zh-CN"/>
        </w:rPr>
        <w:t>卡</w:t>
      </w:r>
      <w:r>
        <w:rPr>
          <w:rFonts w:ascii="仿宋_GB2312" w:hAnsi="仿宋_GB2312" w:eastAsia="仿宋_GB2312" w:cs="仿宋_GB2312"/>
          <w:b w:val="0"/>
          <w:color w:val="auto"/>
          <w:sz w:val="32"/>
          <w:u w:val="none"/>
        </w:rPr>
        <w:t>中。</w:t>
      </w:r>
    </w:p>
    <w:p>
      <w:pPr>
        <w:spacing w:line="540" w:lineRule="exact"/>
        <w:ind w:left="-1" w:right="-1" w:firstLine="646"/>
        <w:jc w:val="left"/>
      </w:pPr>
      <w:r>
        <w:rPr>
          <w:rFonts w:ascii="仿宋_GB2312" w:hAnsi="仿宋_GB2312" w:eastAsia="仿宋_GB2312" w:cs="仿宋_GB2312"/>
          <w:b w:val="0"/>
          <w:color w:val="auto"/>
          <w:sz w:val="32"/>
          <w:u w:val="none"/>
        </w:rPr>
        <w:t>5、塔什库尔干县乡镇干部周转宿舍建设项目绩效自评综述：根据年初设定的绩效目标，该项目绩效自评得分为60分。项目全年预算数为588万元，执行数为305.02万元，完成预算的51.87%。主要产出和效果：新建塔什库尔干镇干部周转宿舍48套，共两栋，每栋两层，建设总面积1741.86㎡，有效缓解塔什库尔干镇干部住房紧张问题。发现的问题及原因：单位对乡镇的项目实施、验收情况不了解，不能很清楚的了解项目进展情况。下一步改进措施：成立项目督导检查组，不定期对项目进度情况进行督导检查，对检查过程中发现的问题及时督促整改，确保项目按时保质完成。</w:t>
      </w:r>
    </w:p>
    <w:p>
      <w:pPr>
        <w:spacing w:line="540" w:lineRule="exact"/>
        <w:ind w:left="-1" w:right="-1" w:firstLine="646"/>
        <w:jc w:val="left"/>
      </w:pPr>
      <w:r>
        <w:rPr>
          <w:rFonts w:ascii="仿宋_GB2312" w:hAnsi="仿宋_GB2312" w:eastAsia="仿宋_GB2312" w:cs="仿宋_GB2312"/>
          <w:b w:val="0"/>
          <w:color w:val="auto"/>
          <w:sz w:val="32"/>
          <w:u w:val="none"/>
        </w:rPr>
        <w:t>6、“新担当、新作为”表彰经费项目绩效自评综述：根据年初设定的绩效目标，该项目绩效自评得分为100分。项目全年预算数为105.3万元，执行数为105.3万元，完成预算的100%。主要产出和效果：本项目对乡镇新作为、新担当的奖励经费共60万元，平均每人1000元整，所涉及的范围包括13个乡镇场的600人。此项目进一步提高干部在新时代敢于担当、有作为的突出表现给予奖励。发现的问题及原因：此项资金的发放，由于涉及到的金额大、范围广，如果要全部直接发放给受益人群，不利于操作。下一步改进措施：组织部与各单位、乡政府协调，简化审批流程，使资金尽快拨付到受益人手中。</w:t>
      </w:r>
    </w:p>
    <w:p>
      <w:pPr>
        <w:spacing w:line="540" w:lineRule="exact"/>
        <w:ind w:left="-1" w:right="-1" w:firstLine="646"/>
        <w:jc w:val="left"/>
      </w:pPr>
      <w:r>
        <w:rPr>
          <w:rFonts w:ascii="仿宋_GB2312" w:hAnsi="仿宋_GB2312" w:eastAsia="仿宋_GB2312" w:cs="仿宋_GB2312"/>
          <w:b w:val="0"/>
          <w:color w:val="auto"/>
          <w:sz w:val="32"/>
          <w:u w:val="none"/>
        </w:rPr>
        <w:t>7、2018年基层组织建设补助资金项目绩效自评综述：根据年初设定的绩效目标，该项目绩效自评得分为100分。项目全年预算数为1,560.53万元，执行数为1,560.53万元，完成预算的100%。主要产出和效果：2018年基层组织建设资金是由</w:t>
      </w:r>
      <w:r>
        <w:rPr>
          <w:rFonts w:hint="eastAsia" w:ascii="仿宋_GB2312" w:hAnsi="仿宋_GB2312" w:eastAsia="仿宋_GB2312" w:cs="仿宋_GB2312"/>
          <w:b w:val="0"/>
          <w:color w:val="auto"/>
          <w:sz w:val="32"/>
          <w:u w:val="none"/>
          <w:lang w:val="en-US" w:eastAsia="zh-CN"/>
        </w:rPr>
        <w:t>上级</w:t>
      </w:r>
      <w:r>
        <w:rPr>
          <w:rFonts w:ascii="仿宋_GB2312" w:hAnsi="仿宋_GB2312" w:eastAsia="仿宋_GB2312" w:cs="仿宋_GB2312"/>
          <w:b w:val="0"/>
          <w:color w:val="auto"/>
          <w:sz w:val="32"/>
          <w:u w:val="none"/>
        </w:rPr>
        <w:t>财政拨款的专项资金，此项资金主要用于2018年乡镇干部基层补贴经费，乡镇机关、社区干部绩效考核奖励经费，村干部报酬资金，“三老”人员补助经费，“三支”队伍补助经费，村干部及“十户长”工奖励经费，村级组织</w:t>
      </w:r>
      <w:r>
        <w:rPr>
          <w:rFonts w:hint="eastAsia" w:ascii="仿宋_GB2312" w:hAnsi="仿宋_GB2312" w:eastAsia="仿宋_GB2312" w:cs="仿宋_GB2312"/>
          <w:b w:val="0"/>
          <w:color w:val="auto"/>
          <w:sz w:val="32"/>
          <w:u w:val="none"/>
          <w:lang w:val="en-US" w:eastAsia="zh-CN"/>
        </w:rPr>
        <w:t>运转</w:t>
      </w:r>
      <w:r>
        <w:rPr>
          <w:rFonts w:ascii="仿宋_GB2312" w:hAnsi="仿宋_GB2312" w:eastAsia="仿宋_GB2312" w:cs="仿宋_GB2312"/>
          <w:b w:val="0"/>
          <w:color w:val="auto"/>
          <w:sz w:val="32"/>
          <w:u w:val="none"/>
        </w:rPr>
        <w:t>经费，乡镇、街道综合治理及宗教工作经费。通过发放此项补助不断激发基层干部干事创业、服务群众的热情，健全基层组织服务保障功能，充分调动群众参与各项事务、活动的积极性、主动性，激发服务对象干事创业激情，筑牢塔什库尔干县社会基层基础。发现的问题及原因：资金在审批发放过程中因各乡镇负责审批人员工作任务繁重，存在未按月按时审批发放现象</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下一步改进措施：一是科学的做好支出进度安排，并在实施过程中加强监督，加快</w:t>
      </w:r>
      <w:r>
        <w:rPr>
          <w:rFonts w:hint="eastAsia" w:ascii="仿宋_GB2312" w:hAnsi="仿宋_GB2312" w:eastAsia="仿宋_GB2312" w:cs="仿宋_GB2312"/>
          <w:b w:val="0"/>
          <w:color w:val="auto"/>
          <w:sz w:val="32"/>
          <w:u w:val="none"/>
          <w:lang w:val="en-US" w:eastAsia="zh-CN"/>
        </w:rPr>
        <w:t>相关</w:t>
      </w:r>
      <w:r>
        <w:rPr>
          <w:rFonts w:ascii="仿宋_GB2312" w:hAnsi="仿宋_GB2312" w:eastAsia="仿宋_GB2312" w:cs="仿宋_GB2312"/>
          <w:b w:val="0"/>
          <w:color w:val="auto"/>
          <w:sz w:val="32"/>
          <w:u w:val="none"/>
        </w:rPr>
        <w:t>资金的支出进度，确保各项资金按时足额发放至受益人手中；二是更精准的做好预算编制安排。</w:t>
      </w:r>
    </w:p>
    <w:p>
      <w:pPr>
        <w:spacing w:line="540" w:lineRule="exact"/>
        <w:ind w:left="-1" w:right="-1" w:firstLine="646"/>
        <w:jc w:val="left"/>
      </w:pPr>
      <w:r>
        <w:rPr>
          <w:rFonts w:ascii="仿宋_GB2312" w:hAnsi="仿宋_GB2312" w:eastAsia="仿宋_GB2312" w:cs="仿宋_GB2312"/>
          <w:b w:val="0"/>
          <w:color w:val="auto"/>
          <w:sz w:val="32"/>
          <w:u w:val="none"/>
        </w:rPr>
        <w:t>8、2018年补助及工作</w:t>
      </w:r>
      <w:r>
        <w:rPr>
          <w:rFonts w:hint="eastAsia" w:ascii="仿宋_GB2312" w:hAnsi="仿宋_GB2312" w:eastAsia="仿宋_GB2312" w:cs="仿宋_GB2312"/>
          <w:b w:val="0"/>
          <w:color w:val="auto"/>
          <w:sz w:val="32"/>
          <w:u w:val="none"/>
          <w:lang w:val="en-US" w:eastAsia="zh-CN"/>
        </w:rPr>
        <w:t>人</w:t>
      </w:r>
      <w:r>
        <w:rPr>
          <w:rFonts w:ascii="仿宋_GB2312" w:hAnsi="仿宋_GB2312" w:eastAsia="仿宋_GB2312" w:cs="仿宋_GB2312"/>
          <w:b w:val="0"/>
          <w:color w:val="auto"/>
          <w:sz w:val="32"/>
          <w:u w:val="none"/>
        </w:rPr>
        <w:t>员生活补助资金项目绩效自评综述：根据年初设定的绩效目标，该项目绩效自评得分为100分。项目全年预算数为370.52万元，执行数为370.52万元，完成预算的100%。主要产出和效果：2018年工作</w:t>
      </w:r>
      <w:r>
        <w:rPr>
          <w:rFonts w:hint="eastAsia" w:ascii="仿宋_GB2312" w:hAnsi="仿宋_GB2312" w:eastAsia="仿宋_GB2312" w:cs="仿宋_GB2312"/>
          <w:b w:val="0"/>
          <w:color w:val="auto"/>
          <w:sz w:val="32"/>
          <w:u w:val="none"/>
          <w:lang w:val="en-US" w:eastAsia="zh-CN"/>
        </w:rPr>
        <w:t>人员</w:t>
      </w:r>
      <w:r>
        <w:rPr>
          <w:rFonts w:ascii="仿宋_GB2312" w:hAnsi="仿宋_GB2312" w:eastAsia="仿宋_GB2312" w:cs="仿宋_GB2312"/>
          <w:b w:val="0"/>
          <w:color w:val="auto"/>
          <w:sz w:val="32"/>
          <w:u w:val="none"/>
        </w:rPr>
        <w:t>补助及工作</w:t>
      </w:r>
      <w:r>
        <w:rPr>
          <w:rFonts w:hint="eastAsia" w:ascii="仿宋_GB2312" w:hAnsi="仿宋_GB2312" w:eastAsia="仿宋_GB2312" w:cs="仿宋_GB2312"/>
          <w:b w:val="0"/>
          <w:color w:val="auto"/>
          <w:sz w:val="32"/>
          <w:u w:val="none"/>
          <w:lang w:val="en-US" w:eastAsia="zh-CN"/>
        </w:rPr>
        <w:t>人</w:t>
      </w:r>
      <w:r>
        <w:rPr>
          <w:rFonts w:ascii="仿宋_GB2312" w:hAnsi="仿宋_GB2312" w:eastAsia="仿宋_GB2312" w:cs="仿宋_GB2312"/>
          <w:b w:val="0"/>
          <w:color w:val="auto"/>
          <w:sz w:val="32"/>
          <w:u w:val="none"/>
        </w:rPr>
        <w:t>员生活补助资金项目主要用于2018年工作</w:t>
      </w:r>
      <w:r>
        <w:rPr>
          <w:rFonts w:hint="eastAsia" w:ascii="仿宋_GB2312" w:hAnsi="仿宋_GB2312" w:eastAsia="仿宋_GB2312" w:cs="仿宋_GB2312"/>
          <w:b w:val="0"/>
          <w:color w:val="auto"/>
          <w:sz w:val="32"/>
          <w:u w:val="none"/>
          <w:lang w:val="en-US" w:eastAsia="zh-CN"/>
        </w:rPr>
        <w:t>人员</w:t>
      </w:r>
      <w:bookmarkStart w:id="92" w:name="_GoBack"/>
      <w:bookmarkEnd w:id="92"/>
      <w:r>
        <w:rPr>
          <w:rFonts w:ascii="仿宋_GB2312" w:hAnsi="仿宋_GB2312" w:eastAsia="仿宋_GB2312" w:cs="仿宋_GB2312"/>
          <w:b w:val="0"/>
          <w:color w:val="auto"/>
          <w:sz w:val="32"/>
          <w:u w:val="none"/>
        </w:rPr>
        <w:t>补助及工作</w:t>
      </w:r>
      <w:r>
        <w:rPr>
          <w:rFonts w:hint="eastAsia" w:ascii="仿宋_GB2312" w:hAnsi="仿宋_GB2312" w:eastAsia="仿宋_GB2312" w:cs="仿宋_GB2312"/>
          <w:b w:val="0"/>
          <w:color w:val="auto"/>
          <w:sz w:val="32"/>
          <w:u w:val="none"/>
          <w:lang w:val="en-US" w:eastAsia="zh-CN"/>
        </w:rPr>
        <w:t>人</w:t>
      </w:r>
      <w:r>
        <w:rPr>
          <w:rFonts w:ascii="仿宋_GB2312" w:hAnsi="仿宋_GB2312" w:eastAsia="仿宋_GB2312" w:cs="仿宋_GB2312"/>
          <w:b w:val="0"/>
          <w:color w:val="auto"/>
          <w:sz w:val="32"/>
          <w:u w:val="none"/>
        </w:rPr>
        <w:t>员生活补助使用。通过发放此项补助不断激发基层干部干事创业、服务群众的热情，健全基层组织服务保障功能，充分调动群众参与各项事务、活动的积极性、主动性，激发服务对象干事创业激情。发现的问题及原因：资金在审批发放过程中因各乡镇负责审批人员工作任务繁重，存在未按月按时审批发放现象。下一步改进措施：一是科学的做好支出进度安排，并在实施过程中加强监督，加快各项资金的支出进度，确保各项资金按时足额发放至受益人手中；二是更精准的做好预算编制安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213（类）05（款）04（项）指：农村基础设施建设。201（类）32（款）99（项）指：其他组织事务支出。213（类）01（款）52（项）指：对高校毕业生到基层任职补助。201（类）31（款）02（项）指：一般行政管理事务。201（类）32（款）01（项）指：行政运行。208（类）15（款）03（项）指：自然灾害灾后重建补助。229（类）99（款）01（项）指：其他支出。201（类）99（款）99（项）指：其他一般公共服务支出。208（类）05（款）05（项）指：机关事业单位基本养老保险缴费支出。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C45A48"/>
    <w:rsid w:val="03AA79F6"/>
    <w:rsid w:val="04741FE5"/>
    <w:rsid w:val="04805654"/>
    <w:rsid w:val="04DB02C7"/>
    <w:rsid w:val="06632B2E"/>
    <w:rsid w:val="06B856EE"/>
    <w:rsid w:val="07FE5938"/>
    <w:rsid w:val="084604BC"/>
    <w:rsid w:val="08883825"/>
    <w:rsid w:val="08E844BE"/>
    <w:rsid w:val="09725983"/>
    <w:rsid w:val="0A17470E"/>
    <w:rsid w:val="0A382BB5"/>
    <w:rsid w:val="0AA4543A"/>
    <w:rsid w:val="0BE61132"/>
    <w:rsid w:val="0C9B0DD6"/>
    <w:rsid w:val="0CE4791C"/>
    <w:rsid w:val="0E063C64"/>
    <w:rsid w:val="0EF303AB"/>
    <w:rsid w:val="0F4C7B96"/>
    <w:rsid w:val="0FC120AB"/>
    <w:rsid w:val="0FFB575E"/>
    <w:rsid w:val="10845F1B"/>
    <w:rsid w:val="11463A00"/>
    <w:rsid w:val="11600918"/>
    <w:rsid w:val="11B0398F"/>
    <w:rsid w:val="13B960C5"/>
    <w:rsid w:val="152777F4"/>
    <w:rsid w:val="1528203F"/>
    <w:rsid w:val="15C674B6"/>
    <w:rsid w:val="1634673D"/>
    <w:rsid w:val="17EB1717"/>
    <w:rsid w:val="18D54A0D"/>
    <w:rsid w:val="1A4106A0"/>
    <w:rsid w:val="1A4F5437"/>
    <w:rsid w:val="1AB77CD0"/>
    <w:rsid w:val="1BFC6F53"/>
    <w:rsid w:val="1E807156"/>
    <w:rsid w:val="1EA657F6"/>
    <w:rsid w:val="1F097CB6"/>
    <w:rsid w:val="1F8C54C1"/>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432BB1"/>
    <w:rsid w:val="2FAA3DA6"/>
    <w:rsid w:val="30682E1F"/>
    <w:rsid w:val="30E210D2"/>
    <w:rsid w:val="311371D6"/>
    <w:rsid w:val="31EB64C9"/>
    <w:rsid w:val="33536840"/>
    <w:rsid w:val="336D0D6F"/>
    <w:rsid w:val="34FE04D4"/>
    <w:rsid w:val="35021B7B"/>
    <w:rsid w:val="352E4BEC"/>
    <w:rsid w:val="368328A4"/>
    <w:rsid w:val="37DD5594"/>
    <w:rsid w:val="38F24FA8"/>
    <w:rsid w:val="3A98342A"/>
    <w:rsid w:val="3AB6780E"/>
    <w:rsid w:val="3AD56D70"/>
    <w:rsid w:val="3B0C5BE3"/>
    <w:rsid w:val="3B2920C2"/>
    <w:rsid w:val="3B8B4EB2"/>
    <w:rsid w:val="3B9E1DAC"/>
    <w:rsid w:val="3BE41ABD"/>
    <w:rsid w:val="3C5421A9"/>
    <w:rsid w:val="3D903B21"/>
    <w:rsid w:val="3F440741"/>
    <w:rsid w:val="41FC306C"/>
    <w:rsid w:val="43075F6A"/>
    <w:rsid w:val="432D462E"/>
    <w:rsid w:val="44BE5554"/>
    <w:rsid w:val="451E0908"/>
    <w:rsid w:val="452C2D31"/>
    <w:rsid w:val="45D26E14"/>
    <w:rsid w:val="45F1788B"/>
    <w:rsid w:val="46A541B1"/>
    <w:rsid w:val="48C57772"/>
    <w:rsid w:val="49782886"/>
    <w:rsid w:val="49797AEB"/>
    <w:rsid w:val="4A6F0D28"/>
    <w:rsid w:val="4AAF085C"/>
    <w:rsid w:val="4ABA449E"/>
    <w:rsid w:val="4AEB7E60"/>
    <w:rsid w:val="4B4B135B"/>
    <w:rsid w:val="4BA16943"/>
    <w:rsid w:val="4BC7055F"/>
    <w:rsid w:val="4C596FBA"/>
    <w:rsid w:val="4CFC7DB2"/>
    <w:rsid w:val="4E7C187D"/>
    <w:rsid w:val="508941AD"/>
    <w:rsid w:val="50E65530"/>
    <w:rsid w:val="51457139"/>
    <w:rsid w:val="51574DBD"/>
    <w:rsid w:val="51EC1DA8"/>
    <w:rsid w:val="52FC5524"/>
    <w:rsid w:val="532D7A17"/>
    <w:rsid w:val="53EE489E"/>
    <w:rsid w:val="545721DD"/>
    <w:rsid w:val="54AF4562"/>
    <w:rsid w:val="54C9674B"/>
    <w:rsid w:val="556318EA"/>
    <w:rsid w:val="55A60AA1"/>
    <w:rsid w:val="56451615"/>
    <w:rsid w:val="56473E98"/>
    <w:rsid w:val="57FC5774"/>
    <w:rsid w:val="586B3A63"/>
    <w:rsid w:val="59B332C9"/>
    <w:rsid w:val="5A44758A"/>
    <w:rsid w:val="5AB0329D"/>
    <w:rsid w:val="5BEC4BB3"/>
    <w:rsid w:val="5C070B55"/>
    <w:rsid w:val="5C693E7E"/>
    <w:rsid w:val="5CB96DCE"/>
    <w:rsid w:val="5CE61580"/>
    <w:rsid w:val="5D175666"/>
    <w:rsid w:val="5D556A3C"/>
    <w:rsid w:val="5D7B25C9"/>
    <w:rsid w:val="5ECB44B4"/>
    <w:rsid w:val="5EE2043C"/>
    <w:rsid w:val="602D2E37"/>
    <w:rsid w:val="61460FBE"/>
    <w:rsid w:val="62775810"/>
    <w:rsid w:val="62D83744"/>
    <w:rsid w:val="630F4048"/>
    <w:rsid w:val="63AA02E5"/>
    <w:rsid w:val="63BE6D9A"/>
    <w:rsid w:val="64700DE9"/>
    <w:rsid w:val="65C613BD"/>
    <w:rsid w:val="65FD118C"/>
    <w:rsid w:val="682C3D89"/>
    <w:rsid w:val="68611305"/>
    <w:rsid w:val="6A162DE0"/>
    <w:rsid w:val="6A167582"/>
    <w:rsid w:val="6A331428"/>
    <w:rsid w:val="6B2E5CB6"/>
    <w:rsid w:val="6B3D4886"/>
    <w:rsid w:val="6BC614C2"/>
    <w:rsid w:val="6BF37B60"/>
    <w:rsid w:val="6C0A1D6E"/>
    <w:rsid w:val="6DF8675E"/>
    <w:rsid w:val="6EA80098"/>
    <w:rsid w:val="6F8D70FF"/>
    <w:rsid w:val="6FD5702A"/>
    <w:rsid w:val="6FFE5011"/>
    <w:rsid w:val="7178734D"/>
    <w:rsid w:val="71791096"/>
    <w:rsid w:val="717B0C34"/>
    <w:rsid w:val="71FB78FD"/>
    <w:rsid w:val="7275064A"/>
    <w:rsid w:val="733F750B"/>
    <w:rsid w:val="735702E2"/>
    <w:rsid w:val="73AB5E5A"/>
    <w:rsid w:val="765F635A"/>
    <w:rsid w:val="76B73454"/>
    <w:rsid w:val="76D254BD"/>
    <w:rsid w:val="77727ACD"/>
    <w:rsid w:val="78071142"/>
    <w:rsid w:val="79296B37"/>
    <w:rsid w:val="7A4C4C40"/>
    <w:rsid w:val="7AA0518E"/>
    <w:rsid w:val="7AA3335B"/>
    <w:rsid w:val="7B041636"/>
    <w:rsid w:val="7CA86749"/>
    <w:rsid w:val="7E5A75EF"/>
    <w:rsid w:val="7EC92370"/>
    <w:rsid w:val="7F2238BD"/>
    <w:rsid w:val="7FB31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12</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2020-04-05T02:45:49Z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