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2018年度新疆喀什地区塔什库尔干县委员会宣传部部门决算公开说明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1、负责组织、指导全县理论研究、理论学习、理论宣传和社会科学规划的工作，做好党员教育工作。</w:t>
      </w:r>
      <w:r>
        <w:rPr>
          <w:rFonts w:hint="eastAsia" w:ascii="仿宋_GB2312" w:eastAsia="仿宋_GB2312"/>
          <w:sz w:val="32"/>
          <w:szCs w:val="32"/>
        </w:rPr>
        <w:br w:type="textWrapping"/>
      </w:r>
      <w:r>
        <w:rPr>
          <w:rFonts w:hint="eastAsia" w:ascii="仿宋_GB2312" w:eastAsia="仿宋_GB2312"/>
          <w:sz w:val="32"/>
          <w:szCs w:val="32"/>
        </w:rPr>
        <w:t>2、负责规划、部署全县性的宣传思想工作，会同有关部门研究和改进基层宣传思想工作；负责指导、协调和组织全县社会宣传工作。</w:t>
      </w:r>
      <w:r>
        <w:rPr>
          <w:rFonts w:hint="eastAsia" w:ascii="仿宋_GB2312" w:eastAsia="仿宋_GB2312"/>
          <w:sz w:val="32"/>
          <w:szCs w:val="32"/>
        </w:rPr>
        <w:br w:type="textWrapping"/>
      </w:r>
      <w:r>
        <w:rPr>
          <w:rFonts w:hint="eastAsia" w:ascii="仿宋_GB2312" w:eastAsia="仿宋_GB2312"/>
          <w:sz w:val="32"/>
          <w:szCs w:val="32"/>
        </w:rPr>
        <w:t>3、负责引导社会舆论，指导、监督、管理和协调全县新闻宣传、出版工作，对县新闻媒体实施方针政策的指导；负责指导、监督和管理全县网络新闻宣传；联系中央、省、市各级新闻单位。</w:t>
      </w:r>
      <w:r>
        <w:rPr>
          <w:rFonts w:hint="eastAsia" w:ascii="仿宋_GB2312" w:eastAsia="仿宋_GB2312"/>
          <w:sz w:val="32"/>
          <w:szCs w:val="32"/>
        </w:rPr>
        <w:br w:type="textWrapping"/>
      </w:r>
      <w:r>
        <w:rPr>
          <w:rFonts w:hint="eastAsia" w:ascii="仿宋_GB2312" w:eastAsia="仿宋_GB2312"/>
          <w:sz w:val="32"/>
          <w:szCs w:val="32"/>
        </w:rPr>
        <w:t>4、负责全县对外宣传工作的总体规划，组织协调、指导和管理全县的外宣工作。</w:t>
      </w:r>
      <w:r>
        <w:rPr>
          <w:rFonts w:hint="eastAsia" w:ascii="仿宋_GB2312" w:eastAsia="仿宋_GB2312"/>
          <w:sz w:val="32"/>
          <w:szCs w:val="32"/>
        </w:rPr>
        <w:br w:type="textWrapping"/>
      </w:r>
      <w:r>
        <w:rPr>
          <w:rFonts w:hint="eastAsia" w:ascii="仿宋_GB2312" w:eastAsia="仿宋_GB2312"/>
          <w:sz w:val="32"/>
          <w:szCs w:val="32"/>
        </w:rPr>
        <w:t>5、负责从宏观上指导文化艺术工作、精神产品的生产和文化市场的管理，对县文体局、县新闻中心、县文联从政治方向和方针政策方面实施领导，对宣传口各部门有关工作进行协调指导。</w:t>
      </w:r>
      <w:r>
        <w:rPr>
          <w:rFonts w:hint="eastAsia" w:ascii="仿宋_GB2312" w:eastAsia="仿宋_GB2312"/>
          <w:sz w:val="32"/>
          <w:szCs w:val="32"/>
        </w:rPr>
        <w:br w:type="textWrapping"/>
      </w:r>
      <w:r>
        <w:rPr>
          <w:rFonts w:hint="eastAsia" w:ascii="仿宋_GB2312" w:eastAsia="仿宋_GB2312"/>
          <w:sz w:val="32"/>
          <w:szCs w:val="32"/>
        </w:rPr>
        <w:t>6、负责全县群众性精神文明创建工作的规划和组织实施；协调、指导和监督全县文明城市、行业、村镇、社区、未成年人思想道德建设等各类群众性精神文明创建活动。</w:t>
      </w:r>
      <w:r>
        <w:rPr>
          <w:rFonts w:hint="eastAsia" w:ascii="仿宋_GB2312" w:eastAsia="仿宋_GB2312"/>
          <w:sz w:val="32"/>
          <w:szCs w:val="32"/>
        </w:rPr>
        <w:br w:type="textWrapping"/>
      </w:r>
      <w:r>
        <w:rPr>
          <w:rFonts w:hint="eastAsia" w:ascii="仿宋_GB2312" w:eastAsia="仿宋_GB2312"/>
          <w:sz w:val="32"/>
          <w:szCs w:val="32"/>
        </w:rPr>
        <w:t>7、完成县委交办的其它任务。</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新疆喀什地区塔什库尔干县委员会宣传部</w:t>
      </w:r>
      <w:r>
        <w:rPr>
          <w:rFonts w:hint="eastAsia" w:ascii="仿宋_GB2312" w:eastAsia="仿宋_GB2312"/>
          <w:sz w:val="32"/>
          <w:szCs w:val="32"/>
        </w:rPr>
        <w:t>部门决算包括：</w:t>
      </w:r>
      <w:r>
        <w:rPr>
          <w:rFonts w:ascii="仿宋_GB2312" w:eastAsia="仿宋_GB2312"/>
          <w:sz w:val="32"/>
          <w:szCs w:val="32"/>
        </w:rPr>
        <w:t>新疆喀什地区塔什库尔干县委员会宣传部</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新疆喀什地区塔什库尔干县委员会宣传部</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新疆喀什地区塔什库尔干县委员会宣传部</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387.87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，与上年相比，增加284.72万元，增长276.03%，增加的主要原因是：</w:t>
      </w:r>
      <w:r>
        <w:rPr>
          <w:rFonts w:hint="eastAsia" w:ascii="仿宋_GB2312" w:eastAsia="仿宋_GB2312"/>
          <w:color w:val="000000" w:themeColor="text1"/>
          <w:sz w:val="32"/>
          <w:szCs w:val="32"/>
        </w:rPr>
        <w:t>一是人员基本工资调增、津贴补贴调增、工龄工资调增及补发；二是2018年自治区财政专项彩票公益金资助村级综合文化服务中心覆盖工程文化建设项目增加，以上原因的增加导致本年决算数较上年数增加；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387.87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，与上年相比，增加284.72万元，增长276.03%，增加的主要原因是：</w:t>
      </w:r>
      <w:r>
        <w:rPr>
          <w:rFonts w:hint="eastAsia" w:ascii="仿宋_GB2312" w:eastAsia="仿宋_GB2312"/>
          <w:color w:val="000000" w:themeColor="text1"/>
          <w:sz w:val="32"/>
          <w:szCs w:val="32"/>
        </w:rPr>
        <w:t>一是人员基本工资调增、津贴补贴调增、工龄工资调增及补发；二是2018年自治区财政专项彩票公益金资助村级综合文化服务中心覆盖工程文化建设项目增加，以上原因的增加导致本年决算数较上年数增加；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ascii="仿宋_GB2312" w:eastAsia="仿宋_GB2312"/>
          <w:color w:val="000000"/>
          <w:sz w:val="32"/>
          <w:szCs w:val="32"/>
        </w:rPr>
        <w:t>无变化。</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387.87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387.87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况：本年收入年初预算数180.47万元</w:t>
      </w:r>
      <w:r>
        <w:rPr>
          <w:rFonts w:hint="eastAsia" w:ascii="仿宋_GB2312" w:eastAsia="仿宋_GB2312"/>
          <w:sz w:val="32"/>
          <w:szCs w:val="32"/>
        </w:rPr>
        <w:t>，决算数387.87万元</w:t>
      </w:r>
      <w:r>
        <w:rPr>
          <w:rFonts w:ascii="仿宋_GB2312" w:eastAsia="仿宋_GB2312"/>
          <w:sz w:val="32"/>
          <w:szCs w:val="32"/>
        </w:rPr>
        <w:t>，预决算差异率114.92%，差异主要原因是一是人员基本工资调增、津贴补贴调增、工龄工资调增及补发；二是2018年自治区财政专项彩票公益金资助村级综合文化服务中心覆盖工程文化建设项目增加，以上原因的增加导致本年决算数较</w:t>
      </w:r>
      <w:r>
        <w:rPr>
          <w:rFonts w:hint="eastAsia" w:ascii="仿宋_GB2312" w:eastAsia="仿宋_GB2312"/>
          <w:sz w:val="32"/>
          <w:szCs w:val="32"/>
          <w:lang w:val="en-US" w:eastAsia="zh-CN"/>
        </w:rPr>
        <w:t>预算</w:t>
      </w:r>
      <w:r>
        <w:rPr>
          <w:rFonts w:ascii="仿宋_GB2312" w:eastAsia="仿宋_GB2312"/>
          <w:sz w:val="32"/>
          <w:szCs w:val="32"/>
        </w:rPr>
        <w:t>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387.87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309.87</w:t>
      </w:r>
      <w:r>
        <w:rPr>
          <w:rFonts w:hint="eastAsia" w:ascii="仿宋_GB2312" w:eastAsia="仿宋_GB2312"/>
          <w:color w:val="000000" w:themeColor="text1"/>
          <w:sz w:val="32"/>
          <w:szCs w:val="32"/>
        </w:rPr>
        <w:t>万元，占</w:t>
      </w:r>
      <w:r>
        <w:rPr>
          <w:rFonts w:hint="eastAsia" w:ascii="仿宋_GB2312" w:eastAsia="仿宋_GB2312"/>
          <w:sz w:val="32"/>
          <w:szCs w:val="32"/>
        </w:rPr>
        <w:t>79.89%</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78</w:t>
      </w:r>
      <w:r>
        <w:rPr>
          <w:rFonts w:hint="eastAsia" w:ascii="仿宋_GB2312" w:eastAsia="仿宋_GB2312"/>
          <w:color w:val="000000" w:themeColor="text1"/>
          <w:sz w:val="32"/>
          <w:szCs w:val="32"/>
        </w:rPr>
        <w:t>万元，占</w:t>
      </w:r>
      <w:r>
        <w:rPr>
          <w:rFonts w:hint="eastAsia" w:ascii="仿宋_GB2312" w:eastAsia="仿宋_GB2312"/>
          <w:sz w:val="32"/>
          <w:szCs w:val="32"/>
        </w:rPr>
        <w:t>20.11%</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与年初预算数相比情况：本年支出年初预算数180.47万元，</w:t>
      </w:r>
      <w:r>
        <w:rPr>
          <w:rFonts w:hint="eastAsia" w:ascii="仿宋_GB2312" w:eastAsia="仿宋_GB2312"/>
          <w:sz w:val="32"/>
          <w:szCs w:val="32"/>
        </w:rPr>
        <w:t>决算数387.87万元</w:t>
      </w:r>
      <w:r>
        <w:rPr>
          <w:rFonts w:ascii="仿宋_GB2312" w:eastAsia="仿宋_GB2312"/>
          <w:sz w:val="32"/>
          <w:szCs w:val="32"/>
        </w:rPr>
        <w:t>，预决算差异率114.92%，差异主要原因是一是人员基本工资调增、津贴补贴调增、工龄工资调增及补发；二是2018年自治区财政专项彩票公益金资助村级综合文化服务中心覆盖工程文化建设项目增加，以上原因的增加导致本年决算数较</w:t>
      </w:r>
      <w:r>
        <w:rPr>
          <w:rFonts w:hint="eastAsia" w:ascii="仿宋_GB2312" w:eastAsia="仿宋_GB2312"/>
          <w:sz w:val="32"/>
          <w:szCs w:val="32"/>
          <w:lang w:val="en-US" w:eastAsia="zh-CN"/>
        </w:rPr>
        <w:t>预算</w:t>
      </w:r>
      <w:r>
        <w:rPr>
          <w:rFonts w:ascii="仿宋_GB2312" w:eastAsia="仿宋_GB2312"/>
          <w:sz w:val="32"/>
          <w:szCs w:val="32"/>
        </w:rPr>
        <w:t>数增加。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387.87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284.72万元，增长276.03%，增加的主要原因是：一是人员基本工资调增、津贴补贴调增、工龄工资调增及补发；二是2018年自治区财政专项彩票公益金资助村级综合文化服务中心覆盖工程文化建设项目增加，以上原因的增加导致本年决算数较上年数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387.87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，与上年相比，增加284.72万元，增长276.03%，增加的主要原因是：</w:t>
      </w:r>
      <w:r>
        <w:rPr>
          <w:rFonts w:ascii="仿宋_GB2312" w:eastAsia="仿宋_GB2312"/>
          <w:sz w:val="32"/>
          <w:szCs w:val="32"/>
        </w:rPr>
        <w:t>一是人员基本工资调增、津贴补贴调增、工龄工资调增及补发；二是2018年自治区财政专项彩票公益金资助村级综合文化服务中心覆盖工程文化建设项目增加，以上原因的增加导致本年决算数较上年数增加。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309.87</w:t>
      </w:r>
      <w:r>
        <w:rPr>
          <w:rFonts w:hint="eastAsia" w:ascii="仿宋_GB2312" w:eastAsia="仿宋_GB2312"/>
          <w:color w:val="000000" w:themeColor="text1"/>
          <w:sz w:val="32"/>
          <w:szCs w:val="32"/>
        </w:rPr>
        <w:t>万元，项目支出</w:t>
      </w:r>
      <w:r>
        <w:rPr>
          <w:rFonts w:hint="eastAsia" w:ascii="仿宋_GB2312" w:eastAsia="仿宋_GB2312"/>
          <w:sz w:val="32"/>
          <w:szCs w:val="32"/>
        </w:rPr>
        <w:t>78</w:t>
      </w:r>
      <w:r>
        <w:rPr>
          <w:rFonts w:hint="eastAsia" w:ascii="仿宋_GB2312" w:eastAsia="仿宋_GB2312"/>
          <w:color w:val="000000" w:themeColor="text1"/>
          <w:sz w:val="32"/>
          <w:szCs w:val="32"/>
        </w:rPr>
        <w:t>万元。</w:t>
      </w:r>
      <w:bookmarkEnd w:id="29"/>
      <w:bookmarkStart w:id="31" w:name="OLE_LINK16"/>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180.47</w:t>
      </w:r>
      <w:r>
        <w:rPr>
          <w:rFonts w:hint="eastAsia" w:ascii="仿宋_GB2312" w:eastAsia="仿宋_GB2312"/>
          <w:color w:val="000000" w:themeColor="text1"/>
          <w:sz w:val="32"/>
          <w:szCs w:val="32"/>
        </w:rPr>
        <w:t>万元，决算数</w:t>
      </w:r>
      <w:r>
        <w:rPr>
          <w:rFonts w:hint="eastAsia" w:ascii="仿宋_GB2312" w:eastAsia="仿宋_GB2312"/>
          <w:sz w:val="32"/>
          <w:szCs w:val="32"/>
        </w:rPr>
        <w:t>387.87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114.92%，差异主要原因是一是人员基本工资调增、津贴补贴调增、工龄工资调增及补发；二是2018年自治区财政专项彩票公益金资助村级综合文化服务中心覆盖工程文化建设项目增加，以上原因的增加导致本年决算数较</w:t>
      </w:r>
      <w:r>
        <w:rPr>
          <w:rFonts w:hint="eastAsia" w:ascii="仿宋_GB2312" w:eastAsia="仿宋_GB2312"/>
          <w:color w:val="000000" w:themeColor="text1"/>
          <w:sz w:val="32"/>
          <w:szCs w:val="32"/>
          <w:lang w:val="en-US" w:eastAsia="zh-CN"/>
        </w:rPr>
        <w:t>预算</w:t>
      </w:r>
      <w:r>
        <w:rPr>
          <w:rFonts w:ascii="仿宋_GB2312" w:eastAsia="仿宋_GB2312"/>
          <w:color w:val="000000" w:themeColor="text1"/>
          <w:sz w:val="32"/>
          <w:szCs w:val="32"/>
        </w:rPr>
        <w:t>数增加。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180.47</w:t>
      </w:r>
      <w:r>
        <w:rPr>
          <w:rFonts w:hint="eastAsia" w:ascii="仿宋_GB2312" w:eastAsia="仿宋_GB2312"/>
          <w:color w:val="000000" w:themeColor="text1"/>
          <w:sz w:val="32"/>
          <w:szCs w:val="32"/>
        </w:rPr>
        <w:t>万元，决算数</w:t>
      </w:r>
      <w:r>
        <w:rPr>
          <w:rFonts w:hint="eastAsia" w:ascii="仿宋_GB2312" w:eastAsia="仿宋_GB2312"/>
          <w:sz w:val="32"/>
          <w:szCs w:val="32"/>
        </w:rPr>
        <w:t>387.87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114.92%，差异主要原因是一是人员基本工资调增、津贴补贴调增、工龄工资调增及补发；二是2018年自治区财政专项彩票公益金资助村级综合文化服务中心覆盖工程文化建设项目增加，以上原因的增加导致本年决算数较</w:t>
      </w:r>
      <w:r>
        <w:rPr>
          <w:rFonts w:hint="eastAsia" w:ascii="仿宋_GB2312" w:eastAsia="仿宋_GB2312"/>
          <w:color w:val="000000" w:themeColor="text1"/>
          <w:sz w:val="32"/>
          <w:szCs w:val="32"/>
          <w:lang w:val="en-US" w:eastAsia="zh-CN"/>
        </w:rPr>
        <w:t>预算</w:t>
      </w:r>
      <w:r>
        <w:rPr>
          <w:rFonts w:ascii="仿宋_GB2312" w:eastAsia="仿宋_GB2312"/>
          <w:color w:val="000000" w:themeColor="text1"/>
          <w:sz w:val="32"/>
          <w:szCs w:val="32"/>
        </w:rPr>
        <w:t>数增加。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309.87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206.72万元，增长200.41%，增加的主要原因是：一是人员基本工资调增、津贴补贴调增、工龄工资调增及补发；二是2018年自治区财政专项彩票公益金资助村级综合文化服务中心覆盖工程文化建设项目增加，以上原因的增加导致本年决算数较上年数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309.87</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206.72万元，增长200.41%，增加的主要原因是：一是人员基本工资调增、津贴补贴调增、工龄工资调增及补发；二是2018年自治区财政专项彩票公益金资助村级综合文化服务中心覆盖工程文化建设项目增加，以上原因的增加导致本年决算数较上年数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住房保障支出6.4万元,一般公共服务支出294.07万元,社会保障和就业支出9.4万元。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工资福利支出104.7万元,商品和服务支出</w:t>
      </w:r>
      <w:r>
        <w:rPr>
          <w:rFonts w:hint="eastAsia" w:ascii="仿宋_GB2312" w:eastAsia="仿宋_GB2312"/>
          <w:sz w:val="32"/>
          <w:szCs w:val="32"/>
          <w:lang w:val="en-US" w:eastAsia="zh-CN"/>
        </w:rPr>
        <w:t>204.18</w:t>
      </w:r>
      <w:r>
        <w:rPr>
          <w:rFonts w:hint="eastAsia" w:ascii="仿宋_GB2312" w:eastAsia="仿宋_GB2312"/>
          <w:sz w:val="32"/>
          <w:szCs w:val="32"/>
        </w:rPr>
        <w:t>万元,对个人和家庭的补助0.99万元。</w:t>
      </w:r>
      <w:bookmarkStart w:id="87" w:name="_GoBack"/>
      <w:bookmarkEnd w:id="87"/>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180.47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309.87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71.7%，差异主要原因是一是人员基本工资调增、津贴补贴调增、工龄工资调增及补发；二是2018年自治区财政专项彩票公益金资助村级综合文化服务中心覆盖工程文化建设项目增加，以上原因的增加导致本年决算数较</w:t>
      </w:r>
      <w:r>
        <w:rPr>
          <w:rFonts w:hint="eastAsia" w:ascii="仿宋_GB2312" w:eastAsia="仿宋_GB2312"/>
          <w:color w:val="000000" w:themeColor="text1"/>
          <w:sz w:val="32"/>
          <w:szCs w:val="32"/>
          <w:lang w:val="en-US" w:eastAsia="zh-CN"/>
        </w:rPr>
        <w:t>预算</w:t>
      </w:r>
      <w:r>
        <w:rPr>
          <w:rFonts w:ascii="仿宋_GB2312" w:eastAsia="仿宋_GB2312"/>
          <w:color w:val="000000" w:themeColor="text1"/>
          <w:sz w:val="32"/>
          <w:szCs w:val="32"/>
        </w:rPr>
        <w:t>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180.47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309.87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71.7%，差异主要原因是一是人员基本工资调增、津贴补贴调增、工龄工资调增及补发；二是2018年自治区财政专项彩票公益金资助村级综合文化服务中心覆盖工程文化建设项目增加，以上原因的增加导致本年决算数较</w:t>
      </w:r>
      <w:r>
        <w:rPr>
          <w:rFonts w:hint="eastAsia" w:ascii="仿宋_GB2312" w:eastAsia="仿宋_GB2312"/>
          <w:color w:val="000000" w:themeColor="text1"/>
          <w:sz w:val="32"/>
          <w:szCs w:val="32"/>
          <w:lang w:val="en-US" w:eastAsia="zh-CN"/>
        </w:rPr>
        <w:t>预算</w:t>
      </w:r>
      <w:r>
        <w:rPr>
          <w:rFonts w:ascii="仿宋_GB2312" w:eastAsia="仿宋_GB2312"/>
          <w:color w:val="000000" w:themeColor="text1"/>
          <w:sz w:val="32"/>
          <w:szCs w:val="32"/>
        </w:rPr>
        <w:t>数增加。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78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，与上年相比，增加78万元，增长100%，增加的主要原因是：2018年自治区财政专项彩票公益金资助村级综合文化服务中心覆盖工程文化建设项目增加。</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78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，与上年相比，增加78万元，增长100%，增加的主要原因是：2018年自治区财政专项彩票公益金资助村级综合文化服务中心覆盖工程文化建设项目增加。</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，其他支出78万元。按经济分类科目（按类级科目公开），商品和服务支出78万元。</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10</w:t>
      </w:r>
      <w:r>
        <w:rPr>
          <w:rFonts w:ascii="仿宋_GB2312" w:eastAsia="仿宋_GB2312"/>
          <w:color w:val="000000" w:themeColor="text1"/>
          <w:sz w:val="32"/>
          <w:szCs w:val="32"/>
        </w:rPr>
        <w:t>0%，差异主要原因是2018年自治区财政专项彩票公益金资助村级综合文化服务中心覆盖工程文化建设项目增加</w:t>
      </w:r>
      <w:r>
        <w:rPr>
          <w:rFonts w:hint="eastAsia" w:ascii="仿宋_GB2312" w:eastAsia="仿宋_GB2312"/>
          <w:color w:val="000000" w:themeColor="text1"/>
          <w:sz w:val="32"/>
          <w:szCs w:val="32"/>
          <w:lang w:eastAsia="zh-CN"/>
        </w:rPr>
        <w:t>未纳入年初预算</w:t>
      </w:r>
      <w:r>
        <w:rPr>
          <w:rFonts w:ascii="仿宋_GB2312" w:eastAsia="仿宋_GB2312"/>
          <w:color w:val="000000" w:themeColor="text1"/>
          <w:sz w:val="32"/>
          <w:szCs w:val="32"/>
        </w:rPr>
        <w:t>。</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10</w:t>
      </w:r>
      <w:r>
        <w:rPr>
          <w:rFonts w:ascii="仿宋_GB2312" w:eastAsia="仿宋_GB2312"/>
          <w:color w:val="000000" w:themeColor="text1"/>
          <w:sz w:val="32"/>
          <w:szCs w:val="32"/>
        </w:rPr>
        <w:t>0%，差异主要原因是2018年自治区财政专项彩票公益金资助村级综合文化服务中心覆盖工程文化建设项目增加</w:t>
      </w:r>
      <w:r>
        <w:rPr>
          <w:rFonts w:hint="eastAsia" w:ascii="仿宋_GB2312" w:eastAsia="仿宋_GB2312"/>
          <w:color w:val="000000" w:themeColor="text1"/>
          <w:sz w:val="32"/>
          <w:szCs w:val="32"/>
          <w:lang w:eastAsia="zh-CN"/>
        </w:rPr>
        <w:t>未纳入年初预算</w:t>
      </w:r>
      <w:r>
        <w:rPr>
          <w:rFonts w:ascii="仿宋_GB2312" w:eastAsia="仿宋_GB2312"/>
          <w:color w:val="000000" w:themeColor="text1"/>
          <w:sz w:val="32"/>
          <w:szCs w:val="32"/>
        </w:rPr>
        <w:t>。</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sz w:val="32"/>
          <w:szCs w:val="32"/>
        </w:rPr>
      </w:pPr>
      <w:bookmarkStart w:id="52" w:name="OLE_LINK79"/>
      <w:bookmarkStart w:id="53" w:name="OLE_LINK80"/>
      <w:r>
        <w:rPr>
          <w:rFonts w:hint="eastAsia" w:ascii="仿宋_GB2312" w:eastAsia="仿宋_GB2312"/>
          <w:color w:val="000000"/>
          <w:sz w:val="32"/>
          <w:szCs w:val="32"/>
        </w:rPr>
        <w:t>2018年度</w:t>
      </w:r>
      <w:bookmarkStart w:id="54" w:name="OLE_LINK29"/>
      <w:r>
        <w:rPr>
          <w:rFonts w:hint="eastAsia" w:ascii="仿宋_GB2312" w:eastAsia="仿宋_GB2312"/>
          <w:color w:val="000000"/>
          <w:sz w:val="32"/>
          <w:szCs w:val="32"/>
        </w:rPr>
        <w:t>一般公共预算“三公”经费支出决算</w:t>
      </w:r>
      <w:bookmarkEnd w:id="54"/>
      <w:r>
        <w:rPr>
          <w:rFonts w:hint="eastAsia" w:ascii="仿宋_GB2312" w:eastAsia="仿宋_GB2312"/>
          <w:sz w:val="32"/>
          <w:szCs w:val="32"/>
        </w:rPr>
        <w:t>4</w:t>
      </w:r>
      <w:r>
        <w:rPr>
          <w:rFonts w:hint="eastAsia" w:ascii="仿宋_GB2312" w:eastAsia="仿宋_GB2312"/>
          <w:color w:val="000000"/>
          <w:sz w:val="32"/>
          <w:szCs w:val="32"/>
        </w:rPr>
        <w:t>万元</w:t>
      </w:r>
      <w:r>
        <w:rPr>
          <w:rFonts w:hint="eastAsia" w:ascii="仿宋_GB2312" w:eastAsia="仿宋_GB2312"/>
          <w:sz w:val="32"/>
          <w:szCs w:val="32"/>
        </w:rPr>
        <w:t>，</w:t>
      </w:r>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w:t>
      </w:r>
      <w:r>
        <w:rPr>
          <w:rFonts w:hint="eastAsia" w:ascii="仿宋_GB2312" w:eastAsia="仿宋_GB2312"/>
          <w:sz w:val="32"/>
          <w:szCs w:val="32"/>
        </w:rPr>
        <w:t>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Start w:id="55" w:name="OLE_LINK75"/>
      <w:r>
        <w:rPr>
          <w:rFonts w:hint="eastAsia" w:ascii="仿宋_GB2312" w:eastAsia="仿宋_GB2312"/>
          <w:color w:val="000000"/>
          <w:sz w:val="32"/>
          <w:szCs w:val="32"/>
          <w:highlight w:val="none"/>
        </w:rPr>
        <w:t>其中，</w:t>
      </w:r>
      <w:bookmarkStart w:id="56" w:name="OLE_LINK30"/>
      <w:r>
        <w:rPr>
          <w:rFonts w:hint="eastAsia" w:ascii="仿宋_GB2312" w:eastAsia="仿宋_GB2312"/>
          <w:color w:val="000000"/>
          <w:sz w:val="32"/>
          <w:szCs w:val="32"/>
          <w:highlight w:val="none"/>
        </w:rPr>
        <w:t>因公出国（境）费支出</w:t>
      </w:r>
      <w:bookmarkEnd w:id="56"/>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w:t>
      </w:r>
      <w:r>
        <w:rPr>
          <w:rFonts w:hint="eastAsia" w:ascii="仿宋_GB2312" w:eastAsia="仿宋_GB2312"/>
          <w:sz w:val="32"/>
          <w:szCs w:val="32"/>
        </w:rPr>
        <w:t>主要原因是：</w:t>
      </w:r>
      <w:r>
        <w:rPr>
          <w:rFonts w:ascii="仿宋_GB2312" w:eastAsia="仿宋_GB2312"/>
          <w:color w:val="000000"/>
          <w:sz w:val="32"/>
          <w:szCs w:val="32"/>
        </w:rPr>
        <w:t>本单位无因公出国（境）费支出</w:t>
      </w:r>
      <w:bookmarkEnd w:id="55"/>
      <w:bookmarkStart w:id="57" w:name="OLE_LINK31"/>
      <w:bookmarkStart w:id="58"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7"/>
      <w:r>
        <w:rPr>
          <w:rFonts w:hint="eastAsia" w:ascii="仿宋_GB2312" w:eastAsia="仿宋_GB2312"/>
          <w:sz w:val="32"/>
          <w:szCs w:val="32"/>
          <w:highlight w:val="none"/>
        </w:rPr>
        <w:t>4</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w:t>
      </w:r>
      <w:r>
        <w:rPr>
          <w:rFonts w:hint="eastAsia" w:ascii="仿宋_GB2312" w:eastAsia="仿宋_GB2312"/>
          <w:sz w:val="32"/>
          <w:szCs w:val="32"/>
        </w:rPr>
        <w:t>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58"/>
      <w:bookmarkStart w:id="59" w:name="OLE_LINK32"/>
      <w:bookmarkStart w:id="60" w:name="OLE_LINK78"/>
      <w:bookmarkStart w:id="61" w:name="OLE_LINK77"/>
      <w:r>
        <w:rPr>
          <w:rFonts w:hint="eastAsia" w:ascii="仿宋_GB2312" w:eastAsia="仿宋_GB2312"/>
          <w:color w:val="000000"/>
          <w:sz w:val="32"/>
          <w:szCs w:val="32"/>
        </w:rPr>
        <w:t>公务接待费支出</w:t>
      </w:r>
      <w:bookmarkEnd w:id="59"/>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w:t>
      </w:r>
      <w:r>
        <w:rPr>
          <w:rFonts w:hint="eastAsia" w:ascii="仿宋_GB2312" w:eastAsia="仿宋_GB2312"/>
          <w:sz w:val="32"/>
          <w:szCs w:val="32"/>
        </w:rPr>
        <w:t>主要原因是：本单位无公务接待费支出。</w:t>
      </w:r>
      <w:bookmarkEnd w:id="60"/>
      <w:bookmarkEnd w:id="61"/>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新疆喀什地区塔什库尔干县委员会宣传部</w:t>
      </w:r>
      <w:r>
        <w:rPr>
          <w:rFonts w:hint="eastAsia" w:ascii="仿宋_GB2312" w:eastAsia="仿宋_GB2312"/>
          <w:color w:val="000000" w:themeColor="text1"/>
          <w:sz w:val="32"/>
          <w:szCs w:val="32"/>
        </w:rPr>
        <w:t>单位</w:t>
      </w:r>
      <w:bookmarkStart w:id="62" w:name="OLE_LINK33"/>
      <w:r>
        <w:rPr>
          <w:rFonts w:hint="eastAsia" w:ascii="仿宋_GB2312" w:eastAsia="仿宋_GB2312"/>
          <w:color w:val="000000" w:themeColor="text1"/>
          <w:sz w:val="32"/>
          <w:szCs w:val="32"/>
        </w:rPr>
        <w:t>全年</w:t>
      </w:r>
      <w:bookmarkStart w:id="63" w:name="OLE_LINK35"/>
      <w:bookmarkStart w:id="64" w:name="OLE_LINK34"/>
      <w:bookmarkStart w:id="65" w:name="OLE_LINK36"/>
      <w:r>
        <w:rPr>
          <w:rFonts w:hint="eastAsia" w:ascii="仿宋_GB2312" w:eastAsia="仿宋_GB2312"/>
          <w:color w:val="000000" w:themeColor="text1"/>
          <w:sz w:val="32"/>
          <w:szCs w:val="32"/>
        </w:rPr>
        <w:t>使用一般公共预算财政拨款安排的出国（境）团组</w:t>
      </w:r>
      <w:bookmarkEnd w:id="62"/>
      <w:bookmarkEnd w:id="63"/>
      <w:bookmarkEnd w:id="64"/>
      <w:r>
        <w:rPr>
          <w:rFonts w:hint="eastAsia" w:ascii="仿宋_GB2312" w:eastAsia="仿宋_GB2312"/>
          <w:sz w:val="32"/>
          <w:szCs w:val="32"/>
        </w:rPr>
        <w:t>0</w:t>
      </w:r>
      <w:r>
        <w:rPr>
          <w:rFonts w:hint="eastAsia" w:ascii="仿宋_GB2312" w:eastAsia="仿宋_GB2312"/>
          <w:color w:val="000000" w:themeColor="text1"/>
          <w:sz w:val="32"/>
          <w:szCs w:val="32"/>
        </w:rPr>
        <w:t>个</w:t>
      </w:r>
      <w:bookmarkEnd w:id="65"/>
      <w:r>
        <w:rPr>
          <w:rFonts w:hint="eastAsia" w:ascii="仿宋_GB2312" w:eastAsia="仿宋_GB2312"/>
          <w:color w:val="000000" w:themeColor="text1"/>
          <w:sz w:val="32"/>
          <w:szCs w:val="32"/>
        </w:rPr>
        <w:t>，</w:t>
      </w:r>
      <w:bookmarkStart w:id="66"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6"/>
      <w:r>
        <w:rPr>
          <w:rFonts w:hint="eastAsia" w:ascii="仿宋_GB2312" w:eastAsia="仿宋_GB2312"/>
          <w:color w:val="000000" w:themeColor="text1"/>
          <w:sz w:val="32"/>
          <w:szCs w:val="32"/>
        </w:rPr>
        <w:t>。</w:t>
      </w:r>
      <w:bookmarkStart w:id="67"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52"/>
      <w:bookmarkEnd w:id="53"/>
      <w:bookmarkEnd w:id="67"/>
    </w:p>
    <w:p>
      <w:pPr>
        <w:spacing w:line="540" w:lineRule="exact"/>
        <w:ind w:firstLine="640" w:firstLineChars="200"/>
        <w:rPr>
          <w:rFonts w:ascii="仿宋_GB2312" w:eastAsia="仿宋_GB2312"/>
          <w:color w:val="000000" w:themeColor="text1"/>
          <w:sz w:val="32"/>
          <w:szCs w:val="32"/>
        </w:rPr>
      </w:pPr>
      <w:bookmarkStart w:id="68"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4</w:t>
      </w:r>
      <w:r>
        <w:rPr>
          <w:rFonts w:hint="eastAsia" w:ascii="仿宋_GB2312" w:eastAsia="仿宋_GB2312"/>
          <w:color w:val="000000" w:themeColor="text1"/>
          <w:sz w:val="32"/>
          <w:szCs w:val="32"/>
        </w:rPr>
        <w:t>万元,其中，</w:t>
      </w:r>
      <w:bookmarkStart w:id="69"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9"/>
      <w:r>
        <w:rPr>
          <w:rFonts w:hint="eastAsia" w:ascii="仿宋_GB2312" w:eastAsia="仿宋_GB2312"/>
          <w:color w:val="000000" w:themeColor="text1"/>
          <w:sz w:val="32"/>
          <w:szCs w:val="32"/>
        </w:rPr>
        <w:t>，</w:t>
      </w:r>
      <w:bookmarkStart w:id="70" w:name="OLE_LINK40"/>
      <w:bookmarkStart w:id="71"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4</w:t>
      </w:r>
      <w:r>
        <w:rPr>
          <w:rFonts w:hint="eastAsia" w:ascii="仿宋_GB2312" w:eastAsia="仿宋_GB2312"/>
          <w:color w:val="000000" w:themeColor="text1"/>
          <w:sz w:val="32"/>
          <w:szCs w:val="32"/>
        </w:rPr>
        <w:t>万元</w:t>
      </w:r>
      <w:bookmarkEnd w:id="70"/>
      <w:bookmarkEnd w:id="71"/>
      <w:r>
        <w:rPr>
          <w:rFonts w:hint="eastAsia" w:ascii="仿宋_GB2312" w:eastAsia="仿宋_GB2312"/>
          <w:color w:val="000000" w:themeColor="text1"/>
          <w:sz w:val="32"/>
          <w:szCs w:val="32"/>
        </w:rPr>
        <w:t>。主要用于</w:t>
      </w:r>
      <w:r>
        <w:rPr>
          <w:rFonts w:hint="eastAsia" w:ascii="仿宋_GB2312" w:eastAsia="仿宋_GB2312"/>
          <w:sz w:val="32"/>
          <w:szCs w:val="32"/>
        </w:rPr>
        <w:t>车辆保险、车辆加油、车辆维修费等支出</w:t>
      </w:r>
      <w:r>
        <w:rPr>
          <w:rFonts w:hint="eastAsia" w:ascii="仿宋_GB2312" w:eastAsia="仿宋_GB2312"/>
          <w:color w:val="000000" w:themeColor="text1"/>
          <w:sz w:val="32"/>
          <w:szCs w:val="32"/>
        </w:rPr>
        <w:t>等。</w:t>
      </w:r>
      <w:bookmarkEnd w:id="68"/>
      <w:bookmarkStart w:id="72"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2"/>
    </w:p>
    <w:p>
      <w:pPr>
        <w:spacing w:line="540" w:lineRule="exact"/>
        <w:ind w:firstLine="640" w:firstLineChars="200"/>
        <w:rPr>
          <w:rFonts w:ascii="仿宋_GB2312" w:eastAsia="仿宋_GB2312"/>
          <w:color w:val="000000" w:themeColor="text1"/>
          <w:sz w:val="32"/>
          <w:szCs w:val="32"/>
        </w:rPr>
      </w:pPr>
      <w:bookmarkStart w:id="73"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无公务接待费支出</w:t>
      </w:r>
      <w:r>
        <w:rPr>
          <w:rFonts w:hint="eastAsia" w:ascii="仿宋_GB2312" w:eastAsia="仿宋_GB2312"/>
          <w:color w:val="000000" w:themeColor="text1"/>
          <w:sz w:val="32"/>
          <w:szCs w:val="32"/>
        </w:rPr>
        <w:t>等。</w:t>
      </w:r>
      <w:bookmarkEnd w:id="73"/>
      <w:bookmarkStart w:id="74" w:name="OLE_LINK84"/>
      <w:r>
        <w:rPr>
          <w:rFonts w:hint="eastAsia" w:ascii="仿宋_GB2312" w:eastAsia="仿宋_GB2312"/>
          <w:sz w:val="32"/>
          <w:szCs w:val="32"/>
        </w:rPr>
        <w:t>新疆喀什地区塔什库尔干县委员会宣传部</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4"/>
    </w:p>
    <w:p>
      <w:pPr>
        <w:spacing w:line="540" w:lineRule="exact"/>
        <w:ind w:firstLine="640" w:firstLineChars="200"/>
        <w:rPr>
          <w:rFonts w:ascii="仿宋_GB2312" w:hAnsi="宋体" w:eastAsia="仿宋_GB2312" w:cs="宋体"/>
          <w:color w:val="000000" w:themeColor="text1"/>
          <w:kern w:val="0"/>
          <w:sz w:val="32"/>
          <w:szCs w:val="32"/>
        </w:rPr>
      </w:pPr>
      <w:bookmarkStart w:id="75"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6</w:t>
      </w:r>
      <w:r>
        <w:rPr>
          <w:rFonts w:hint="eastAsia" w:ascii="仿宋_GB2312" w:eastAsia="仿宋_GB2312"/>
          <w:color w:val="000000" w:themeColor="text1"/>
          <w:sz w:val="32"/>
          <w:szCs w:val="32"/>
        </w:rPr>
        <w:t>万元，决算数4万元</w:t>
      </w:r>
      <w:r>
        <w:rPr>
          <w:rFonts w:ascii="仿宋_GB2312" w:eastAsia="仿宋_GB2312"/>
          <w:color w:val="000000" w:themeColor="text1"/>
          <w:sz w:val="32"/>
          <w:szCs w:val="32"/>
        </w:rPr>
        <w:t>，预决算差异率-33.33%，差异主要原因是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75"/>
      <w:bookmarkStart w:id="76" w:name="OLE_LINK86"/>
      <w:bookmarkStart w:id="77"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，预决算差异率0%，差异主要原因是本单位无因公出国（境）费支出无差异；</w:t>
      </w:r>
      <w:bookmarkEnd w:id="76"/>
      <w:bookmarkEnd w:id="77"/>
      <w:bookmarkStart w:id="78" w:name="OLE_LINK89"/>
      <w:bookmarkStart w:id="79"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8"/>
      <w:bookmarkEnd w:id="79"/>
      <w:bookmarkStart w:id="80"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，预决算差异率-33.33%，差异主要原因是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80"/>
      <w:bookmarkStart w:id="81"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1"/>
      <w:r>
        <w:rPr>
          <w:rFonts w:ascii="仿宋_GB2312" w:eastAsia="仿宋_GB2312"/>
          <w:color w:val="000000" w:themeColor="text1"/>
          <w:sz w:val="32"/>
          <w:szCs w:val="32"/>
        </w:rPr>
        <w:t>2018年度无公务接待费无差异。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2018年度新疆喀什地区塔什库尔干县委员会宣传部机关运行经费支出204.18万元，与上年相比，增加194.15万元，增长1935.69%，增加的主要原因是：2018年增加314国道广告牌制作更换经费支出导致机关运行经费增加。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2" w:name="OLE_LINK45"/>
      <w:r>
        <w:rPr>
          <w:rFonts w:hint="eastAsia" w:ascii="仿宋_GB2312" w:eastAsia="仿宋_GB2312"/>
          <w:color w:val="000000" w:themeColor="text1"/>
          <w:sz w:val="32"/>
          <w:szCs w:val="32"/>
        </w:rPr>
        <w:t>政府采购支出总额</w:t>
      </w:r>
      <w:bookmarkEnd w:id="82"/>
      <w:r>
        <w:rPr>
          <w:rFonts w:hint="eastAsia" w:ascii="仿宋_GB2312" w:eastAsia="仿宋_GB2312"/>
          <w:sz w:val="32"/>
          <w:szCs w:val="32"/>
        </w:rPr>
        <w:t>50.69</w:t>
      </w:r>
      <w:r>
        <w:rPr>
          <w:rFonts w:hint="eastAsia" w:ascii="仿宋_GB2312" w:eastAsia="仿宋_GB2312"/>
          <w:color w:val="000000" w:themeColor="text1"/>
          <w:sz w:val="32"/>
          <w:szCs w:val="32"/>
        </w:rPr>
        <w:t>万元，其中：</w:t>
      </w:r>
      <w:bookmarkStart w:id="83" w:name="OLE_LINK46"/>
      <w:r>
        <w:rPr>
          <w:rFonts w:hint="eastAsia" w:ascii="仿宋_GB2312" w:eastAsia="仿宋_GB2312"/>
          <w:color w:val="000000" w:themeColor="text1"/>
          <w:sz w:val="32"/>
          <w:szCs w:val="32"/>
        </w:rPr>
        <w:t>政府采购货物支出</w:t>
      </w:r>
      <w:bookmarkEnd w:id="83"/>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4" w:name="OLE_LINK47"/>
      <w:r>
        <w:rPr>
          <w:rFonts w:hint="eastAsia" w:ascii="仿宋_GB2312" w:eastAsia="仿宋_GB2312"/>
          <w:color w:val="000000" w:themeColor="text1"/>
          <w:sz w:val="32"/>
          <w:szCs w:val="32"/>
        </w:rPr>
        <w:t>政府采购工程支出</w:t>
      </w:r>
      <w:bookmarkEnd w:id="8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5" w:name="OLE_LINK48"/>
      <w:r>
        <w:rPr>
          <w:rFonts w:hint="eastAsia" w:ascii="仿宋_GB2312" w:eastAsia="仿宋_GB2312"/>
          <w:color w:val="000000" w:themeColor="text1"/>
          <w:sz w:val="32"/>
          <w:szCs w:val="32"/>
        </w:rPr>
        <w:t>政府采购服务支出</w:t>
      </w:r>
      <w:bookmarkEnd w:id="85"/>
      <w:r>
        <w:rPr>
          <w:rFonts w:hint="eastAsia" w:ascii="仿宋_GB2312" w:eastAsia="仿宋_GB2312"/>
          <w:sz w:val="32"/>
          <w:szCs w:val="32"/>
        </w:rPr>
        <w:t>50.69</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6"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89.09</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三菱牌越野车新</w:t>
      </w:r>
      <w:r>
        <w:rPr>
          <w:rFonts w:hint="eastAsia" w:ascii="仿宋_GB2312" w:eastAsia="仿宋_GB2312"/>
          <w:color w:val="000000" w:themeColor="text1"/>
          <w:sz w:val="32"/>
          <w:szCs w:val="32"/>
          <w:lang w:val="en-US" w:eastAsia="zh-CN"/>
        </w:rPr>
        <w:t>Q48379一辆，主要用于</w:t>
      </w:r>
      <w:r>
        <w:rPr>
          <w:rFonts w:ascii="仿宋_GB2312" w:eastAsia="仿宋_GB2312"/>
          <w:color w:val="000000" w:themeColor="text1"/>
          <w:sz w:val="32"/>
          <w:szCs w:val="32"/>
        </w:rPr>
        <w:t>单位</w:t>
      </w:r>
      <w:r>
        <w:rPr>
          <w:rFonts w:hint="eastAsia" w:ascii="仿宋_GB2312" w:eastAsia="仿宋_GB2312"/>
          <w:color w:val="000000" w:themeColor="text1"/>
          <w:sz w:val="32"/>
          <w:szCs w:val="32"/>
          <w:lang w:eastAsia="zh-CN"/>
        </w:rPr>
        <w:t>日常外出公务用车</w:t>
      </w:r>
      <w:r>
        <w:rPr>
          <w:rFonts w:ascii="仿宋_GB2312" w:eastAsia="仿宋_GB2312"/>
          <w:color w:val="000000" w:themeColor="text1"/>
          <w:sz w:val="32"/>
          <w:szCs w:val="32"/>
        </w:rPr>
        <w:t>，</w:t>
      </w:r>
      <w:r>
        <w:rPr>
          <w:rFonts w:hint="eastAsia" w:ascii="仿宋_GB2312" w:eastAsia="仿宋_GB2312"/>
          <w:color w:val="000000" w:themeColor="text1"/>
          <w:sz w:val="32"/>
          <w:szCs w:val="32"/>
          <w:lang w:eastAsia="zh-CN"/>
        </w:rPr>
        <w:t>福特牌商务车新</w:t>
      </w:r>
      <w:r>
        <w:rPr>
          <w:rFonts w:hint="eastAsia" w:ascii="仿宋_GB2312" w:eastAsia="仿宋_GB2312"/>
          <w:color w:val="000000" w:themeColor="text1"/>
          <w:sz w:val="32"/>
          <w:szCs w:val="32"/>
          <w:lang w:val="en-US" w:eastAsia="zh-CN"/>
        </w:rPr>
        <w:t>Q51872一辆，主要用于</w:t>
      </w:r>
      <w:r>
        <w:rPr>
          <w:rFonts w:ascii="仿宋_GB2312" w:eastAsia="仿宋_GB2312"/>
          <w:color w:val="000000" w:themeColor="text1"/>
          <w:sz w:val="32"/>
          <w:szCs w:val="32"/>
        </w:rPr>
        <w:t>日常下乡宣传</w:t>
      </w:r>
      <w:r>
        <w:rPr>
          <w:rFonts w:hint="eastAsia" w:ascii="仿宋_GB2312" w:eastAsia="仿宋_GB2312"/>
          <w:color w:val="000000" w:themeColor="text1"/>
          <w:sz w:val="32"/>
          <w:szCs w:val="32"/>
          <w:lang w:eastAsia="zh-CN"/>
        </w:rPr>
        <w:t>文化政策、</w:t>
      </w:r>
      <w:r>
        <w:rPr>
          <w:rFonts w:ascii="仿宋_GB2312" w:eastAsia="仿宋_GB2312"/>
          <w:color w:val="000000" w:themeColor="text1"/>
          <w:sz w:val="32"/>
          <w:szCs w:val="32"/>
        </w:rPr>
        <w:t>下乡检查</w:t>
      </w:r>
      <w:r>
        <w:rPr>
          <w:rFonts w:hint="eastAsia" w:ascii="仿宋_GB2312" w:eastAsia="仿宋_GB2312"/>
          <w:color w:val="000000" w:themeColor="text1"/>
          <w:sz w:val="32"/>
          <w:szCs w:val="32"/>
          <w:lang w:eastAsia="zh-CN"/>
        </w:rPr>
        <w:t>工作等使用</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6"/>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一是基础工作管理。</w:t>
      </w:r>
      <w:r>
        <w:rPr>
          <w:rFonts w:hint="eastAsia" w:ascii="仿宋_GB2312" w:eastAsia="仿宋_GB2312"/>
          <w:sz w:val="32"/>
          <w:szCs w:val="32"/>
          <w:lang w:val="en-US" w:eastAsia="zh-CN"/>
        </w:rPr>
        <w:t>塔什库尔干</w:t>
      </w:r>
      <w:r>
        <w:rPr>
          <w:rFonts w:ascii="仿宋_GB2312" w:eastAsia="仿宋_GB2312"/>
          <w:sz w:val="32"/>
          <w:szCs w:val="32"/>
        </w:rPr>
        <w:t>县领导非常重视预算绩效管理工作，对该项工作给予大力支持和指导，对上级做出的批示和下发的预算批复非常的关心。在一些制度建设方面我们做的有些欠缺，有待提高和完善。二是绩效目标管理。我单位严格按照上级的要求在规定的时间报送绩效目标，比如每月按时发放工资，公积金、医疗保险等按时准确发放到位，从无拖欠。三是绩效监控管理。我单位2018年无项目收支，开始预算的项目都在后期做了及时的调整。四是绩效评价管理。2018年我单位基本支出管理的各项收入和支出都按预算的目标完成。我单位财政收入有在职人员和退休人员工资及公用经费。支出时按国家规定的工资标准发放给职工。公用经费全部用于添置办公用品、办公设备等</w:t>
      </w:r>
      <w:r>
        <w:rPr>
          <w:rFonts w:hint="eastAsia" w:ascii="仿宋_GB2312" w:eastAsia="仿宋_GB2312"/>
          <w:sz w:val="32"/>
          <w:szCs w:val="32"/>
          <w:lang w:eastAsia="zh-CN"/>
        </w:rPr>
        <w:t>，</w:t>
      </w:r>
      <w:r>
        <w:rPr>
          <w:rFonts w:ascii="仿宋_GB2312" w:eastAsia="仿宋_GB2312"/>
          <w:sz w:val="32"/>
          <w:szCs w:val="32"/>
        </w:rPr>
        <w:t>比如：我单位2018年购置饮水机、电脑、电子屏幕、添置办公桌等，为改善各乡农村文化环境各乡农村文化室进行了外墙粉刷等。使公用经费用到了实处，改善了各乡农村文化室环境。</w:t>
      </w:r>
    </w:p>
    <w:p>
      <w:pPr>
        <w:spacing w:line="540" w:lineRule="exact"/>
        <w:ind w:left="-1" w:right="-1" w:firstLine="646"/>
        <w:jc w:val="left"/>
      </w:pPr>
      <w:r>
        <w:rPr>
          <w:rFonts w:ascii="仿宋_GB2312" w:hAnsi="仿宋_GB2312" w:eastAsia="仿宋_GB2312" w:cs="仿宋_GB2312"/>
          <w:b w:val="0"/>
          <w:color w:val="auto"/>
          <w:sz w:val="32"/>
          <w:u w:val="none"/>
        </w:rPr>
        <w:t>2018年自治区财政专项彩票公益金资助村级综合文化服务中心覆盖工程文化建设项目项目绩效自评综述：根据年初设定的绩效目标，该项目绩效自评得分为90分。项目全年预算数为78万元，执行数为78万元，完成预算的100%。主要产出和效果：进一步建立和完善我县公共文化服务体系，保障农村公共文化活动开展，丰富广大农民群众精神文化生活。发现的问题及原因：项目管理及资金拨付缓慢、对预算工作缺乏认识，仍需继续加强预算管理。下一步改进措施：在今后的工作要严格预算编制，进一步加强项目管理强化资金使用效率，提高资金拨付进度。</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229（类）60（款）10（项）指：用于文化事业的彩票公益金支出。221（类）02（款）01（项）指：住房公积金。201（类）33（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hint="eastAsia" w:ascii="宋体" w:hAnsi="宋体" w:eastAsia="宋体"/>
        <w:sz w:val="28"/>
        <w:lang w:eastAsia="zh-CN"/>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2BF381B"/>
    <w:rsid w:val="03793FD7"/>
    <w:rsid w:val="03AA79F6"/>
    <w:rsid w:val="040547F7"/>
    <w:rsid w:val="04741FE5"/>
    <w:rsid w:val="04DB02C7"/>
    <w:rsid w:val="06224DBE"/>
    <w:rsid w:val="062B7DD5"/>
    <w:rsid w:val="06B856EE"/>
    <w:rsid w:val="07FE5938"/>
    <w:rsid w:val="084604BC"/>
    <w:rsid w:val="08883825"/>
    <w:rsid w:val="092B5C6E"/>
    <w:rsid w:val="09725983"/>
    <w:rsid w:val="0A382BB5"/>
    <w:rsid w:val="0AA4543A"/>
    <w:rsid w:val="0BE61132"/>
    <w:rsid w:val="0C9B0DD6"/>
    <w:rsid w:val="0CC745F6"/>
    <w:rsid w:val="0CE4791C"/>
    <w:rsid w:val="0D040B63"/>
    <w:rsid w:val="0D875082"/>
    <w:rsid w:val="0E063C64"/>
    <w:rsid w:val="0F4C7B96"/>
    <w:rsid w:val="0F7654A6"/>
    <w:rsid w:val="0FFB575E"/>
    <w:rsid w:val="10765719"/>
    <w:rsid w:val="10845F1B"/>
    <w:rsid w:val="11463A00"/>
    <w:rsid w:val="11600918"/>
    <w:rsid w:val="11B0398F"/>
    <w:rsid w:val="121110FB"/>
    <w:rsid w:val="13B960C5"/>
    <w:rsid w:val="152777F4"/>
    <w:rsid w:val="154858D3"/>
    <w:rsid w:val="15C674B6"/>
    <w:rsid w:val="16102078"/>
    <w:rsid w:val="18D54A0D"/>
    <w:rsid w:val="1A4106A0"/>
    <w:rsid w:val="1A4F5437"/>
    <w:rsid w:val="1AB77CD0"/>
    <w:rsid w:val="1E807156"/>
    <w:rsid w:val="1EA657F6"/>
    <w:rsid w:val="1F097CB6"/>
    <w:rsid w:val="2166156B"/>
    <w:rsid w:val="216A6A3F"/>
    <w:rsid w:val="21B02D83"/>
    <w:rsid w:val="2257445F"/>
    <w:rsid w:val="22754050"/>
    <w:rsid w:val="22A236F5"/>
    <w:rsid w:val="23995975"/>
    <w:rsid w:val="2432220E"/>
    <w:rsid w:val="248303BA"/>
    <w:rsid w:val="24837E47"/>
    <w:rsid w:val="24E55F2A"/>
    <w:rsid w:val="252E01AA"/>
    <w:rsid w:val="261C35DF"/>
    <w:rsid w:val="2680023E"/>
    <w:rsid w:val="277612F8"/>
    <w:rsid w:val="29680352"/>
    <w:rsid w:val="2A020F75"/>
    <w:rsid w:val="2B007AEE"/>
    <w:rsid w:val="2BC14C56"/>
    <w:rsid w:val="2C1B026F"/>
    <w:rsid w:val="2CC61F55"/>
    <w:rsid w:val="2CEA5684"/>
    <w:rsid w:val="2D1E6074"/>
    <w:rsid w:val="2EF7452F"/>
    <w:rsid w:val="2F1D13B4"/>
    <w:rsid w:val="2F985C12"/>
    <w:rsid w:val="2FAA3DA6"/>
    <w:rsid w:val="3036313A"/>
    <w:rsid w:val="30682E1F"/>
    <w:rsid w:val="30963A6E"/>
    <w:rsid w:val="30E210D2"/>
    <w:rsid w:val="311371D6"/>
    <w:rsid w:val="31EB64C9"/>
    <w:rsid w:val="33536FCC"/>
    <w:rsid w:val="336D0D6F"/>
    <w:rsid w:val="352E4BEC"/>
    <w:rsid w:val="36391A56"/>
    <w:rsid w:val="36CA3CBF"/>
    <w:rsid w:val="37DD5594"/>
    <w:rsid w:val="38355804"/>
    <w:rsid w:val="38F24FA8"/>
    <w:rsid w:val="393F54C5"/>
    <w:rsid w:val="39450E27"/>
    <w:rsid w:val="3A98342A"/>
    <w:rsid w:val="3AB6780E"/>
    <w:rsid w:val="3AD56D70"/>
    <w:rsid w:val="3B2920C2"/>
    <w:rsid w:val="3BE41ABD"/>
    <w:rsid w:val="3C5421A9"/>
    <w:rsid w:val="3C9B4E44"/>
    <w:rsid w:val="3D903B21"/>
    <w:rsid w:val="3E2238B5"/>
    <w:rsid w:val="3EF76142"/>
    <w:rsid w:val="3F440741"/>
    <w:rsid w:val="40A70DD7"/>
    <w:rsid w:val="41FC306C"/>
    <w:rsid w:val="42233075"/>
    <w:rsid w:val="427364A9"/>
    <w:rsid w:val="442D50A3"/>
    <w:rsid w:val="444A3997"/>
    <w:rsid w:val="44BE5554"/>
    <w:rsid w:val="451E0908"/>
    <w:rsid w:val="452C2D31"/>
    <w:rsid w:val="45D26E14"/>
    <w:rsid w:val="46196CF4"/>
    <w:rsid w:val="46A541B1"/>
    <w:rsid w:val="471614EF"/>
    <w:rsid w:val="47AD6017"/>
    <w:rsid w:val="48C57772"/>
    <w:rsid w:val="49164271"/>
    <w:rsid w:val="49782886"/>
    <w:rsid w:val="4A2B4DA7"/>
    <w:rsid w:val="4A6F0D28"/>
    <w:rsid w:val="4AAF085C"/>
    <w:rsid w:val="4AEB7E60"/>
    <w:rsid w:val="4B41234F"/>
    <w:rsid w:val="4B4B135B"/>
    <w:rsid w:val="4BC7055F"/>
    <w:rsid w:val="4CFC7DB2"/>
    <w:rsid w:val="4E265F1F"/>
    <w:rsid w:val="4E7C187D"/>
    <w:rsid w:val="508941AD"/>
    <w:rsid w:val="50E65530"/>
    <w:rsid w:val="51457139"/>
    <w:rsid w:val="51574DBD"/>
    <w:rsid w:val="51EC1DA8"/>
    <w:rsid w:val="52FC5524"/>
    <w:rsid w:val="532D7A17"/>
    <w:rsid w:val="53E931F8"/>
    <w:rsid w:val="54AF4562"/>
    <w:rsid w:val="54C9674B"/>
    <w:rsid w:val="556318EA"/>
    <w:rsid w:val="55A60AA1"/>
    <w:rsid w:val="56451615"/>
    <w:rsid w:val="56874C20"/>
    <w:rsid w:val="56984C38"/>
    <w:rsid w:val="57546211"/>
    <w:rsid w:val="57FC5774"/>
    <w:rsid w:val="59B332C9"/>
    <w:rsid w:val="59ED1AEB"/>
    <w:rsid w:val="5A44758A"/>
    <w:rsid w:val="5AB7165B"/>
    <w:rsid w:val="5BEC4BB3"/>
    <w:rsid w:val="5C070B55"/>
    <w:rsid w:val="5CB96DCE"/>
    <w:rsid w:val="5CE61580"/>
    <w:rsid w:val="5D175666"/>
    <w:rsid w:val="5D556A3C"/>
    <w:rsid w:val="5D7B25C9"/>
    <w:rsid w:val="5ECB44B4"/>
    <w:rsid w:val="5EE2043C"/>
    <w:rsid w:val="602D2E37"/>
    <w:rsid w:val="60DF42AD"/>
    <w:rsid w:val="61460FBE"/>
    <w:rsid w:val="614B32B5"/>
    <w:rsid w:val="62775810"/>
    <w:rsid w:val="62D83744"/>
    <w:rsid w:val="630F4048"/>
    <w:rsid w:val="63AA02E5"/>
    <w:rsid w:val="642C3A00"/>
    <w:rsid w:val="64700DE9"/>
    <w:rsid w:val="64C67394"/>
    <w:rsid w:val="65C613BD"/>
    <w:rsid w:val="65FD118C"/>
    <w:rsid w:val="682C3D89"/>
    <w:rsid w:val="68611305"/>
    <w:rsid w:val="6A162DE0"/>
    <w:rsid w:val="6A331428"/>
    <w:rsid w:val="6A9B4451"/>
    <w:rsid w:val="6B2E5CB6"/>
    <w:rsid w:val="6B3D4886"/>
    <w:rsid w:val="6DF8675E"/>
    <w:rsid w:val="6EA80098"/>
    <w:rsid w:val="6F8D70FF"/>
    <w:rsid w:val="6FFE5011"/>
    <w:rsid w:val="714A08A3"/>
    <w:rsid w:val="7178734D"/>
    <w:rsid w:val="71791096"/>
    <w:rsid w:val="717B0C34"/>
    <w:rsid w:val="71FB78FD"/>
    <w:rsid w:val="7275064A"/>
    <w:rsid w:val="731A0F63"/>
    <w:rsid w:val="733F750B"/>
    <w:rsid w:val="735702E2"/>
    <w:rsid w:val="74067582"/>
    <w:rsid w:val="765F635A"/>
    <w:rsid w:val="76B73454"/>
    <w:rsid w:val="76D254BD"/>
    <w:rsid w:val="77727ACD"/>
    <w:rsid w:val="78071142"/>
    <w:rsid w:val="78C46177"/>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unhideWhenUsed/>
    <w:qFormat/>
    <w:uiPriority w:val="99"/>
    <w:rPr>
      <w:b/>
      <w:bCs/>
    </w:rPr>
  </w:style>
  <w:style w:type="character" w:styleId="9">
    <w:name w:val="page number"/>
    <w:basedOn w:val="8"/>
    <w:qFormat/>
    <w:uiPriority w:val="0"/>
  </w:style>
  <w:style w:type="character" w:styleId="10">
    <w:name w:val="annotation reference"/>
    <w:basedOn w:val="8"/>
    <w:unhideWhenUsed/>
    <w:qFormat/>
    <w:uiPriority w:val="99"/>
    <w:rPr>
      <w:sz w:val="21"/>
      <w:szCs w:val="21"/>
    </w:rPr>
  </w:style>
  <w:style w:type="character" w:customStyle="1" w:styleId="11">
    <w:name w:val="页脚 字符"/>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字符"/>
    <w:basedOn w:val="8"/>
    <w:link w:val="2"/>
    <w:semiHidden/>
    <w:qFormat/>
    <w:uiPriority w:val="99"/>
    <w:rPr>
      <w:rFonts w:ascii="Times New Roman" w:hAnsi="Times New Roman" w:eastAsia="宋体" w:cs="Times New Roman"/>
      <w:szCs w:val="24"/>
    </w:rPr>
  </w:style>
  <w:style w:type="character" w:customStyle="1" w:styleId="13">
    <w:name w:val="批注主题 字符"/>
    <w:basedOn w:val="12"/>
    <w:link w:val="6"/>
    <w:semiHidden/>
    <w:qFormat/>
    <w:uiPriority w:val="99"/>
    <w:rPr>
      <w:rFonts w:ascii="Times New Roman" w:hAnsi="Times New Roman" w:eastAsia="宋体" w:cs="Times New Roman"/>
      <w:b/>
      <w:bCs/>
      <w:szCs w:val="24"/>
    </w:rPr>
  </w:style>
  <w:style w:type="character" w:customStyle="1" w:styleId="14">
    <w:name w:val="批注框文本 字符"/>
    <w:basedOn w:val="8"/>
    <w:link w:val="3"/>
    <w:semiHidden/>
    <w:qFormat/>
    <w:uiPriority w:val="99"/>
    <w:rPr>
      <w:rFonts w:ascii="Times New Roman" w:hAnsi="Times New Roman" w:eastAsia="宋体" w:cs="Times New Roman"/>
      <w:sz w:val="18"/>
      <w:szCs w:val="18"/>
    </w:rPr>
  </w:style>
  <w:style w:type="character" w:customStyle="1" w:styleId="15">
    <w:name w:val="页眉 字符"/>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3</TotalTime>
  <ScaleCrop>false</ScaleCrop>
  <LinksUpToDate>false</LinksUpToDate>
  <CharactersWithSpaces>7695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zfg</cp:lastModifiedBy>
  <dcterms:modified xsi:type="dcterms:W3CDTF">2021-06-18T10:30:45Z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