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2018年度新疆喀什地区塔什库尔干县档案史志馆部门决算公开说明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hint="eastAsia" w:ascii="黑体" w:hAnsi="黑体" w:eastAsia="黑体"/>
          <w:kern w:val="0"/>
          <w:sz w:val="32"/>
          <w:szCs w:val="32"/>
          <w:lang w:val="en-US" w:eastAsia="zh-CN"/>
        </w:rPr>
      </w:pPr>
      <w:r>
        <w:rPr>
          <w:rFonts w:hint="eastAsia" w:ascii="黑体" w:hAnsi="黑体" w:eastAsia="黑体"/>
          <w:kern w:val="0"/>
          <w:sz w:val="32"/>
          <w:szCs w:val="32"/>
        </w:rPr>
        <w:t>第一部分部门单位概况</w:t>
      </w:r>
      <w:r>
        <w:rPr>
          <w:rFonts w:hint="eastAsia" w:ascii="黑体" w:hAnsi="黑体" w:eastAsia="黑体"/>
          <w:kern w:val="0"/>
          <w:sz w:val="32"/>
          <w:szCs w:val="32"/>
          <w:lang w:val="en-US" w:eastAsia="zh-CN"/>
        </w:rPr>
        <w:t xml:space="preserve"> </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1、贯彻执行《中华人民共和国档案法》及党和国家有关档案工作的方针、政策，按照统一领导、分级管理的原则对全县档案事业实行统筹规划，制定全县档案工作规范性文件并负责组织实施。</w:t>
      </w:r>
      <w:r>
        <w:rPr>
          <w:rFonts w:hint="eastAsia" w:ascii="仿宋_GB2312" w:eastAsia="仿宋_GB2312"/>
          <w:sz w:val="32"/>
          <w:szCs w:val="32"/>
        </w:rPr>
        <w:br w:type="textWrapping"/>
      </w:r>
      <w:r>
        <w:rPr>
          <w:rFonts w:hint="eastAsia" w:ascii="仿宋_GB2312" w:eastAsia="仿宋_GB2312"/>
          <w:sz w:val="32"/>
          <w:szCs w:val="32"/>
        </w:rPr>
        <w:t>2、依法指导、监督、检查、协调全县机关、党派、团体、企事业单位、和其他组织的档案工作，查处档案违法案件。</w:t>
      </w:r>
      <w:r>
        <w:rPr>
          <w:rFonts w:hint="eastAsia" w:ascii="仿宋_GB2312" w:eastAsia="仿宋_GB2312"/>
          <w:sz w:val="32"/>
          <w:szCs w:val="32"/>
        </w:rPr>
        <w:br w:type="textWrapping"/>
      </w:r>
      <w:r>
        <w:rPr>
          <w:rFonts w:hint="eastAsia" w:ascii="仿宋_GB2312" w:eastAsia="仿宋_GB2312"/>
          <w:sz w:val="32"/>
          <w:szCs w:val="32"/>
        </w:rPr>
        <w:t>3、组织开展全县档案学术活动、档案宣传、教育培训、专业技术职务评聘工作，负责研究应用现代化科学技术管理保护档案。</w:t>
      </w:r>
      <w:r>
        <w:rPr>
          <w:rFonts w:hint="eastAsia" w:ascii="仿宋_GB2312" w:eastAsia="仿宋_GB2312"/>
          <w:sz w:val="32"/>
          <w:szCs w:val="32"/>
        </w:rPr>
        <w:br w:type="textWrapping"/>
      </w:r>
      <w:r>
        <w:rPr>
          <w:rFonts w:hint="eastAsia" w:ascii="仿宋_GB2312" w:eastAsia="仿宋_GB2312"/>
          <w:sz w:val="32"/>
          <w:szCs w:val="32"/>
        </w:rPr>
        <w:t>4、依照国家有关规定，负责接收、征集、整理、集中保管全县机关、党派、团体、企事业单位、和其他组织的重要档案和涉及本县各个方面的珍贵历史资料，确保档案资料的完全。</w:t>
      </w:r>
      <w:r>
        <w:rPr>
          <w:rFonts w:hint="eastAsia" w:ascii="仿宋_GB2312" w:eastAsia="仿宋_GB2312"/>
          <w:sz w:val="32"/>
          <w:szCs w:val="32"/>
        </w:rPr>
        <w:br w:type="textWrapping"/>
      </w:r>
      <w:r>
        <w:rPr>
          <w:rFonts w:hint="eastAsia" w:ascii="仿宋_GB2312" w:eastAsia="仿宋_GB2312"/>
          <w:sz w:val="32"/>
          <w:szCs w:val="32"/>
        </w:rPr>
        <w:t>5、开展档案编辑工作，开发档案信息资源，依法向社会开放档案:负责全县档案目录中心工作，建立全县档案信息网络。</w:t>
      </w:r>
      <w:r>
        <w:rPr>
          <w:rFonts w:hint="eastAsia" w:ascii="仿宋_GB2312" w:eastAsia="仿宋_GB2312"/>
          <w:sz w:val="32"/>
          <w:szCs w:val="32"/>
        </w:rPr>
        <w:br w:type="textWrapping"/>
      </w:r>
      <w:r>
        <w:rPr>
          <w:rFonts w:hint="eastAsia" w:ascii="仿宋_GB2312" w:eastAsia="仿宋_GB2312"/>
          <w:sz w:val="32"/>
          <w:szCs w:val="32"/>
        </w:rPr>
        <w:t>6、编制组织实施全县党史、修志工作发展规划；负责党史、年鉴、区志的编修、研究、宣传教育、培训和利用、交流工作。</w:t>
      </w:r>
      <w:r>
        <w:rPr>
          <w:rFonts w:hint="eastAsia" w:ascii="仿宋_GB2312" w:eastAsia="仿宋_GB2312"/>
          <w:sz w:val="32"/>
          <w:szCs w:val="32"/>
        </w:rPr>
        <w:br w:type="textWrapping"/>
      </w:r>
      <w:r>
        <w:rPr>
          <w:rFonts w:hint="eastAsia" w:ascii="仿宋_GB2312" w:eastAsia="仿宋_GB2312"/>
          <w:sz w:val="32"/>
          <w:szCs w:val="32"/>
        </w:rPr>
        <w:t>7、承办上级交办的有关事宜。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新疆喀什地区塔什库尔干县档案史志馆</w:t>
      </w:r>
      <w:r>
        <w:rPr>
          <w:rFonts w:hint="eastAsia" w:ascii="仿宋_GB2312" w:eastAsia="仿宋_GB2312"/>
          <w:sz w:val="32"/>
          <w:szCs w:val="32"/>
        </w:rPr>
        <w:t>部门决算包括：</w:t>
      </w:r>
      <w:r>
        <w:rPr>
          <w:rFonts w:ascii="仿宋_GB2312" w:eastAsia="仿宋_GB2312"/>
          <w:sz w:val="32"/>
          <w:szCs w:val="32"/>
        </w:rPr>
        <w:t>新疆喀什地区塔什库尔干县档案史志馆</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新疆喀什地区塔什库尔干县档案史志馆</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新疆喀什地区塔什库尔干县档案史志馆</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139.56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，与上年相比，增加43.85万元，增长45.82%，增加的主要原因是：</w:t>
      </w:r>
      <w:r>
        <w:rPr>
          <w:rFonts w:hint="eastAsia" w:ascii="仿宋_GB2312" w:eastAsia="仿宋_GB2312"/>
          <w:color w:val="000000" w:themeColor="text1"/>
          <w:sz w:val="32"/>
          <w:szCs w:val="32"/>
        </w:rPr>
        <w:t>政策性工资调整：其中：2017年4月增加参公人员1人，8月增加参公人员2人；2018年在职5人晋升，每月增加515元；8月起艰边津贴月增5680元，并补发19个月95120元；9月2人转正，每月调资246元；12月在职7人追加高海拔地区工龄补贴51750元，基本工资调标12036元等原因导致本年决算数较上年</w:t>
      </w:r>
      <w:r>
        <w:rPr>
          <w:rFonts w:hint="eastAsia" w:ascii="仿宋_GB2312" w:eastAsia="仿宋_GB2312"/>
          <w:color w:val="000000" w:themeColor="text1"/>
          <w:sz w:val="32"/>
          <w:szCs w:val="32"/>
          <w:lang w:val="en-US" w:eastAsia="zh-CN"/>
        </w:rPr>
        <w:t>数</w:t>
      </w:r>
      <w:r>
        <w:rPr>
          <w:rFonts w:hint="eastAsia" w:ascii="仿宋_GB2312" w:eastAsia="仿宋_GB2312"/>
          <w:color w:val="000000" w:themeColor="text1"/>
          <w:sz w:val="32"/>
          <w:szCs w:val="32"/>
        </w:rPr>
        <w:t>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139.56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，与上年相比，增加43.85万元，增长45.82%，增加的主要原因是：</w:t>
      </w:r>
      <w:r>
        <w:rPr>
          <w:rFonts w:hint="eastAsia" w:ascii="仿宋_GB2312" w:eastAsia="仿宋_GB2312"/>
          <w:color w:val="000000" w:themeColor="text1"/>
          <w:sz w:val="32"/>
          <w:szCs w:val="32"/>
        </w:rPr>
        <w:t>政策性工资调整：其中：2017年4月增加参公人员1人，8月增加参公人员2人；2018年在职5人晋升，每月增加515元；8月起艰边津贴月增5680元，并补发19个月95120元；9月2人转正，每月调资246元；12月在职7人追加高海拔地区工龄补贴51750元，基本工资调标12036元等原因导致本年决算数较上年</w:t>
      </w:r>
      <w:r>
        <w:rPr>
          <w:rFonts w:hint="eastAsia" w:ascii="仿宋_GB2312" w:eastAsia="仿宋_GB2312"/>
          <w:color w:val="000000" w:themeColor="text1"/>
          <w:sz w:val="32"/>
          <w:szCs w:val="32"/>
          <w:lang w:val="en-US" w:eastAsia="zh-CN"/>
        </w:rPr>
        <w:t>数</w:t>
      </w:r>
      <w:r>
        <w:rPr>
          <w:rFonts w:hint="eastAsia" w:ascii="仿宋_GB2312" w:eastAsia="仿宋_GB2312"/>
          <w:color w:val="000000" w:themeColor="text1"/>
          <w:sz w:val="32"/>
          <w:szCs w:val="32"/>
        </w:rPr>
        <w:t>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139.56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139.56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况：本年收入年初预算数149.83万元</w:t>
      </w:r>
      <w:r>
        <w:rPr>
          <w:rFonts w:hint="eastAsia" w:ascii="仿宋_GB2312" w:eastAsia="仿宋_GB2312"/>
          <w:sz w:val="32"/>
          <w:szCs w:val="32"/>
        </w:rPr>
        <w:t>，决算数139.56万元</w:t>
      </w:r>
      <w:r>
        <w:rPr>
          <w:rFonts w:ascii="仿宋_GB2312" w:eastAsia="仿宋_GB2312"/>
          <w:sz w:val="32"/>
          <w:szCs w:val="32"/>
        </w:rPr>
        <w:t>，预决算差异率-6.85%，差异主要原因是2018年纳入年初预算的出版费项目资金实际未使用导致决算数较预算数减少。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139.56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139.56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与年初预算数相比情况：本年支出年初预算数149.83万元，</w:t>
      </w:r>
      <w:r>
        <w:rPr>
          <w:rFonts w:hint="eastAsia" w:ascii="仿宋_GB2312" w:eastAsia="仿宋_GB2312"/>
          <w:sz w:val="32"/>
          <w:szCs w:val="32"/>
        </w:rPr>
        <w:t>决算数139.56万元</w:t>
      </w:r>
      <w:r>
        <w:rPr>
          <w:rFonts w:ascii="仿宋_GB2312" w:eastAsia="仿宋_GB2312"/>
          <w:sz w:val="32"/>
          <w:szCs w:val="32"/>
        </w:rPr>
        <w:t>，预决算差异率-6.85%，差异主要原因是2018年纳入年初预算的出版费项目资金实际未使用导致决算数较预算数减少。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139.56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43.85万元，增长45.82%，增加的主要原因是：政策性工资调整：其中：2017年4月增加参公人员1人，8月增加参公人员2人；2018年在职5人晋升，每月增加515元；8月起艰边津贴月增5680元，并补发19个月95120元；9月2人转正，每月调资246元；12月在职7人追加高海拔地区工龄补贴51750元，基本工资调标12036元等原因导致本年决算数较上年</w:t>
      </w:r>
      <w:r>
        <w:rPr>
          <w:rFonts w:hint="eastAsia" w:ascii="仿宋_GB2312" w:eastAsia="仿宋_GB2312"/>
          <w:sz w:val="32"/>
          <w:szCs w:val="32"/>
          <w:lang w:val="en-US" w:eastAsia="zh-CN"/>
        </w:rPr>
        <w:t>数</w:t>
      </w:r>
      <w:r>
        <w:rPr>
          <w:rFonts w:hint="eastAsia" w:ascii="仿宋_GB2312" w:eastAsia="仿宋_GB2312"/>
          <w:sz w:val="32"/>
          <w:szCs w:val="32"/>
        </w:rPr>
        <w:t>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139.56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，与上年相比，增加43.85万元，增长45.82%，增加的主要原因是：</w:t>
      </w:r>
      <w:r>
        <w:rPr>
          <w:rFonts w:ascii="仿宋_GB2312" w:eastAsia="仿宋_GB2312"/>
          <w:sz w:val="32"/>
          <w:szCs w:val="32"/>
        </w:rPr>
        <w:t>政策性工资调整：其中：2017年4月增加参公人员1人，8月增加参公人员2人；2018年在职5人晋升，每月增加515元；8月起艰边津贴月增5680元，并补发19个月95120元；9月2人转正，每月调资246元；12月在职7人追加高海拔地区工龄补贴51750元，基本工资调标12036元等原因导致本年决算数较上年</w:t>
      </w:r>
      <w:r>
        <w:rPr>
          <w:rFonts w:hint="eastAsia" w:ascii="仿宋_GB2312" w:eastAsia="仿宋_GB2312"/>
          <w:sz w:val="32"/>
          <w:szCs w:val="32"/>
          <w:lang w:val="en-US" w:eastAsia="zh-CN"/>
        </w:rPr>
        <w:t>数</w:t>
      </w:r>
      <w:r>
        <w:rPr>
          <w:rFonts w:ascii="仿宋_GB2312" w:eastAsia="仿宋_GB2312"/>
          <w:sz w:val="32"/>
          <w:szCs w:val="32"/>
        </w:rPr>
        <w:t>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139.56</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149.83</w:t>
      </w:r>
      <w:r>
        <w:rPr>
          <w:rFonts w:hint="eastAsia" w:ascii="仿宋_GB2312" w:eastAsia="仿宋_GB2312"/>
          <w:color w:val="000000" w:themeColor="text1"/>
          <w:sz w:val="32"/>
          <w:szCs w:val="32"/>
        </w:rPr>
        <w:t>万元，决算数</w:t>
      </w:r>
      <w:r>
        <w:rPr>
          <w:rFonts w:hint="eastAsia" w:ascii="仿宋_GB2312" w:eastAsia="仿宋_GB2312"/>
          <w:sz w:val="32"/>
          <w:szCs w:val="32"/>
        </w:rPr>
        <w:t>139.56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，预决算差异率-6.85%，差异主要原因是2018年纳入年初预算的出版费项目资金实际未使用导致决算数较预算数减少。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149.83</w:t>
      </w:r>
      <w:r>
        <w:rPr>
          <w:rFonts w:hint="eastAsia" w:ascii="仿宋_GB2312" w:eastAsia="仿宋_GB2312"/>
          <w:color w:val="000000" w:themeColor="text1"/>
          <w:sz w:val="32"/>
          <w:szCs w:val="32"/>
        </w:rPr>
        <w:t>万元，决算数</w:t>
      </w:r>
      <w:r>
        <w:rPr>
          <w:rFonts w:hint="eastAsia" w:ascii="仿宋_GB2312" w:eastAsia="仿宋_GB2312"/>
          <w:sz w:val="32"/>
          <w:szCs w:val="32"/>
        </w:rPr>
        <w:t>139.56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，预决算差异率-6.85%，差异主要原因是2018年纳入年初预算的出版费项目资金实际未使用导致决算数较预算数减少。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139.56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43.85万元，增长45.82%，增加的主要原因是：政策性工资调整：其中：2017年4月增加参公人员1人，8月增加参公人员2人；2018年在职5人晋升，每月增加515元；8月起艰边津贴月增5680元，并补发19个月95120元；9月2人转正，每月调资246元；12月在职7人追加高海拔地区工龄补贴51750元，基本工资调标12036元等原因导致本年决算数较上年</w:t>
      </w:r>
      <w:r>
        <w:rPr>
          <w:rFonts w:hint="eastAsia" w:ascii="仿宋_GB2312" w:eastAsia="仿宋_GB2312"/>
          <w:color w:val="000000" w:themeColor="text1"/>
          <w:sz w:val="32"/>
          <w:szCs w:val="32"/>
          <w:lang w:val="en-US" w:eastAsia="zh-CN"/>
        </w:rPr>
        <w:t>数</w:t>
      </w:r>
      <w:r>
        <w:rPr>
          <w:rFonts w:ascii="仿宋_GB2312" w:eastAsia="仿宋_GB2312"/>
          <w:color w:val="000000" w:themeColor="text1"/>
          <w:sz w:val="32"/>
          <w:szCs w:val="32"/>
        </w:rPr>
        <w:t>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139.56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43.85万元，增长45.82%，增加的主要原因是：政策性工资调整：其中：2017年4月增加参公人员1人，8月增加参公人员2人；2018年在职5人晋升，每月增加515元；8月起艰边津贴月增5680元，并补发19个月95120元；9月2人转正，每月调资246元；12月在职7人追加高海拔地区工龄补贴51750元，基本工资调标12036元等原因导致本年决算数较上年</w:t>
      </w:r>
      <w:r>
        <w:rPr>
          <w:rFonts w:hint="eastAsia" w:ascii="仿宋_GB2312" w:eastAsia="仿宋_GB2312"/>
          <w:sz w:val="32"/>
          <w:szCs w:val="32"/>
          <w:lang w:val="en-US" w:eastAsia="zh-CN"/>
        </w:rPr>
        <w:t>数</w:t>
      </w:r>
      <w:bookmarkStart w:id="79" w:name="_GoBack"/>
      <w:bookmarkEnd w:id="79"/>
      <w:r>
        <w:rPr>
          <w:rFonts w:hint="eastAsia" w:ascii="仿宋_GB2312" w:eastAsia="仿宋_GB2312"/>
          <w:sz w:val="32"/>
          <w:szCs w:val="32"/>
        </w:rPr>
        <w:t>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住房保障支出8.74万元,一般公共服务支出118.03万元,社会保障和就业支出12.8万元。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工资福利支出131.74万元,商品和服务支出5.5万元,对个人和家庭的补助2.32万元。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149.83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139.56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，预决算差异率-6.85%，差异主要原因是2018年纳入年初预算的出版费项目资金实际未使用导致决算数较预算数减少。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149.83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139.56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，预决算差异率-6.85%，差异主要原因是2018年纳入年初预算的出版费项目资金实际未使用导致决算数较预算数减少。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color w:val="000000" w:themeColor="text1"/>
          <w:sz w:val="32"/>
          <w:szCs w:val="32"/>
        </w:rPr>
      </w:pPr>
      <w:bookmarkStart w:id="52" w:name="OLE_LINK79"/>
      <w:bookmarkStart w:id="53" w:name="OLE_LINK80"/>
      <w:r>
        <w:rPr>
          <w:rFonts w:hint="eastAsia" w:ascii="仿宋_GB2312" w:eastAsia="仿宋_GB2312"/>
          <w:color w:val="000000" w:themeColor="text1"/>
          <w:sz w:val="32"/>
          <w:szCs w:val="32"/>
        </w:rPr>
        <w:t>2018年度一般公共预算“三公”经费支出决算0万元，与上年相比，</w:t>
      </w:r>
      <w:r>
        <w:rPr>
          <w:rFonts w:hint="eastAsia" w:ascii="仿宋_GB2312" w:eastAsia="仿宋_GB2312"/>
          <w:color w:val="000000" w:themeColor="text1"/>
          <w:sz w:val="32"/>
          <w:szCs w:val="32"/>
          <w:lang w:val="en-US" w:eastAsia="zh-CN"/>
        </w:rPr>
        <w:t>增加0万元，增长0%，增加</w:t>
      </w:r>
      <w:r>
        <w:rPr>
          <w:rFonts w:hint="eastAsia" w:ascii="仿宋_GB2312" w:eastAsia="仿宋_GB2312"/>
          <w:color w:val="000000" w:themeColor="text1"/>
          <w:sz w:val="32"/>
          <w:szCs w:val="32"/>
        </w:rPr>
        <w:t>的主要原因是：</w:t>
      </w:r>
      <w:r>
        <w:rPr>
          <w:rFonts w:hint="eastAsia" w:ascii="仿宋_GB2312" w:eastAsia="仿宋_GB2312"/>
          <w:color w:val="000000" w:themeColor="text1"/>
          <w:sz w:val="32"/>
          <w:szCs w:val="32"/>
          <w:lang w:val="en-US" w:eastAsia="zh-CN"/>
        </w:rPr>
        <w:t>本单位无</w:t>
      </w:r>
      <w:r>
        <w:rPr>
          <w:rFonts w:hint="eastAsia" w:ascii="仿宋_GB2312" w:eastAsia="仿宋_GB2312"/>
          <w:color w:val="000000" w:themeColor="text1"/>
          <w:sz w:val="32"/>
          <w:szCs w:val="32"/>
        </w:rPr>
        <w:t>“三公”经费支出。其中，因公出国（境）费支出0万元，占0%，与上年相比</w:t>
      </w:r>
      <w:r>
        <w:rPr>
          <w:rFonts w:hint="eastAsia" w:ascii="仿宋_GB2312" w:eastAsia="仿宋_GB2312"/>
          <w:color w:val="000000" w:themeColor="text1"/>
          <w:sz w:val="32"/>
          <w:szCs w:val="32"/>
          <w:lang w:val="en-US" w:eastAsia="zh-CN"/>
        </w:rPr>
        <w:t>,增加0万元，增长0%，增加</w:t>
      </w:r>
      <w:r>
        <w:rPr>
          <w:rFonts w:hint="eastAsia" w:ascii="仿宋_GB2312" w:eastAsia="仿宋_GB2312"/>
          <w:color w:val="000000" w:themeColor="text1"/>
          <w:sz w:val="32"/>
          <w:szCs w:val="32"/>
        </w:rPr>
        <w:t>的主要原因是：本单位无因公出国（境）费支出；公务用车购置及运行维护费支出0万元，占0%，与上年相比</w:t>
      </w:r>
      <w:r>
        <w:rPr>
          <w:rFonts w:hint="eastAsia" w:ascii="仿宋_GB2312" w:eastAsia="仿宋_GB2312"/>
          <w:color w:val="000000" w:themeColor="text1"/>
          <w:sz w:val="32"/>
          <w:szCs w:val="32"/>
          <w:lang w:val="en-US" w:eastAsia="zh-CN"/>
        </w:rPr>
        <w:t>,增加0万元，增长0%，增加</w:t>
      </w:r>
      <w:r>
        <w:rPr>
          <w:rFonts w:hint="eastAsia" w:ascii="仿宋_GB2312" w:eastAsia="仿宋_GB2312"/>
          <w:color w:val="000000" w:themeColor="text1"/>
          <w:sz w:val="32"/>
          <w:szCs w:val="32"/>
        </w:rPr>
        <w:t>的主要原因是：本单位无公务用车购置及维护费支出；公务接待费支出0万元，占0%，与上年相比</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增加0万元，增长0%，增加</w:t>
      </w:r>
      <w:r>
        <w:rPr>
          <w:rFonts w:hint="eastAsia" w:ascii="仿宋_GB2312" w:eastAsia="仿宋_GB2312"/>
          <w:color w:val="000000" w:themeColor="text1"/>
          <w:sz w:val="32"/>
          <w:szCs w:val="32"/>
        </w:rPr>
        <w:t>的主要原因是：本单位无公务接待费支出。具体情况如下：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新疆喀什地区塔什库尔干县档案史志馆</w:t>
      </w:r>
      <w:r>
        <w:rPr>
          <w:rFonts w:hint="eastAsia" w:ascii="仿宋_GB2312" w:eastAsia="仿宋_GB2312"/>
          <w:color w:val="000000" w:themeColor="text1"/>
          <w:sz w:val="32"/>
          <w:szCs w:val="32"/>
        </w:rPr>
        <w:t>单位</w:t>
      </w:r>
      <w:bookmarkStart w:id="54" w:name="OLE_LINK33"/>
      <w:r>
        <w:rPr>
          <w:rFonts w:hint="eastAsia" w:ascii="仿宋_GB2312" w:eastAsia="仿宋_GB2312"/>
          <w:color w:val="000000" w:themeColor="text1"/>
          <w:sz w:val="32"/>
          <w:szCs w:val="32"/>
        </w:rPr>
        <w:t>全年</w:t>
      </w:r>
      <w:bookmarkStart w:id="55" w:name="OLE_LINK34"/>
      <w:bookmarkStart w:id="56" w:name="OLE_LINK35"/>
      <w:bookmarkStart w:id="57" w:name="OLE_LINK36"/>
      <w:r>
        <w:rPr>
          <w:rFonts w:hint="eastAsia" w:ascii="仿宋_GB2312" w:eastAsia="仿宋_GB2312"/>
          <w:color w:val="000000" w:themeColor="text1"/>
          <w:sz w:val="32"/>
          <w:szCs w:val="32"/>
        </w:rPr>
        <w:t>使用一般公共预算财政拨款安排的出国（境）团组</w:t>
      </w:r>
      <w:bookmarkEnd w:id="54"/>
      <w:bookmarkEnd w:id="55"/>
      <w:bookmarkEnd w:id="56"/>
      <w:r>
        <w:rPr>
          <w:rFonts w:hint="eastAsia" w:ascii="仿宋_GB2312" w:eastAsia="仿宋_GB2312"/>
          <w:sz w:val="32"/>
          <w:szCs w:val="32"/>
        </w:rPr>
        <w:t>0</w:t>
      </w:r>
      <w:r>
        <w:rPr>
          <w:rFonts w:hint="eastAsia" w:ascii="仿宋_GB2312" w:eastAsia="仿宋_GB2312"/>
          <w:color w:val="000000" w:themeColor="text1"/>
          <w:sz w:val="32"/>
          <w:szCs w:val="32"/>
        </w:rPr>
        <w:t>个</w:t>
      </w:r>
      <w:bookmarkEnd w:id="57"/>
      <w:r>
        <w:rPr>
          <w:rFonts w:hint="eastAsia" w:ascii="仿宋_GB2312" w:eastAsia="仿宋_GB2312"/>
          <w:color w:val="000000" w:themeColor="text1"/>
          <w:sz w:val="32"/>
          <w:szCs w:val="32"/>
        </w:rPr>
        <w:t>，</w:t>
      </w:r>
      <w:bookmarkStart w:id="58"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8"/>
      <w:r>
        <w:rPr>
          <w:rFonts w:hint="eastAsia" w:ascii="仿宋_GB2312" w:eastAsia="仿宋_GB2312"/>
          <w:color w:val="000000" w:themeColor="text1"/>
          <w:sz w:val="32"/>
          <w:szCs w:val="32"/>
        </w:rPr>
        <w:t>。</w:t>
      </w:r>
      <w:bookmarkStart w:id="59"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本单位无因公出国（境）支出。</w:t>
      </w:r>
      <w:bookmarkEnd w:id="52"/>
      <w:bookmarkEnd w:id="53"/>
      <w:bookmarkEnd w:id="59"/>
    </w:p>
    <w:p>
      <w:pPr>
        <w:spacing w:line="540" w:lineRule="exact"/>
        <w:ind w:firstLine="640" w:firstLineChars="200"/>
        <w:rPr>
          <w:rFonts w:ascii="仿宋_GB2312" w:eastAsia="仿宋_GB2312"/>
          <w:color w:val="000000" w:themeColor="text1"/>
          <w:sz w:val="32"/>
          <w:szCs w:val="32"/>
        </w:rPr>
      </w:pPr>
      <w:bookmarkStart w:id="60"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1"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1"/>
      <w:r>
        <w:rPr>
          <w:rFonts w:hint="eastAsia" w:ascii="仿宋_GB2312" w:eastAsia="仿宋_GB2312"/>
          <w:color w:val="000000" w:themeColor="text1"/>
          <w:sz w:val="32"/>
          <w:szCs w:val="32"/>
        </w:rPr>
        <w:t>，</w:t>
      </w:r>
      <w:bookmarkStart w:id="62" w:name="OLE_LINK40"/>
      <w:bookmarkStart w:id="63"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2"/>
      <w:bookmarkEnd w:id="63"/>
      <w:r>
        <w:rPr>
          <w:rFonts w:hint="eastAsia" w:ascii="仿宋_GB2312" w:eastAsia="仿宋_GB2312"/>
          <w:color w:val="000000" w:themeColor="text1"/>
          <w:sz w:val="32"/>
          <w:szCs w:val="32"/>
        </w:rPr>
        <w:t>。主要用于</w:t>
      </w:r>
      <w:r>
        <w:rPr>
          <w:rFonts w:hint="eastAsia" w:ascii="仿宋_GB2312" w:eastAsia="仿宋_GB2312"/>
          <w:sz w:val="32"/>
          <w:szCs w:val="32"/>
        </w:rPr>
        <w:t>本单位无公务用车购置及运行维护费支出</w:t>
      </w:r>
      <w:r>
        <w:rPr>
          <w:rFonts w:hint="eastAsia" w:ascii="仿宋_GB2312" w:eastAsia="仿宋_GB2312"/>
          <w:color w:val="000000" w:themeColor="text1"/>
          <w:sz w:val="32"/>
          <w:szCs w:val="32"/>
        </w:rPr>
        <w:t>等。</w:t>
      </w:r>
      <w:bookmarkEnd w:id="60"/>
      <w:bookmarkStart w:id="64"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4"/>
    </w:p>
    <w:p>
      <w:pPr>
        <w:spacing w:line="540" w:lineRule="exact"/>
        <w:ind w:firstLine="640" w:firstLineChars="200"/>
        <w:rPr>
          <w:rFonts w:ascii="仿宋_GB2312" w:eastAsia="仿宋_GB2312"/>
          <w:color w:val="000000" w:themeColor="text1"/>
          <w:sz w:val="32"/>
          <w:szCs w:val="32"/>
        </w:rPr>
      </w:pPr>
      <w:bookmarkStart w:id="65"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65"/>
      <w:bookmarkStart w:id="66" w:name="OLE_LINK84"/>
      <w:r>
        <w:rPr>
          <w:rFonts w:hint="eastAsia" w:ascii="仿宋_GB2312" w:eastAsia="仿宋_GB2312"/>
          <w:sz w:val="32"/>
          <w:szCs w:val="32"/>
        </w:rPr>
        <w:t>新疆喀什地区塔什库尔干县档案史志馆</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6"/>
    </w:p>
    <w:p>
      <w:pPr>
        <w:spacing w:line="540" w:lineRule="exact"/>
        <w:ind w:firstLine="640" w:firstLineChars="200"/>
        <w:rPr>
          <w:rFonts w:ascii="仿宋_GB2312" w:hAnsi="宋体" w:eastAsia="仿宋_GB2312" w:cs="宋体"/>
          <w:color w:val="000000" w:themeColor="text1"/>
          <w:kern w:val="0"/>
          <w:sz w:val="32"/>
          <w:szCs w:val="32"/>
        </w:rPr>
      </w:pPr>
      <w:bookmarkStart w:id="67"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7"/>
      <w:bookmarkStart w:id="68" w:name="OLE_LINK86"/>
      <w:bookmarkStart w:id="69"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8"/>
      <w:bookmarkEnd w:id="69"/>
      <w:bookmarkStart w:id="70" w:name="OLE_LINK88"/>
      <w:bookmarkStart w:id="71"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0"/>
      <w:bookmarkEnd w:id="71"/>
      <w:bookmarkStart w:id="72"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2"/>
      <w:bookmarkStart w:id="73"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3"/>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新疆喀什地区塔什库尔干县档案史志馆日常公用经费5.5万元，与上年相比，减少2.13万元，下降27.92%，减少的主要原因是：严格按照</w:t>
      </w:r>
      <w:r>
        <w:rPr>
          <w:rFonts w:hint="eastAsia" w:ascii="仿宋_GB2312" w:eastAsia="仿宋_GB2312"/>
          <w:color w:val="000000" w:themeColor="text1"/>
          <w:sz w:val="32"/>
          <w:szCs w:val="32"/>
          <w:lang w:val="en-US" w:eastAsia="zh-CN"/>
        </w:rPr>
        <w:t>规定</w:t>
      </w:r>
      <w:r>
        <w:rPr>
          <w:rFonts w:hint="eastAsia" w:ascii="仿宋_GB2312" w:eastAsia="仿宋_GB2312"/>
          <w:color w:val="000000" w:themeColor="text1"/>
          <w:sz w:val="32"/>
          <w:szCs w:val="32"/>
        </w:rPr>
        <w:t>，勤俭节约,严格控制办公经费等日常公用经费支出。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4" w:name="OLE_LINK45"/>
      <w:r>
        <w:rPr>
          <w:rFonts w:hint="eastAsia" w:ascii="仿宋_GB2312" w:eastAsia="仿宋_GB2312"/>
          <w:color w:val="000000" w:themeColor="text1"/>
          <w:sz w:val="32"/>
          <w:szCs w:val="32"/>
        </w:rPr>
        <w:t>政府采购支出总额</w:t>
      </w:r>
      <w:bookmarkEnd w:id="74"/>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5" w:name="OLE_LINK46"/>
      <w:r>
        <w:rPr>
          <w:rFonts w:hint="eastAsia" w:ascii="仿宋_GB2312" w:eastAsia="仿宋_GB2312"/>
          <w:color w:val="000000" w:themeColor="text1"/>
          <w:sz w:val="32"/>
          <w:szCs w:val="32"/>
        </w:rPr>
        <w:t>政府采购货物支出</w:t>
      </w:r>
      <w:bookmarkEnd w:id="7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6" w:name="OLE_LINK47"/>
      <w:r>
        <w:rPr>
          <w:rFonts w:hint="eastAsia" w:ascii="仿宋_GB2312" w:eastAsia="仿宋_GB2312"/>
          <w:color w:val="000000" w:themeColor="text1"/>
          <w:sz w:val="32"/>
          <w:szCs w:val="32"/>
        </w:rPr>
        <w:t>政府采购工程支出</w:t>
      </w:r>
      <w:bookmarkEnd w:id="76"/>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7" w:name="OLE_LINK48"/>
      <w:r>
        <w:rPr>
          <w:rFonts w:hint="eastAsia" w:ascii="仿宋_GB2312" w:eastAsia="仿宋_GB2312"/>
          <w:color w:val="000000" w:themeColor="text1"/>
          <w:sz w:val="32"/>
          <w:szCs w:val="32"/>
        </w:rPr>
        <w:t>政府采购服务支出</w:t>
      </w:r>
      <w:bookmarkEnd w:id="77"/>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8"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201（类）26（款）01（项）指：行政运行。221（类）02（款）01（项）指：住房公积金。208（类）05（款）05（项）指：机关事业单位基本养老保险缴费支出。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453AA2"/>
    <w:rsid w:val="06B856EE"/>
    <w:rsid w:val="07497B0A"/>
    <w:rsid w:val="07FE5938"/>
    <w:rsid w:val="084604BC"/>
    <w:rsid w:val="08883825"/>
    <w:rsid w:val="09561D98"/>
    <w:rsid w:val="09725983"/>
    <w:rsid w:val="0A382BB5"/>
    <w:rsid w:val="0AA4543A"/>
    <w:rsid w:val="0B39409C"/>
    <w:rsid w:val="0B8F5EEA"/>
    <w:rsid w:val="0BE61132"/>
    <w:rsid w:val="0C9B0DD6"/>
    <w:rsid w:val="0CE4791C"/>
    <w:rsid w:val="0D1555F5"/>
    <w:rsid w:val="0E063C64"/>
    <w:rsid w:val="0F4C7B96"/>
    <w:rsid w:val="0FFB575E"/>
    <w:rsid w:val="10845F1B"/>
    <w:rsid w:val="11463A00"/>
    <w:rsid w:val="11600918"/>
    <w:rsid w:val="11B0398F"/>
    <w:rsid w:val="13B960C5"/>
    <w:rsid w:val="14B842C2"/>
    <w:rsid w:val="152777F4"/>
    <w:rsid w:val="15C674B6"/>
    <w:rsid w:val="18D54A0D"/>
    <w:rsid w:val="1A4106A0"/>
    <w:rsid w:val="1A4F5437"/>
    <w:rsid w:val="1AB77CD0"/>
    <w:rsid w:val="1DBC3724"/>
    <w:rsid w:val="1E807156"/>
    <w:rsid w:val="1EA657F6"/>
    <w:rsid w:val="1EAE5017"/>
    <w:rsid w:val="1F097CB6"/>
    <w:rsid w:val="1F240575"/>
    <w:rsid w:val="2166156B"/>
    <w:rsid w:val="21B02D83"/>
    <w:rsid w:val="22A236F5"/>
    <w:rsid w:val="23995975"/>
    <w:rsid w:val="2432220E"/>
    <w:rsid w:val="248303BA"/>
    <w:rsid w:val="24837E47"/>
    <w:rsid w:val="252E01AA"/>
    <w:rsid w:val="25541C6E"/>
    <w:rsid w:val="2622433E"/>
    <w:rsid w:val="2680023E"/>
    <w:rsid w:val="27794610"/>
    <w:rsid w:val="27AD5B3C"/>
    <w:rsid w:val="28326BD2"/>
    <w:rsid w:val="287B7AD8"/>
    <w:rsid w:val="28D601B7"/>
    <w:rsid w:val="29680352"/>
    <w:rsid w:val="2A020F75"/>
    <w:rsid w:val="2ACC5B4E"/>
    <w:rsid w:val="2B007AEE"/>
    <w:rsid w:val="2BC14C56"/>
    <w:rsid w:val="2BF25478"/>
    <w:rsid w:val="2C1B026F"/>
    <w:rsid w:val="2CC61F55"/>
    <w:rsid w:val="2EF7452F"/>
    <w:rsid w:val="2F1D13B4"/>
    <w:rsid w:val="2FAA3DA6"/>
    <w:rsid w:val="30682E1F"/>
    <w:rsid w:val="30696DA2"/>
    <w:rsid w:val="30E210D2"/>
    <w:rsid w:val="311371D6"/>
    <w:rsid w:val="31EB64C9"/>
    <w:rsid w:val="336D0D6F"/>
    <w:rsid w:val="352E4BEC"/>
    <w:rsid w:val="3744635A"/>
    <w:rsid w:val="37DD5594"/>
    <w:rsid w:val="38F24FA8"/>
    <w:rsid w:val="3A98342A"/>
    <w:rsid w:val="3AB6780E"/>
    <w:rsid w:val="3AD56D70"/>
    <w:rsid w:val="3AEF0784"/>
    <w:rsid w:val="3B2920C2"/>
    <w:rsid w:val="3BE41ABD"/>
    <w:rsid w:val="3C5421A9"/>
    <w:rsid w:val="3D142C08"/>
    <w:rsid w:val="3D903B21"/>
    <w:rsid w:val="3E8B60F4"/>
    <w:rsid w:val="3F440741"/>
    <w:rsid w:val="41461D65"/>
    <w:rsid w:val="41FC306C"/>
    <w:rsid w:val="44BE5554"/>
    <w:rsid w:val="451E0908"/>
    <w:rsid w:val="452C2D31"/>
    <w:rsid w:val="45D26E14"/>
    <w:rsid w:val="46A541B1"/>
    <w:rsid w:val="476A34F5"/>
    <w:rsid w:val="48C57772"/>
    <w:rsid w:val="48FB3CAE"/>
    <w:rsid w:val="49782886"/>
    <w:rsid w:val="4A6F0D28"/>
    <w:rsid w:val="4AAF085C"/>
    <w:rsid w:val="4AEB7E60"/>
    <w:rsid w:val="4B4B135B"/>
    <w:rsid w:val="4BC7055F"/>
    <w:rsid w:val="4BD82D57"/>
    <w:rsid w:val="4BEA56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9B711C5"/>
    <w:rsid w:val="5A44758A"/>
    <w:rsid w:val="5A7459B7"/>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BCA0DD7"/>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 w:val="7F746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3</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2020-04-05T02:57:05Z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