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2018年度新疆喀什地区塔什库尔干县电子政务和信息中心部门决算公开说明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1、负责县委、政府、人大、政协、检法两院的电子政务和信息安全。</w:t>
      </w:r>
      <w:r>
        <w:rPr>
          <w:rFonts w:hint="eastAsia" w:ascii="仿宋_GB2312" w:eastAsia="仿宋_GB2312"/>
          <w:sz w:val="32"/>
          <w:szCs w:val="32"/>
        </w:rPr>
        <w:br w:type="textWrapping"/>
      </w:r>
      <w:r>
        <w:rPr>
          <w:rFonts w:hint="eastAsia" w:ascii="仿宋_GB2312" w:eastAsia="仿宋_GB2312"/>
          <w:sz w:val="32"/>
          <w:szCs w:val="32"/>
        </w:rPr>
        <w:t>2、与网络建设同步规划网络安全保障体系，建立统一的密码和密钥管理体系，网络新体系、安全管理体系和相应的管理体系，分层、分级、分域保障信息安全。</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新疆喀什地区塔什库尔干县电子政务和信息中心</w:t>
      </w:r>
      <w:r>
        <w:rPr>
          <w:rFonts w:hint="eastAsia" w:ascii="仿宋_GB2312" w:eastAsia="仿宋_GB2312"/>
          <w:sz w:val="32"/>
          <w:szCs w:val="32"/>
        </w:rPr>
        <w:t>部门决算包括：</w:t>
      </w:r>
      <w:r>
        <w:rPr>
          <w:rFonts w:ascii="仿宋_GB2312" w:eastAsia="仿宋_GB2312"/>
          <w:sz w:val="32"/>
          <w:szCs w:val="32"/>
        </w:rPr>
        <w:t>新疆喀什地区塔什库尔干县电子政务和信息中心</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新疆喀什地区塔什库尔干县电子政务和信息中心</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新疆喀什地区塔什库尔干县电子政务和信息中心</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2018年度收入</w:t>
      </w:r>
      <w:r>
        <w:rPr>
          <w:rFonts w:hint="eastAsia" w:ascii="仿宋_GB2312" w:eastAsia="仿宋_GB2312"/>
          <w:sz w:val="32"/>
          <w:szCs w:val="32"/>
        </w:rPr>
        <w:t>87.7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，与上年相比，增加14.95万元，增长20.55%，增加的主要原因是：</w:t>
      </w:r>
      <w:r>
        <w:rPr>
          <w:rFonts w:hint="eastAsia" w:ascii="仿宋_GB2312" w:eastAsia="仿宋_GB2312"/>
          <w:color w:val="000000" w:themeColor="text1"/>
          <w:sz w:val="32"/>
          <w:szCs w:val="32"/>
        </w:rPr>
        <w:t>政策性工资上调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其中：基本工资上调、工龄工资上调及补发、艰苦边远津贴上调及补发导致本年决算数较上年</w:t>
      </w:r>
      <w:r>
        <w:rPr>
          <w:rFonts w:hint="eastAsia" w:ascii="仿宋_GB2312" w:eastAsia="仿宋_GB2312"/>
          <w:color w:val="000000" w:themeColor="text1"/>
          <w:sz w:val="32"/>
          <w:szCs w:val="32"/>
          <w:lang w:val="en-US" w:eastAsia="zh-CN"/>
        </w:rPr>
        <w:t>数</w:t>
      </w:r>
      <w:r>
        <w:rPr>
          <w:rFonts w:hint="eastAsia" w:ascii="仿宋_GB2312" w:eastAsia="仿宋_GB2312"/>
          <w:color w:val="000000" w:themeColor="text1"/>
          <w:sz w:val="32"/>
          <w:szCs w:val="32"/>
        </w:rPr>
        <w:t>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87.7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，与上年相比，增加14.95万元，增长20.55%，增加的主要原因是：</w:t>
      </w:r>
      <w:r>
        <w:rPr>
          <w:rFonts w:hint="eastAsia" w:ascii="仿宋_GB2312" w:eastAsia="仿宋_GB2312"/>
          <w:color w:val="000000" w:themeColor="text1"/>
          <w:sz w:val="32"/>
          <w:szCs w:val="32"/>
        </w:rPr>
        <w:t>政策性工资上调</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其中：基本工资上调、工龄工资上调及补发、艰苦边远津贴上调及补发导致本年决算数较上年</w:t>
      </w:r>
      <w:r>
        <w:rPr>
          <w:rFonts w:hint="eastAsia" w:ascii="仿宋_GB2312" w:eastAsia="仿宋_GB2312"/>
          <w:color w:val="000000" w:themeColor="text1"/>
          <w:sz w:val="32"/>
          <w:szCs w:val="32"/>
          <w:lang w:val="en-US" w:eastAsia="zh-CN"/>
        </w:rPr>
        <w:t>数</w:t>
      </w:r>
      <w:r>
        <w:rPr>
          <w:rFonts w:hint="eastAsia" w:ascii="仿宋_GB2312" w:eastAsia="仿宋_GB2312"/>
          <w:color w:val="000000" w:themeColor="text1"/>
          <w:sz w:val="32"/>
          <w:szCs w:val="32"/>
        </w:rPr>
        <w:t>增加；</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本年与上年均无结余资金</w:t>
      </w:r>
      <w:r>
        <w:rPr>
          <w:rFonts w:ascii="仿宋_GB2312" w:eastAsia="仿宋_GB2312"/>
          <w:color w:val="000000"/>
          <w:sz w:val="32"/>
          <w:szCs w:val="32"/>
        </w:rPr>
        <w:t>。</w:t>
      </w:r>
      <w:bookmarkEnd w:id="8"/>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ascii="楷体_GB2312" w:eastAsia="楷体_GB2312"/>
          <w:b/>
          <w:bCs/>
          <w:sz w:val="32"/>
          <w:szCs w:val="32"/>
        </w:rPr>
      </w:pPr>
      <w:r>
        <w:rPr>
          <w:rFonts w:hint="eastAsia" w:ascii="楷体_GB2312" w:eastAsia="楷体_GB2312"/>
          <w:b/>
          <w:bCs/>
          <w:sz w:val="32"/>
          <w:szCs w:val="32"/>
        </w:rPr>
        <w:t>（二）部门收入总体情况说明</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87.7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87.7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况：本年收入年初预算数151.66万元</w:t>
      </w:r>
      <w:r>
        <w:rPr>
          <w:rFonts w:hint="eastAsia" w:ascii="仿宋_GB2312" w:eastAsia="仿宋_GB2312"/>
          <w:sz w:val="32"/>
          <w:szCs w:val="32"/>
        </w:rPr>
        <w:t>，决算数87.7万元</w:t>
      </w:r>
      <w:r>
        <w:rPr>
          <w:rFonts w:ascii="仿宋_GB2312" w:eastAsia="仿宋_GB2312"/>
          <w:sz w:val="32"/>
          <w:szCs w:val="32"/>
        </w:rPr>
        <w:t>，预决算差异率-42.17%，差异主要原因是纳入年初预算项目资金70万元在预算执行中未发生导致决算数较预算数减少。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87.7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87.7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与年初预算数相比情况：本年支出年初预算数151.66万元，</w:t>
      </w:r>
      <w:r>
        <w:rPr>
          <w:rFonts w:hint="eastAsia" w:ascii="仿宋_GB2312" w:eastAsia="仿宋_GB2312"/>
          <w:sz w:val="32"/>
          <w:szCs w:val="32"/>
        </w:rPr>
        <w:t>决算数87.7万元</w:t>
      </w:r>
      <w:r>
        <w:rPr>
          <w:rFonts w:ascii="仿宋_GB2312" w:eastAsia="仿宋_GB2312"/>
          <w:sz w:val="32"/>
          <w:szCs w:val="32"/>
        </w:rPr>
        <w:t>，预决算差异率-42.17%，差异主要原因是</w:t>
      </w:r>
      <w:bookmarkEnd w:id="22"/>
      <w:r>
        <w:rPr>
          <w:rFonts w:ascii="仿宋_GB2312" w:eastAsia="仿宋_GB2312"/>
          <w:sz w:val="32"/>
          <w:szCs w:val="32"/>
        </w:rPr>
        <w:t>纳入年初预算项目资金70万元在预算执行中未发生导致决算数较预算数减少。</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87.7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，与上年相比，增加14.95万元，增长20.55%，增加的主要原因是：政策性工资上调：其中：基本工资上调、工龄工资上调及补发、艰苦边远津贴上调及补发导致本年决算数较上年</w:t>
      </w:r>
      <w:r>
        <w:rPr>
          <w:rFonts w:hint="eastAsia" w:ascii="仿宋_GB2312" w:eastAsia="仿宋_GB2312"/>
          <w:sz w:val="32"/>
          <w:szCs w:val="32"/>
          <w:lang w:val="en-US" w:eastAsia="zh-CN"/>
        </w:rPr>
        <w:t>数</w:t>
      </w:r>
      <w:r>
        <w:rPr>
          <w:rFonts w:hint="eastAsia" w:ascii="仿宋_GB2312" w:eastAsia="仿宋_GB2312"/>
          <w:sz w:val="32"/>
          <w:szCs w:val="32"/>
        </w:rPr>
        <w:t>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87.7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，与上年相比，增加14.95万元，增长20.55%，增加的主要原因是：</w:t>
      </w:r>
      <w:r>
        <w:rPr>
          <w:rFonts w:ascii="仿宋_GB2312" w:eastAsia="仿宋_GB2312"/>
          <w:sz w:val="32"/>
          <w:szCs w:val="32"/>
        </w:rPr>
        <w:t>政策性工资上调：其中：基本工资上调、工龄工资上调及补发、艰苦边远津贴上调及补发导致本年决算数较上年</w:t>
      </w:r>
      <w:r>
        <w:rPr>
          <w:rFonts w:hint="eastAsia" w:ascii="仿宋_GB2312" w:eastAsia="仿宋_GB2312"/>
          <w:sz w:val="32"/>
          <w:szCs w:val="32"/>
          <w:lang w:val="en-US" w:eastAsia="zh-CN"/>
        </w:rPr>
        <w:t>数</w:t>
      </w:r>
      <w:r>
        <w:rPr>
          <w:rFonts w:ascii="仿宋_GB2312" w:eastAsia="仿宋_GB2312"/>
          <w:sz w:val="32"/>
          <w:szCs w:val="32"/>
        </w:rPr>
        <w:t>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87.7</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151.66</w:t>
      </w:r>
      <w:r>
        <w:rPr>
          <w:rFonts w:hint="eastAsia" w:ascii="仿宋_GB2312" w:eastAsia="仿宋_GB2312"/>
          <w:color w:val="000000" w:themeColor="text1"/>
          <w:sz w:val="32"/>
          <w:szCs w:val="32"/>
        </w:rPr>
        <w:t>万元，决算数</w:t>
      </w:r>
      <w:r>
        <w:rPr>
          <w:rFonts w:hint="eastAsia" w:ascii="仿宋_GB2312" w:eastAsia="仿宋_GB2312"/>
          <w:sz w:val="32"/>
          <w:szCs w:val="32"/>
        </w:rPr>
        <w:t>87.7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，预决算差异率-42.17%，差异主要原因是纳入年初预算项目资金70万元在预算执行中未发生导致决算数较预算数减少。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151.66</w:t>
      </w:r>
      <w:r>
        <w:rPr>
          <w:rFonts w:hint="eastAsia" w:ascii="仿宋_GB2312" w:eastAsia="仿宋_GB2312"/>
          <w:color w:val="000000" w:themeColor="text1"/>
          <w:sz w:val="32"/>
          <w:szCs w:val="32"/>
        </w:rPr>
        <w:t>万元，决算数</w:t>
      </w:r>
      <w:r>
        <w:rPr>
          <w:rFonts w:hint="eastAsia" w:ascii="仿宋_GB2312" w:eastAsia="仿宋_GB2312"/>
          <w:sz w:val="32"/>
          <w:szCs w:val="32"/>
        </w:rPr>
        <w:t>87.7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，预决算差异率-42.17%，差异主要原因是纳入年初预算项目资金70万元在预算执行中未发生导致决算数较预算数减少。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87.7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，与上年相比，增加14.95万元，增长20.55%，增加的主要原因是：政策性工资上调</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其中：基本工资上调、工龄工资上调及补发、艰苦边远津贴上调及补发导致本年决算数较上年</w:t>
      </w:r>
      <w:r>
        <w:rPr>
          <w:rFonts w:hint="eastAsia" w:ascii="仿宋_GB2312" w:eastAsia="仿宋_GB2312"/>
          <w:color w:val="000000" w:themeColor="text1"/>
          <w:sz w:val="32"/>
          <w:szCs w:val="32"/>
          <w:lang w:val="en-US" w:eastAsia="zh-CN"/>
        </w:rPr>
        <w:t>数</w:t>
      </w:r>
      <w:r>
        <w:rPr>
          <w:rFonts w:ascii="仿宋_GB2312" w:eastAsia="仿宋_GB2312"/>
          <w:color w:val="000000" w:themeColor="text1"/>
          <w:sz w:val="32"/>
          <w:szCs w:val="32"/>
        </w:rPr>
        <w:t>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87.7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，与上年相比，增加14.95万元，增长20.55%，增加的主要原因是：政策性工资上调</w:t>
      </w:r>
      <w:r>
        <w:rPr>
          <w:rFonts w:hint="eastAsia" w:ascii="仿宋_GB2312" w:eastAsia="仿宋_GB2312"/>
          <w:sz w:val="32"/>
          <w:szCs w:val="32"/>
          <w:lang w:eastAsia="zh-CN"/>
        </w:rPr>
        <w:t>，</w:t>
      </w:r>
      <w:r>
        <w:rPr>
          <w:rFonts w:hint="eastAsia" w:ascii="仿宋_GB2312" w:eastAsia="仿宋_GB2312"/>
          <w:sz w:val="32"/>
          <w:szCs w:val="32"/>
        </w:rPr>
        <w:t>其中：基本工资上调、工龄工资上调及补发、艰苦边远津贴上调及补发导致本年决算数较上年</w:t>
      </w:r>
      <w:r>
        <w:rPr>
          <w:rFonts w:hint="eastAsia" w:ascii="仿宋_GB2312" w:eastAsia="仿宋_GB2312"/>
          <w:sz w:val="32"/>
          <w:szCs w:val="32"/>
          <w:lang w:val="en-US" w:eastAsia="zh-CN"/>
        </w:rPr>
        <w:t>数</w:t>
      </w:r>
      <w:bookmarkStart w:id="79" w:name="_GoBack"/>
      <w:bookmarkEnd w:id="79"/>
      <w:r>
        <w:rPr>
          <w:rFonts w:hint="eastAsia" w:ascii="仿宋_GB2312" w:eastAsia="仿宋_GB2312"/>
          <w:sz w:val="32"/>
          <w:szCs w:val="32"/>
        </w:rPr>
        <w:t>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住房保障支出5.76万元,一般公共服务支出73.47万元,社会保障和就业支出8.47万元。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工资福利支出79.73万元,商品和服务支出7.97万元。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151.66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，预决算差异率-42.17%，差异主要原因是纳入年初预算项目资金70万元在预算执行中未发生导致决算数较预算数减少。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151.66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87.7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，预决算差异率-42.17%，差异主要原因是纳入年初预算项目资金70万元在预算执行中未发生导致决算数较预算数减少。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color w:val="000000"/>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color w:val="000000" w:themeColor="text1"/>
          <w:sz w:val="32"/>
          <w:szCs w:val="32"/>
        </w:rPr>
      </w:pPr>
      <w:bookmarkStart w:id="52" w:name="OLE_LINK80"/>
      <w:bookmarkStart w:id="53" w:name="OLE_LINK79"/>
      <w:r>
        <w:rPr>
          <w:rFonts w:hint="eastAsia" w:ascii="仿宋_GB2312" w:eastAsia="仿宋_GB2312"/>
          <w:color w:val="000000" w:themeColor="text1"/>
          <w:sz w:val="32"/>
          <w:szCs w:val="32"/>
        </w:rPr>
        <w:t>2018年度一般公共预算“三公”经费支出决算0万元，与上年相比，</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w:t>
      </w:r>
      <w:r>
        <w:rPr>
          <w:rFonts w:hint="eastAsia" w:ascii="仿宋_GB2312" w:eastAsia="仿宋_GB2312"/>
          <w:color w:val="000000" w:themeColor="text1"/>
          <w:sz w:val="32"/>
          <w:szCs w:val="32"/>
          <w:lang w:val="en-US" w:eastAsia="zh-CN"/>
        </w:rPr>
        <w:t>本单位无</w:t>
      </w:r>
      <w:r>
        <w:rPr>
          <w:rFonts w:hint="eastAsia" w:ascii="仿宋_GB2312" w:eastAsia="仿宋_GB2312"/>
          <w:color w:val="000000" w:themeColor="text1"/>
          <w:sz w:val="32"/>
          <w:szCs w:val="32"/>
        </w:rPr>
        <w:t>“三公”经费支出。其中，因公出国（境）费支出0万元，占0%，与上年相比</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的主要原因是：本单位无因公出国（境）费支出；公务用车购置及运行维护费支出0万元，占0%，与上年相比</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的主要原因是：本单位无公务用车购置及维护费支出；公务接待费支出0万元，占0%，与上年相比</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增加0万元，增长0%，增加</w:t>
      </w:r>
      <w:r>
        <w:rPr>
          <w:rFonts w:hint="eastAsia" w:ascii="仿宋_GB2312" w:eastAsia="仿宋_GB2312"/>
          <w:color w:val="000000" w:themeColor="text1"/>
          <w:sz w:val="32"/>
          <w:szCs w:val="32"/>
        </w:rPr>
        <w:t>的主要原因是：本单位无公务接待费支出。具体情况如下：</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新疆喀什地区塔什库尔干县电子政务和信息中心</w:t>
      </w:r>
      <w:r>
        <w:rPr>
          <w:rFonts w:hint="eastAsia" w:ascii="仿宋_GB2312" w:eastAsia="仿宋_GB2312"/>
          <w:color w:val="000000" w:themeColor="text1"/>
          <w:sz w:val="32"/>
          <w:szCs w:val="32"/>
        </w:rPr>
        <w:t>单位</w:t>
      </w:r>
      <w:bookmarkStart w:id="54" w:name="OLE_LINK33"/>
      <w:r>
        <w:rPr>
          <w:rFonts w:hint="eastAsia" w:ascii="仿宋_GB2312" w:eastAsia="仿宋_GB2312"/>
          <w:color w:val="000000" w:themeColor="text1"/>
          <w:sz w:val="32"/>
          <w:szCs w:val="32"/>
        </w:rPr>
        <w:t>全年</w:t>
      </w:r>
      <w:bookmarkStart w:id="55" w:name="OLE_LINK34"/>
      <w:bookmarkStart w:id="56" w:name="OLE_LINK35"/>
      <w:bookmarkStart w:id="57" w:name="OLE_LINK36"/>
      <w:r>
        <w:rPr>
          <w:rFonts w:hint="eastAsia" w:ascii="仿宋_GB2312" w:eastAsia="仿宋_GB2312"/>
          <w:color w:val="000000" w:themeColor="text1"/>
          <w:sz w:val="32"/>
          <w:szCs w:val="32"/>
        </w:rPr>
        <w:t>使用一般公共预算财政拨款安排的出国（境）团组</w:t>
      </w:r>
      <w:bookmarkEnd w:id="54"/>
      <w:bookmarkEnd w:id="55"/>
      <w:bookmarkEnd w:id="56"/>
      <w:r>
        <w:rPr>
          <w:rFonts w:hint="eastAsia" w:ascii="仿宋_GB2312" w:eastAsia="仿宋_GB2312"/>
          <w:sz w:val="32"/>
          <w:szCs w:val="32"/>
        </w:rPr>
        <w:t>0</w:t>
      </w:r>
      <w:r>
        <w:rPr>
          <w:rFonts w:hint="eastAsia" w:ascii="仿宋_GB2312" w:eastAsia="仿宋_GB2312"/>
          <w:color w:val="000000" w:themeColor="text1"/>
          <w:sz w:val="32"/>
          <w:szCs w:val="32"/>
        </w:rPr>
        <w:t>个</w:t>
      </w:r>
      <w:bookmarkEnd w:id="57"/>
      <w:r>
        <w:rPr>
          <w:rFonts w:hint="eastAsia" w:ascii="仿宋_GB2312" w:eastAsia="仿宋_GB2312"/>
          <w:color w:val="000000" w:themeColor="text1"/>
          <w:sz w:val="32"/>
          <w:szCs w:val="32"/>
        </w:rPr>
        <w:t>，</w:t>
      </w:r>
      <w:bookmarkStart w:id="58"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8"/>
      <w:r>
        <w:rPr>
          <w:rFonts w:hint="eastAsia" w:ascii="仿宋_GB2312" w:eastAsia="仿宋_GB2312"/>
          <w:color w:val="000000" w:themeColor="text1"/>
          <w:sz w:val="32"/>
          <w:szCs w:val="32"/>
        </w:rPr>
        <w:t>。</w:t>
      </w:r>
      <w:bookmarkStart w:id="59"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52"/>
      <w:bookmarkEnd w:id="53"/>
      <w:bookmarkEnd w:id="59"/>
    </w:p>
    <w:p>
      <w:pPr>
        <w:spacing w:line="540" w:lineRule="exact"/>
        <w:ind w:firstLine="640" w:firstLineChars="200"/>
        <w:rPr>
          <w:rFonts w:ascii="仿宋_GB2312" w:eastAsia="仿宋_GB2312"/>
          <w:color w:val="000000" w:themeColor="text1"/>
          <w:sz w:val="32"/>
          <w:szCs w:val="32"/>
        </w:rPr>
      </w:pPr>
      <w:bookmarkStart w:id="6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1"/>
      <w:r>
        <w:rPr>
          <w:rFonts w:hint="eastAsia" w:ascii="仿宋_GB2312" w:eastAsia="仿宋_GB2312"/>
          <w:color w:val="000000" w:themeColor="text1"/>
          <w:sz w:val="32"/>
          <w:szCs w:val="32"/>
        </w:rPr>
        <w:t>，</w:t>
      </w:r>
      <w:bookmarkStart w:id="62" w:name="OLE_LINK41"/>
      <w:bookmarkStart w:id="63"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62"/>
      <w:bookmarkEnd w:id="63"/>
      <w:r>
        <w:rPr>
          <w:rFonts w:hint="eastAsia" w:ascii="仿宋_GB2312" w:eastAsia="仿宋_GB2312"/>
          <w:color w:val="000000" w:themeColor="text1"/>
          <w:sz w:val="32"/>
          <w:szCs w:val="32"/>
        </w:rPr>
        <w:t>。主要用于</w:t>
      </w:r>
      <w:r>
        <w:rPr>
          <w:rFonts w:hint="eastAsia" w:ascii="仿宋_GB2312" w:eastAsia="仿宋_GB2312"/>
          <w:sz w:val="32"/>
          <w:szCs w:val="32"/>
        </w:rPr>
        <w:t>本单位无公务用车费用支出</w:t>
      </w:r>
      <w:r>
        <w:rPr>
          <w:rFonts w:hint="eastAsia" w:ascii="仿宋_GB2312" w:eastAsia="仿宋_GB2312"/>
          <w:color w:val="000000" w:themeColor="text1"/>
          <w:sz w:val="32"/>
          <w:szCs w:val="32"/>
        </w:rPr>
        <w:t>等。</w:t>
      </w:r>
      <w:bookmarkEnd w:id="60"/>
      <w:bookmarkStart w:id="6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64"/>
    </w:p>
    <w:p>
      <w:pPr>
        <w:spacing w:line="540" w:lineRule="exact"/>
        <w:ind w:firstLine="640" w:firstLineChars="200"/>
        <w:rPr>
          <w:rFonts w:ascii="仿宋_GB2312" w:eastAsia="仿宋_GB2312"/>
          <w:color w:val="000000" w:themeColor="text1"/>
          <w:sz w:val="32"/>
          <w:szCs w:val="32"/>
        </w:rPr>
      </w:pPr>
      <w:bookmarkStart w:id="6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65"/>
      <w:bookmarkStart w:id="66" w:name="OLE_LINK84"/>
      <w:r>
        <w:rPr>
          <w:rFonts w:hint="eastAsia" w:ascii="仿宋_GB2312" w:eastAsia="仿宋_GB2312"/>
          <w:sz w:val="32"/>
          <w:szCs w:val="32"/>
        </w:rPr>
        <w:t>新疆喀什地区塔什库尔干县电子政务和信息中心</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6"/>
    </w:p>
    <w:p>
      <w:pPr>
        <w:spacing w:line="540" w:lineRule="exact"/>
        <w:ind w:firstLine="640" w:firstLineChars="200"/>
        <w:rPr>
          <w:rFonts w:ascii="仿宋_GB2312" w:hAnsi="宋体" w:eastAsia="仿宋_GB2312" w:cs="宋体"/>
          <w:color w:val="000000" w:themeColor="text1"/>
          <w:kern w:val="0"/>
          <w:sz w:val="32"/>
          <w:szCs w:val="32"/>
        </w:rPr>
      </w:pPr>
      <w:bookmarkStart w:id="6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w:t>
      </w:r>
      <w:r>
        <w:rPr>
          <w:rFonts w:hint="eastAsia" w:ascii="仿宋_GB2312" w:eastAsia="仿宋_GB2312"/>
          <w:color w:val="000000" w:themeColor="text1"/>
          <w:sz w:val="32"/>
          <w:szCs w:val="32"/>
        </w:rPr>
        <w:t>“三公”</w:t>
      </w:r>
      <w:r>
        <w:rPr>
          <w:rFonts w:ascii="仿宋_GB2312" w:eastAsia="仿宋_GB2312"/>
          <w:color w:val="000000" w:themeColor="text1"/>
          <w:sz w:val="32"/>
          <w:szCs w:val="32"/>
        </w:rPr>
        <w:t>经费</w:t>
      </w:r>
      <w:r>
        <w:rPr>
          <w:rFonts w:hint="eastAsia" w:ascii="仿宋_GB2312" w:eastAsia="仿宋_GB2312"/>
          <w:color w:val="000000" w:themeColor="text1"/>
          <w:sz w:val="32"/>
          <w:szCs w:val="32"/>
          <w:lang w:eastAsia="zh-CN"/>
        </w:rPr>
        <w:t>支出</w:t>
      </w:r>
      <w:r>
        <w:rPr>
          <w:rFonts w:ascii="仿宋_GB2312" w:eastAsia="仿宋_GB2312"/>
          <w:color w:val="000000" w:themeColor="text1"/>
          <w:sz w:val="32"/>
          <w:szCs w:val="32"/>
        </w:rPr>
        <w:t>。</w:t>
      </w:r>
      <w:bookmarkEnd w:id="67"/>
      <w:bookmarkStart w:id="68" w:name="OLE_LINK86"/>
      <w:bookmarkStart w:id="6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因公出国（境）费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68"/>
      <w:bookmarkEnd w:id="69"/>
      <w:bookmarkStart w:id="70" w:name="OLE_LINK89"/>
      <w:bookmarkStart w:id="71"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0"/>
      <w:bookmarkEnd w:id="71"/>
      <w:bookmarkStart w:id="7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，预决算差异率0%，差异主要原因是本单位无公务用车</w:t>
      </w:r>
      <w:r>
        <w:rPr>
          <w:rFonts w:hint="eastAsia" w:ascii="仿宋_GB2312" w:hAnsi="宋体" w:eastAsia="仿宋_GB2312" w:cs="宋体"/>
          <w:color w:val="000000" w:themeColor="text1"/>
          <w:kern w:val="0"/>
          <w:sz w:val="32"/>
          <w:szCs w:val="32"/>
        </w:rPr>
        <w:t>运行费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72"/>
      <w:bookmarkStart w:id="7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73"/>
      <w:r>
        <w:rPr>
          <w:rFonts w:ascii="仿宋_GB2312" w:eastAsia="仿宋_GB2312"/>
          <w:color w:val="000000" w:themeColor="text1"/>
          <w:sz w:val="32"/>
          <w:szCs w:val="32"/>
        </w:rPr>
        <w:t>无</w:t>
      </w:r>
      <w:r>
        <w:rPr>
          <w:rFonts w:hint="eastAsia" w:ascii="仿宋_GB2312" w:hAnsi="宋体" w:eastAsia="仿宋_GB2312" w:cs="宋体"/>
          <w:color w:val="000000" w:themeColor="text1"/>
          <w:kern w:val="0"/>
          <w:sz w:val="32"/>
          <w:szCs w:val="32"/>
        </w:rPr>
        <w:t>公务接待费</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塔什库尔干县电子政务和信息中心日常公用经费7.97万元，与上年相比，增加7.21万元，增长948.68%，增加的主要原因是：本年赴内地培训电子政务网络信息工作导致差旅费及培训费增加；办公费较上年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4" w:name="OLE_LINK45"/>
      <w:r>
        <w:rPr>
          <w:rFonts w:hint="eastAsia" w:ascii="仿宋_GB2312" w:eastAsia="仿宋_GB2312"/>
          <w:color w:val="000000" w:themeColor="text1"/>
          <w:sz w:val="32"/>
          <w:szCs w:val="32"/>
        </w:rPr>
        <w:t>政府采购支出总额</w:t>
      </w:r>
      <w:bookmarkEnd w:id="7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5" w:name="OLE_LINK46"/>
      <w:r>
        <w:rPr>
          <w:rFonts w:hint="eastAsia" w:ascii="仿宋_GB2312" w:eastAsia="仿宋_GB2312"/>
          <w:color w:val="000000" w:themeColor="text1"/>
          <w:sz w:val="32"/>
          <w:szCs w:val="32"/>
        </w:rPr>
        <w:t>政府采购货物支出</w:t>
      </w:r>
      <w:bookmarkEnd w:id="7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6" w:name="OLE_LINK47"/>
      <w:r>
        <w:rPr>
          <w:rFonts w:hint="eastAsia" w:ascii="仿宋_GB2312" w:eastAsia="仿宋_GB2312"/>
          <w:color w:val="000000" w:themeColor="text1"/>
          <w:sz w:val="32"/>
          <w:szCs w:val="32"/>
        </w:rPr>
        <w:t>政府采购工程支出</w:t>
      </w:r>
      <w:bookmarkEnd w:id="7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7" w:name="OLE_LINK48"/>
      <w:r>
        <w:rPr>
          <w:rFonts w:hint="eastAsia" w:ascii="仿宋_GB2312" w:eastAsia="仿宋_GB2312"/>
          <w:color w:val="000000" w:themeColor="text1"/>
          <w:sz w:val="32"/>
          <w:szCs w:val="32"/>
        </w:rPr>
        <w:t>政府采购服务支出</w:t>
      </w:r>
      <w:bookmarkEnd w:id="7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221（类）02（款）01（项）指：住房公积金。201（类）31（款）01（项）指：行政运行。208（类）05（款）05（项）指：机关事业单位基本养老保险缴费支出。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6E4AA5"/>
    <w:rsid w:val="01AD3CA5"/>
    <w:rsid w:val="028847F9"/>
    <w:rsid w:val="03AA79F6"/>
    <w:rsid w:val="04741FE5"/>
    <w:rsid w:val="04AC0DE4"/>
    <w:rsid w:val="04DB02C7"/>
    <w:rsid w:val="0584198C"/>
    <w:rsid w:val="05E06FD0"/>
    <w:rsid w:val="06B856EE"/>
    <w:rsid w:val="07AE1891"/>
    <w:rsid w:val="07CF7503"/>
    <w:rsid w:val="07FE5938"/>
    <w:rsid w:val="084604BC"/>
    <w:rsid w:val="08883825"/>
    <w:rsid w:val="09725983"/>
    <w:rsid w:val="0A382BB5"/>
    <w:rsid w:val="0AA4543A"/>
    <w:rsid w:val="0BE61132"/>
    <w:rsid w:val="0C9B0DD6"/>
    <w:rsid w:val="0CE258AA"/>
    <w:rsid w:val="0CE4791C"/>
    <w:rsid w:val="0E063C64"/>
    <w:rsid w:val="0F4C7B96"/>
    <w:rsid w:val="0FFB575E"/>
    <w:rsid w:val="10845F1B"/>
    <w:rsid w:val="11463A00"/>
    <w:rsid w:val="114E24E1"/>
    <w:rsid w:val="11600918"/>
    <w:rsid w:val="11B0398F"/>
    <w:rsid w:val="130159A5"/>
    <w:rsid w:val="131A2CDA"/>
    <w:rsid w:val="13B960C5"/>
    <w:rsid w:val="152777F4"/>
    <w:rsid w:val="15C674B6"/>
    <w:rsid w:val="18D54A0D"/>
    <w:rsid w:val="1A4106A0"/>
    <w:rsid w:val="1A4F5437"/>
    <w:rsid w:val="1AB77CD0"/>
    <w:rsid w:val="1C8C3CD7"/>
    <w:rsid w:val="1E807156"/>
    <w:rsid w:val="1EA657F6"/>
    <w:rsid w:val="1EDB0A5F"/>
    <w:rsid w:val="1F097CB6"/>
    <w:rsid w:val="2166156B"/>
    <w:rsid w:val="21B02D83"/>
    <w:rsid w:val="22A236F5"/>
    <w:rsid w:val="23995975"/>
    <w:rsid w:val="23AC638A"/>
    <w:rsid w:val="2432220E"/>
    <w:rsid w:val="248303BA"/>
    <w:rsid w:val="24837E47"/>
    <w:rsid w:val="252E01AA"/>
    <w:rsid w:val="262552D9"/>
    <w:rsid w:val="2680023E"/>
    <w:rsid w:val="26835F3F"/>
    <w:rsid w:val="29680352"/>
    <w:rsid w:val="2A020F75"/>
    <w:rsid w:val="2A111DB6"/>
    <w:rsid w:val="2B007AEE"/>
    <w:rsid w:val="2BC14C56"/>
    <w:rsid w:val="2C1B026F"/>
    <w:rsid w:val="2CC61F55"/>
    <w:rsid w:val="2DCF181C"/>
    <w:rsid w:val="2EF7452F"/>
    <w:rsid w:val="2F1D13B4"/>
    <w:rsid w:val="2F270505"/>
    <w:rsid w:val="2FAA3DA6"/>
    <w:rsid w:val="30682E1F"/>
    <w:rsid w:val="30E210D2"/>
    <w:rsid w:val="311371D6"/>
    <w:rsid w:val="31EB64C9"/>
    <w:rsid w:val="336D0D6F"/>
    <w:rsid w:val="352E4BEC"/>
    <w:rsid w:val="35FF24DD"/>
    <w:rsid w:val="37DD5594"/>
    <w:rsid w:val="38F24FA8"/>
    <w:rsid w:val="3A98342A"/>
    <w:rsid w:val="3AB6780E"/>
    <w:rsid w:val="3AD56D70"/>
    <w:rsid w:val="3AE90658"/>
    <w:rsid w:val="3B2920C2"/>
    <w:rsid w:val="3BE41ABD"/>
    <w:rsid w:val="3C5421A9"/>
    <w:rsid w:val="3D903B21"/>
    <w:rsid w:val="3DDB0401"/>
    <w:rsid w:val="3F440741"/>
    <w:rsid w:val="41FC306C"/>
    <w:rsid w:val="42874D77"/>
    <w:rsid w:val="44BE5554"/>
    <w:rsid w:val="451E0908"/>
    <w:rsid w:val="452903EB"/>
    <w:rsid w:val="452C2D31"/>
    <w:rsid w:val="45D26E14"/>
    <w:rsid w:val="46A541B1"/>
    <w:rsid w:val="48C57772"/>
    <w:rsid w:val="49782886"/>
    <w:rsid w:val="4A6F0D28"/>
    <w:rsid w:val="4AAF085C"/>
    <w:rsid w:val="4AEB7E60"/>
    <w:rsid w:val="4B4B135B"/>
    <w:rsid w:val="4BC7055F"/>
    <w:rsid w:val="4C204851"/>
    <w:rsid w:val="4C4540B7"/>
    <w:rsid w:val="4CB04A50"/>
    <w:rsid w:val="4CFC7DB2"/>
    <w:rsid w:val="4E7C187D"/>
    <w:rsid w:val="4E8C5E9C"/>
    <w:rsid w:val="508941AD"/>
    <w:rsid w:val="50E65530"/>
    <w:rsid w:val="51457139"/>
    <w:rsid w:val="51574DBD"/>
    <w:rsid w:val="518B6693"/>
    <w:rsid w:val="51EC1DA8"/>
    <w:rsid w:val="52FC5524"/>
    <w:rsid w:val="532D7A17"/>
    <w:rsid w:val="54AF4562"/>
    <w:rsid w:val="54C9674B"/>
    <w:rsid w:val="556318EA"/>
    <w:rsid w:val="55A60AA1"/>
    <w:rsid w:val="56451615"/>
    <w:rsid w:val="57A7286F"/>
    <w:rsid w:val="57FC5774"/>
    <w:rsid w:val="59B332C9"/>
    <w:rsid w:val="5A44758A"/>
    <w:rsid w:val="5BEC4BB3"/>
    <w:rsid w:val="5C070B55"/>
    <w:rsid w:val="5C3048E7"/>
    <w:rsid w:val="5CAE11DC"/>
    <w:rsid w:val="5CB96DCE"/>
    <w:rsid w:val="5CE61580"/>
    <w:rsid w:val="5D175666"/>
    <w:rsid w:val="5D556A3C"/>
    <w:rsid w:val="5D7B25C9"/>
    <w:rsid w:val="5ECB44B4"/>
    <w:rsid w:val="5EE2043C"/>
    <w:rsid w:val="5F867A6C"/>
    <w:rsid w:val="5F8D20B5"/>
    <w:rsid w:val="602D2E37"/>
    <w:rsid w:val="61460FBE"/>
    <w:rsid w:val="61911DFA"/>
    <w:rsid w:val="62434A1E"/>
    <w:rsid w:val="62775810"/>
    <w:rsid w:val="62D83744"/>
    <w:rsid w:val="630F4048"/>
    <w:rsid w:val="63AA02E5"/>
    <w:rsid w:val="64700DE9"/>
    <w:rsid w:val="655D4139"/>
    <w:rsid w:val="65994EAB"/>
    <w:rsid w:val="65C613BD"/>
    <w:rsid w:val="65FD118C"/>
    <w:rsid w:val="682C3D89"/>
    <w:rsid w:val="68611305"/>
    <w:rsid w:val="6A162DE0"/>
    <w:rsid w:val="6A331428"/>
    <w:rsid w:val="6A385E17"/>
    <w:rsid w:val="6B2E5CB6"/>
    <w:rsid w:val="6B3D4886"/>
    <w:rsid w:val="6BBB5408"/>
    <w:rsid w:val="6DC324CA"/>
    <w:rsid w:val="6DF8675E"/>
    <w:rsid w:val="6EA80098"/>
    <w:rsid w:val="6F8D70FF"/>
    <w:rsid w:val="6FFE5011"/>
    <w:rsid w:val="7178734D"/>
    <w:rsid w:val="71791096"/>
    <w:rsid w:val="717B0C34"/>
    <w:rsid w:val="71B65711"/>
    <w:rsid w:val="71F3544E"/>
    <w:rsid w:val="71FB78FD"/>
    <w:rsid w:val="7275064A"/>
    <w:rsid w:val="733F750B"/>
    <w:rsid w:val="735702E2"/>
    <w:rsid w:val="765F635A"/>
    <w:rsid w:val="76B73454"/>
    <w:rsid w:val="76D254BD"/>
    <w:rsid w:val="77727ACD"/>
    <w:rsid w:val="78071142"/>
    <w:rsid w:val="79296B37"/>
    <w:rsid w:val="7A4C4C40"/>
    <w:rsid w:val="7A6460D3"/>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1</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2020-04-05T03:02:19Z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