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2018年度新疆喀什地区塔什库尔干县纪律检查委员会部门决算公开说明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keepNext w:val="0"/>
        <w:keepLines w:val="0"/>
        <w:pageBreakBefore w:val="0"/>
        <w:kinsoku/>
        <w:wordWrap/>
        <w:overflowPunct/>
        <w:topLinePunct w:val="0"/>
        <w:bidi w:val="0"/>
        <w:adjustRightInd/>
        <w:snapToGrid/>
        <w:spacing w:line="540" w:lineRule="exact"/>
        <w:textAlignment w:val="auto"/>
        <w:outlineLvl w:val="9"/>
        <w:rPr>
          <w:rFonts w:hint="eastAsia" w:ascii="黑体" w:hAnsi="黑体" w:eastAsia="仿宋_GB2312" w:cs="宋体"/>
          <w:bCs/>
          <w:kern w:val="0"/>
          <w:sz w:val="32"/>
          <w:szCs w:val="32"/>
          <w:lang w:eastAsia="zh-CN"/>
        </w:rPr>
      </w:pPr>
      <w:r>
        <w:rPr>
          <w:rFonts w:hint="eastAsia" w:ascii="仿宋_GB2312" w:eastAsia="仿宋_GB2312"/>
          <w:sz w:val="32"/>
          <w:szCs w:val="32"/>
        </w:rPr>
        <w:t>1、受上级纪委和本级党委的领导，负责党的纪律检工作。</w:t>
      </w:r>
      <w:r>
        <w:rPr>
          <w:rFonts w:hint="eastAsia" w:ascii="仿宋_GB2312" w:eastAsia="仿宋_GB2312"/>
          <w:sz w:val="32"/>
          <w:szCs w:val="32"/>
        </w:rPr>
        <w:br w:type="textWrapping"/>
      </w:r>
      <w:r>
        <w:rPr>
          <w:rFonts w:hint="eastAsia" w:ascii="仿宋_GB2312" w:eastAsia="仿宋_GB2312"/>
          <w:sz w:val="32"/>
          <w:szCs w:val="32"/>
        </w:rPr>
        <w:t>2、实行民主集中制原则，即个人服从组织，少数服从多数，下级服从上级。按照党章的规定行使职权。</w:t>
      </w:r>
      <w:r>
        <w:rPr>
          <w:rFonts w:hint="eastAsia" w:ascii="仿宋_GB2312" w:eastAsia="仿宋_GB2312"/>
          <w:sz w:val="32"/>
          <w:szCs w:val="32"/>
        </w:rPr>
        <w:br w:type="textWrapping"/>
      </w:r>
      <w:r>
        <w:rPr>
          <w:rFonts w:hint="eastAsia" w:ascii="仿宋_GB2312" w:eastAsia="仿宋_GB2312"/>
          <w:sz w:val="32"/>
          <w:szCs w:val="32"/>
        </w:rPr>
        <w:t>3、认真检查党的路线、方针、政策的贯彻落实情况，领导各党支部的纪检工作。</w:t>
      </w:r>
      <w:r>
        <w:rPr>
          <w:rFonts w:hint="eastAsia" w:ascii="仿宋_GB2312" w:eastAsia="仿宋_GB2312"/>
          <w:sz w:val="32"/>
          <w:szCs w:val="32"/>
        </w:rPr>
        <w:br w:type="textWrapping"/>
      </w:r>
      <w:r>
        <w:rPr>
          <w:rFonts w:hint="eastAsia" w:ascii="仿宋_GB2312" w:eastAsia="仿宋_GB2312"/>
          <w:sz w:val="32"/>
          <w:szCs w:val="32"/>
        </w:rPr>
        <w:t>4、对广大党员进行党风党纪教育，模范遵守党纪国法，坚决同违反党纪的现象作斗争。</w:t>
      </w:r>
      <w:r>
        <w:rPr>
          <w:rFonts w:hint="eastAsia" w:ascii="仿宋_GB2312" w:eastAsia="仿宋_GB2312"/>
          <w:sz w:val="32"/>
          <w:szCs w:val="32"/>
        </w:rPr>
        <w:br w:type="textWrapping"/>
      </w:r>
      <w:r>
        <w:rPr>
          <w:rFonts w:hint="eastAsia" w:ascii="仿宋_GB2312" w:eastAsia="仿宋_GB2312"/>
          <w:sz w:val="32"/>
          <w:szCs w:val="32"/>
        </w:rPr>
        <w:t>5、检查和处理党组织和党员违反党纪的案件，受理党员的控告和申诉以及群众对党员的检举和控告等信访工作。</w:t>
      </w:r>
      <w:r>
        <w:rPr>
          <w:rFonts w:hint="eastAsia" w:ascii="仿宋_GB2312" w:eastAsia="仿宋_GB2312"/>
          <w:sz w:val="32"/>
          <w:szCs w:val="32"/>
        </w:rPr>
        <w:br w:type="textWrapping"/>
      </w:r>
      <w:r>
        <w:rPr>
          <w:rFonts w:hint="eastAsia" w:ascii="仿宋_GB2312" w:eastAsia="仿宋_GB2312"/>
          <w:sz w:val="32"/>
          <w:szCs w:val="32"/>
        </w:rPr>
        <w:t>6、维护党员享有的权利，支持党员的正义斗争。</w:t>
      </w:r>
      <w:r>
        <w:rPr>
          <w:rFonts w:hint="eastAsia" w:ascii="仿宋_GB2312" w:eastAsia="仿宋_GB2312"/>
          <w:sz w:val="32"/>
          <w:szCs w:val="32"/>
        </w:rPr>
        <w:br w:type="textWrapping"/>
      </w:r>
      <w:r>
        <w:rPr>
          <w:rFonts w:hint="eastAsia" w:ascii="仿宋_GB2312" w:eastAsia="仿宋_GB2312"/>
          <w:sz w:val="32"/>
          <w:szCs w:val="32"/>
        </w:rPr>
        <w:t>7、纪律检查委员会的成员，要坚持党的原则，带头遵守党规党法，实事求是，廉洁奉公，不徇私情，以对党对人民负责的精神，做好党的纪律检查工作。</w:t>
      </w:r>
      <w:r>
        <w:rPr>
          <w:rFonts w:hint="eastAsia" w:ascii="仿宋_GB2312" w:eastAsia="仿宋_GB2312"/>
          <w:sz w:val="32"/>
          <w:szCs w:val="32"/>
        </w:rPr>
        <w:br w:type="textWrapping"/>
      </w:r>
      <w:r>
        <w:rPr>
          <w:rFonts w:hint="eastAsia" w:ascii="仿宋_GB2312" w:eastAsia="仿宋_GB2312"/>
          <w:sz w:val="32"/>
          <w:szCs w:val="32"/>
        </w:rPr>
        <w:t>8、接受上级党的纪检部门和本级党委交办的其他任务。</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新疆喀什地区塔什库尔干县纪律检查委员会</w:t>
      </w:r>
      <w:r>
        <w:rPr>
          <w:rFonts w:hint="eastAsia" w:ascii="仿宋_GB2312" w:eastAsia="仿宋_GB2312"/>
          <w:sz w:val="32"/>
          <w:szCs w:val="32"/>
        </w:rPr>
        <w:t>部门决算包括：</w:t>
      </w:r>
      <w:r>
        <w:rPr>
          <w:rFonts w:ascii="仿宋_GB2312" w:eastAsia="仿宋_GB2312"/>
          <w:sz w:val="32"/>
          <w:szCs w:val="32"/>
        </w:rPr>
        <w:t>新疆喀什地区塔什库尔干县纪律检查委员会</w:t>
      </w:r>
      <w:r>
        <w:rPr>
          <w:rFonts w:hint="eastAsia" w:ascii="仿宋_GB2312" w:eastAsia="仿宋_GB2312"/>
          <w:sz w:val="32"/>
          <w:szCs w:val="32"/>
        </w:rPr>
        <w:t>部门本级决算、所属单位决算等。</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新疆喀什地区塔什库尔干县纪律检查委员会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keepNext w:val="0"/>
        <w:keepLines w:val="0"/>
        <w:pageBreakBefore w:val="0"/>
        <w:kinsoku/>
        <w:wordWrap/>
        <w:overflowPunct/>
        <w:topLinePunct w:val="0"/>
        <w:bidi w:val="0"/>
        <w:adjustRightInd/>
        <w:snapToGrid/>
        <w:spacing w:line="540" w:lineRule="exact"/>
        <w:ind w:firstLine="616" w:firstLineChars="200"/>
        <w:textAlignment w:val="auto"/>
        <w:outlineLvl w:val="9"/>
        <w:rPr>
          <w:rFonts w:ascii="仿宋_GB2312" w:eastAsia="仿宋_GB2312"/>
          <w:spacing w:val="-6"/>
          <w:sz w:val="32"/>
          <w:szCs w:val="32"/>
        </w:rPr>
      </w:pPr>
    </w:p>
    <w:p>
      <w:pPr>
        <w:keepNext w:val="0"/>
        <w:keepLines w:val="0"/>
        <w:pageBreakBefore w:val="0"/>
        <w:kinsoku/>
        <w:wordWrap/>
        <w:overflowPunct/>
        <w:topLinePunct w:val="0"/>
        <w:bidi w:val="0"/>
        <w:adjustRightInd/>
        <w:snapToGrid/>
        <w:spacing w:line="540" w:lineRule="exact"/>
        <w:ind w:firstLine="616" w:firstLineChars="200"/>
        <w:textAlignment w:val="auto"/>
        <w:outlineLvl w:val="9"/>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keepNext w:val="0"/>
              <w:keepLines w:val="0"/>
              <w:pageBreakBefore w:val="0"/>
              <w:kinsoku/>
              <w:wordWrap/>
              <w:overflowPunct/>
              <w:topLinePunct w:val="0"/>
              <w:bidi w:val="0"/>
              <w:adjustRightInd/>
              <w:snapToGrid/>
              <w:spacing w:line="540" w:lineRule="exact"/>
              <w:ind w:firstLine="1280" w:firstLineChars="400"/>
              <w:textAlignment w:val="auto"/>
              <w:outlineLvl w:val="9"/>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keepNext w:val="0"/>
              <w:keepLines w:val="0"/>
              <w:pageBreakBefore w:val="0"/>
              <w:kinsoku/>
              <w:wordWrap/>
              <w:overflowPunct/>
              <w:topLinePunct w:val="0"/>
              <w:bidi w:val="0"/>
              <w:adjustRightInd/>
              <w:snapToGrid/>
              <w:spacing w:line="540" w:lineRule="exact"/>
              <w:ind w:firstLine="640" w:firstLineChars="200"/>
              <w:jc w:val="left"/>
              <w:textAlignment w:val="auto"/>
              <w:outlineLvl w:val="9"/>
            </w:pPr>
            <w:r>
              <w:rPr>
                <w:rFonts w:ascii="Times New Roman" w:hAnsi="Times New Roman" w:eastAsia="Times New Roman" w:cs="Times New Roman"/>
                <w:b w:val="0"/>
                <w:i w:val="0"/>
                <w:strike w:val="0"/>
                <w:color w:val="000000"/>
                <w:position w:val="-1"/>
                <w:sz w:val="32"/>
                <w:u w:val="none"/>
              </w:rPr>
              <w:t>1</w:t>
            </w:r>
          </w:p>
        </w:tc>
        <w:tc>
          <w:tcPr>
            <w:tcW w:w="3870" w:type="dxa"/>
          </w:tcPr>
          <w:p>
            <w:pPr>
              <w:keepNext w:val="0"/>
              <w:keepLines w:val="0"/>
              <w:pageBreakBefore w:val="0"/>
              <w:kinsoku/>
              <w:wordWrap/>
              <w:overflowPunct/>
              <w:topLinePunct w:val="0"/>
              <w:bidi w:val="0"/>
              <w:adjustRightInd/>
              <w:snapToGrid/>
              <w:spacing w:line="540" w:lineRule="exact"/>
              <w:ind w:firstLine="640" w:firstLineChars="200"/>
              <w:jc w:val="left"/>
              <w:textAlignment w:val="auto"/>
              <w:outlineLvl w:val="9"/>
            </w:pPr>
            <w:r>
              <w:rPr>
                <w:rFonts w:ascii="Times New Roman" w:hAnsi="Times New Roman" w:eastAsia="Times New Roman" w:cs="Times New Roman"/>
                <w:b w:val="0"/>
                <w:i w:val="0"/>
                <w:strike w:val="0"/>
                <w:color w:val="000000"/>
                <w:position w:val="-1"/>
                <w:sz w:val="32"/>
                <w:u w:val="none"/>
              </w:rPr>
              <w:t>新疆喀什地区塔什库尔干县纪律检查委员会</w:t>
            </w:r>
          </w:p>
        </w:tc>
        <w:tc>
          <w:tcPr>
            <w:tcW w:w="2538" w:type="dxa"/>
            <w:vAlign w:val="center"/>
          </w:tcPr>
          <w:p>
            <w:pPr>
              <w:keepNext w:val="0"/>
              <w:keepLines w:val="0"/>
              <w:pageBreakBefore w:val="0"/>
              <w:kinsoku/>
              <w:wordWrap/>
              <w:overflowPunct/>
              <w:topLinePunct w:val="0"/>
              <w:bidi w:val="0"/>
              <w:adjustRightInd/>
              <w:snapToGrid/>
              <w:spacing w:line="540" w:lineRule="exact"/>
              <w:ind w:firstLine="420" w:firstLineChars="200"/>
              <w:jc w:val="left"/>
              <w:textAlignment w:val="auto"/>
              <w:outlineLvl w:val="9"/>
            </w:pPr>
          </w:p>
        </w:tc>
      </w:tr>
    </w:tbl>
    <w:p>
      <w:pPr>
        <w:keepNext w:val="0"/>
        <w:keepLines w:val="0"/>
        <w:pageBreakBefore w:val="0"/>
        <w:kinsoku/>
        <w:wordWrap/>
        <w:overflowPunct/>
        <w:topLinePunct w:val="0"/>
        <w:bidi w:val="0"/>
        <w:adjustRightInd/>
        <w:snapToGrid/>
        <w:spacing w:line="540" w:lineRule="exact"/>
        <w:textAlignment w:val="auto"/>
        <w:outlineLvl w:val="9"/>
        <w:rPr>
          <w:rFonts w:ascii="仿宋_GB2312" w:hAnsi="宋体" w:eastAsia="仿宋_GB2312" w:cs="宋体"/>
          <w:kern w:val="0"/>
          <w:sz w:val="32"/>
          <w:szCs w:val="32"/>
        </w:rPr>
      </w:pPr>
    </w:p>
    <w:p>
      <w:pPr>
        <w:keepNext w:val="0"/>
        <w:keepLines w:val="0"/>
        <w:pageBreakBefore w:val="0"/>
        <w:kinsoku/>
        <w:wordWrap/>
        <w:overflowPunct/>
        <w:topLinePunct w:val="0"/>
        <w:bidi w:val="0"/>
        <w:adjustRightInd/>
        <w:snapToGrid/>
        <w:spacing w:line="540" w:lineRule="exact"/>
        <w:textAlignment w:val="auto"/>
        <w:outlineLvl w:val="9"/>
        <w:rPr>
          <w:rFonts w:ascii="仿宋_GB2312" w:hAnsi="宋体" w:eastAsia="仿宋_GB2312" w:cs="宋体"/>
          <w:kern w:val="0"/>
          <w:sz w:val="32"/>
          <w:szCs w:val="32"/>
        </w:rPr>
      </w:pPr>
    </w:p>
    <w:p>
      <w:pPr>
        <w:keepNext w:val="0"/>
        <w:keepLines w:val="0"/>
        <w:pageBreakBefore w:val="0"/>
        <w:kinsoku/>
        <w:wordWrap/>
        <w:overflowPunct/>
        <w:topLinePunct w:val="0"/>
        <w:bidi w:val="0"/>
        <w:adjustRightInd/>
        <w:snapToGrid/>
        <w:spacing w:line="540" w:lineRule="exact"/>
        <w:jc w:val="center"/>
        <w:textAlignment w:val="auto"/>
        <w:outlineLvl w:val="9"/>
        <w:rPr>
          <w:rFonts w:ascii="黑体" w:hAnsi="黑体" w:eastAsia="黑体"/>
          <w:sz w:val="32"/>
          <w:szCs w:val="32"/>
        </w:rPr>
      </w:pPr>
      <w:r>
        <w:rPr>
          <w:rFonts w:hint="eastAsia" w:ascii="黑体" w:hAnsi="黑体" w:eastAsia="黑体"/>
          <w:sz w:val="32"/>
          <w:szCs w:val="32"/>
        </w:rPr>
        <w:t>第二部分部门决算情况说明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一、部门收支总体情况</w:t>
      </w:r>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kinsoku/>
        <w:wordWrap/>
        <w:overflowPunct/>
        <w:topLinePunct w:val="0"/>
        <w:bidi w:val="0"/>
        <w:adjustRightInd/>
        <w:snapToGrid/>
        <w:spacing w:line="540" w:lineRule="exact"/>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452.03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，与上年相比，增加111.95万元，增长32.92%，增加的主要原因是：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工龄工资补贴增加，艰边津贴增加，纪委监委执纪执勤车辆经费增加；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452.03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，与上年相比，增加111.95万元，增长32.92%，增加的主要原因是：</w:t>
      </w:r>
      <w:r>
        <w:rPr>
          <w:rFonts w:hint="eastAsia" w:ascii="仿宋_GB2312" w:eastAsia="仿宋_GB2312"/>
          <w:color w:val="000000" w:themeColor="text1"/>
          <w:sz w:val="32"/>
          <w:szCs w:val="32"/>
        </w:rPr>
        <w:t>政策性调资：基本工资增加，高海拔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工龄工资补贴增加，艰边津贴增加，纪委监委执纪执勤车辆经费增加；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452.03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452.03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况：本年收入年初预算数376.3万元</w:t>
      </w:r>
      <w:r>
        <w:rPr>
          <w:rFonts w:hint="eastAsia" w:ascii="仿宋_GB2312" w:eastAsia="仿宋_GB2312"/>
          <w:sz w:val="32"/>
          <w:szCs w:val="32"/>
        </w:rPr>
        <w:t>，决算数452.03万元</w:t>
      </w:r>
      <w:r>
        <w:rPr>
          <w:rFonts w:ascii="仿宋_GB2312" w:eastAsia="仿宋_GB2312"/>
          <w:sz w:val="32"/>
          <w:szCs w:val="32"/>
        </w:rPr>
        <w:t>，预决算差异率20.12%，差异主要原因是一是政策性调资：基本工资增加，高海拔</w:t>
      </w:r>
      <w:r>
        <w:rPr>
          <w:rFonts w:hint="eastAsia" w:ascii="仿宋_GB2312" w:eastAsia="仿宋_GB2312"/>
          <w:sz w:val="32"/>
          <w:szCs w:val="32"/>
          <w:lang w:val="en-US" w:eastAsia="zh-CN"/>
        </w:rPr>
        <w:t>地区工龄</w:t>
      </w:r>
      <w:r>
        <w:rPr>
          <w:rFonts w:ascii="仿宋_GB2312" w:eastAsia="仿宋_GB2312"/>
          <w:sz w:val="32"/>
          <w:szCs w:val="32"/>
        </w:rPr>
        <w:t>补贴增加，艰边津贴增加；二是纪委监委执纪执勤车辆购置经费未纳入年初预算，以上原因导致本年决算数较预算数增加。</w:t>
      </w:r>
      <w:bookmarkEnd w:id="15"/>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452.03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427.04</w:t>
      </w:r>
      <w:r>
        <w:rPr>
          <w:rFonts w:hint="eastAsia" w:ascii="仿宋_GB2312" w:eastAsia="仿宋_GB2312"/>
          <w:color w:val="000000" w:themeColor="text1"/>
          <w:sz w:val="32"/>
          <w:szCs w:val="32"/>
        </w:rPr>
        <w:t>万元，占</w:t>
      </w:r>
      <w:r>
        <w:rPr>
          <w:rFonts w:hint="eastAsia" w:ascii="仿宋_GB2312" w:eastAsia="仿宋_GB2312"/>
          <w:sz w:val="32"/>
          <w:szCs w:val="32"/>
        </w:rPr>
        <w:t>94.47%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24.99</w:t>
      </w:r>
      <w:r>
        <w:rPr>
          <w:rFonts w:hint="eastAsia" w:ascii="仿宋_GB2312" w:eastAsia="仿宋_GB2312"/>
          <w:color w:val="000000" w:themeColor="text1"/>
          <w:sz w:val="32"/>
          <w:szCs w:val="32"/>
        </w:rPr>
        <w:t>万元，占</w:t>
      </w:r>
      <w:r>
        <w:rPr>
          <w:rFonts w:hint="eastAsia" w:ascii="仿宋_GB2312" w:eastAsia="仿宋_GB2312"/>
          <w:sz w:val="32"/>
          <w:szCs w:val="32"/>
        </w:rPr>
        <w:t>5.53%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与年初预算数相比情况：本年支出年初预算数376.3万元，</w:t>
      </w:r>
      <w:r>
        <w:rPr>
          <w:rFonts w:hint="eastAsia" w:ascii="仿宋_GB2312" w:eastAsia="仿宋_GB2312"/>
          <w:sz w:val="32"/>
          <w:szCs w:val="32"/>
        </w:rPr>
        <w:t>决算数452.03万元</w:t>
      </w:r>
      <w:r>
        <w:rPr>
          <w:rFonts w:ascii="仿宋_GB2312" w:eastAsia="仿宋_GB2312"/>
          <w:sz w:val="32"/>
          <w:szCs w:val="32"/>
        </w:rPr>
        <w:t>，预决算差异率20.12%，差异主要原因是一是政策性调资：基本工资增加，高海拔</w:t>
      </w:r>
      <w:r>
        <w:rPr>
          <w:rFonts w:hint="eastAsia" w:ascii="仿宋_GB2312" w:eastAsia="仿宋_GB2312"/>
          <w:sz w:val="32"/>
          <w:szCs w:val="32"/>
          <w:lang w:val="en-US" w:eastAsia="zh-CN"/>
        </w:rPr>
        <w:t>地区工龄</w:t>
      </w:r>
      <w:r>
        <w:rPr>
          <w:rFonts w:ascii="仿宋_GB2312" w:eastAsia="仿宋_GB2312"/>
          <w:sz w:val="32"/>
          <w:szCs w:val="32"/>
        </w:rPr>
        <w:t>补贴增加，艰边津贴增加；二是纪委监委执纪执勤车辆购置经费未纳入年初预算，以上原因导致本年决算数较预算数增加。</w:t>
      </w:r>
    </w:p>
    <w:bookmarkEnd w:id="22"/>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452.03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，与上年相比，增加111.95万元，增长32.92%，增加的主要原因是：政策性调资：基本工资增加，高海拔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工龄工资补贴增加，艰边津贴增加，纪委监委执纪执勤车辆经费增加。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452.03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，与上年相比，增加111.95万元，增长32.92%，增加的主要原因是：</w:t>
      </w:r>
      <w:r>
        <w:rPr>
          <w:rFonts w:ascii="仿宋_GB2312" w:eastAsia="仿宋_GB2312"/>
          <w:sz w:val="32"/>
          <w:szCs w:val="32"/>
        </w:rPr>
        <w:t>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工龄工资补贴增加，艰边津贴增加，纪委监委执纪执勤车辆经费增加。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427.04</w:t>
      </w:r>
      <w:r>
        <w:rPr>
          <w:rFonts w:hint="eastAsia" w:ascii="仿宋_GB2312" w:eastAsia="仿宋_GB2312"/>
          <w:color w:val="000000" w:themeColor="text1"/>
          <w:sz w:val="32"/>
          <w:szCs w:val="32"/>
        </w:rPr>
        <w:t>万元，项目支出</w:t>
      </w:r>
      <w:r>
        <w:rPr>
          <w:rFonts w:hint="eastAsia" w:ascii="仿宋_GB2312" w:eastAsia="仿宋_GB2312"/>
          <w:sz w:val="32"/>
          <w:szCs w:val="32"/>
        </w:rPr>
        <w:t>24.99</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376.3</w:t>
      </w:r>
      <w:r>
        <w:rPr>
          <w:rFonts w:hint="eastAsia" w:ascii="仿宋_GB2312" w:eastAsia="仿宋_GB2312"/>
          <w:color w:val="000000" w:themeColor="text1"/>
          <w:sz w:val="32"/>
          <w:szCs w:val="32"/>
        </w:rPr>
        <w:t>万元，决算数</w:t>
      </w:r>
      <w:r>
        <w:rPr>
          <w:rFonts w:hint="eastAsia" w:ascii="仿宋_GB2312" w:eastAsia="仿宋_GB2312"/>
          <w:sz w:val="32"/>
          <w:szCs w:val="32"/>
        </w:rPr>
        <w:t>452.03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，预决算差异率20.12%，差异主要原因是一是政策性调资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ascii="仿宋_GB2312" w:eastAsia="仿宋_GB2312"/>
          <w:color w:val="000000" w:themeColor="text1"/>
          <w:sz w:val="32"/>
          <w:szCs w:val="32"/>
        </w:rPr>
        <w:t>补贴增加，艰边津贴增加；二是纪委监委执纪执勤车辆购置经费未纳入年初预算，以上原因导致本年决算数较预算数增加。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376.3</w:t>
      </w:r>
      <w:r>
        <w:rPr>
          <w:rFonts w:hint="eastAsia" w:ascii="仿宋_GB2312" w:eastAsia="仿宋_GB2312"/>
          <w:color w:val="000000" w:themeColor="text1"/>
          <w:sz w:val="32"/>
          <w:szCs w:val="32"/>
        </w:rPr>
        <w:t>万元，决算数</w:t>
      </w:r>
      <w:r>
        <w:rPr>
          <w:rFonts w:hint="eastAsia" w:ascii="仿宋_GB2312" w:eastAsia="仿宋_GB2312"/>
          <w:sz w:val="32"/>
          <w:szCs w:val="32"/>
        </w:rPr>
        <w:t>452.03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，预决算差异率20.12%，差异主要原因是一是政策性调资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ascii="仿宋_GB2312" w:eastAsia="仿宋_GB2312"/>
          <w:color w:val="000000" w:themeColor="text1"/>
          <w:sz w:val="32"/>
          <w:szCs w:val="32"/>
        </w:rPr>
        <w:t>补贴增加，艰边津贴增加；二是纪委监委执纪执勤车辆购置经费未纳入年初预算，以上原因导致本年决算数较预算数增加。</w:t>
      </w:r>
      <w:bookmarkEnd w:id="33"/>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（二）一般公共预算收支决算情况说明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452.03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，与上年相比，增加111.95万元，增长32.92%，增加的主要原因是：政策性调资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工龄工资补贴增加，艰边津贴增加，纪委监委执纪执勤车辆经费增加。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452.03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，与上年相比，增加111.95万元，增长32.92%，增加的主要原因是：政策性调资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工龄工资补贴增加，艰边津贴增加，纪委监委执纪执勤车辆经费增加。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住房保障支出23.51万元,一般公共服务支出394.73万元,社会保障和就业支出33.79万元。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工资福利支出369.99万元,商品和服务支出49.72万元,对个人和家庭的补助7.32万元,资本性支出24.99万元。</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376.3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，预决算差异率20.12%，差异主要原因是一是政策性调资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ascii="仿宋_GB2312" w:eastAsia="仿宋_GB2312"/>
          <w:color w:val="000000" w:themeColor="text1"/>
          <w:sz w:val="32"/>
          <w:szCs w:val="32"/>
        </w:rPr>
        <w:t>补贴增加，艰边津贴增加；二是纪委监委执纪执勤车辆购置经费未纳入年初预算，以上原因导致本年决算数较预算数增加。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376.3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，预决算差异率20.12%，差异主要原因是一是政策性调资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ascii="仿宋_GB2312" w:eastAsia="仿宋_GB2312"/>
          <w:color w:val="000000" w:themeColor="text1"/>
          <w:sz w:val="32"/>
          <w:szCs w:val="32"/>
        </w:rPr>
        <w:t>补贴增加</w:t>
      </w:r>
      <w:bookmarkStart w:id="88" w:name="_GoBack"/>
      <w:bookmarkEnd w:id="88"/>
      <w:r>
        <w:rPr>
          <w:rFonts w:ascii="仿宋_GB2312" w:eastAsia="仿宋_GB2312"/>
          <w:color w:val="000000" w:themeColor="text1"/>
          <w:sz w:val="32"/>
          <w:szCs w:val="32"/>
        </w:rPr>
        <w:t>，艰边津贴增加；二是纪委监委执纪执勤车辆购置经费未纳入年初预算，以上原因导致本年决算数较预算数增加。</w:t>
      </w:r>
      <w:bookmarkEnd w:id="43"/>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（三）政府性基金预算收支决算情况说明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万元，增长33.33%，增加的主要原因是：自治区纪委监委《关于申请为南疆四地州县（市）纪委监委配备执法执勤车辆的函》新纪办函[2018]668号）（新财行[2018]318号）文件要求本单位用此专款购买1辆执纪执法车增加公务用车维护费2万元。</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2万元，增长33.33%，增加的主要原因是：自治区纪委监委《关于申请为南疆四地州县（市）纪委监委配备执法执勤车辆的函》新纪办函[2018]668号）（新财行[2018]318号）文件要求本单位用此专款购买1辆执纪执法车增加公务用车维护费2万元；</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themeColor="text1"/>
          <w:sz w:val="32"/>
          <w:szCs w:val="32"/>
        </w:rPr>
        <w:t>具体情况如下：</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新疆喀什地区塔什库尔干县纪律检查委员会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本单位2018年无因公出国（境）支出。</w:t>
      </w:r>
      <w:bookmarkEnd w:id="61"/>
      <w:bookmarkEnd w:id="62"/>
      <w:bookmarkEnd w:id="68"/>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8</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8</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color w:val="000000" w:themeColor="text1"/>
          <w:sz w:val="32"/>
          <w:szCs w:val="32"/>
          <w:lang w:eastAsia="zh-CN"/>
        </w:rPr>
        <w:t>公务车辆油料费、保险费、维修维护费支出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3"/>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本单位2018年无公务接待费支出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新疆喀什地区塔什库尔干县纪律检查委员会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8</w:t>
      </w:r>
      <w:r>
        <w:rPr>
          <w:rFonts w:hint="eastAsia" w:ascii="仿宋_GB2312" w:eastAsia="仿宋_GB2312"/>
          <w:color w:val="000000" w:themeColor="text1"/>
          <w:sz w:val="32"/>
          <w:szCs w:val="32"/>
        </w:rPr>
        <w:t>万元，决算数8万元</w:t>
      </w:r>
      <w:r>
        <w:rPr>
          <w:rFonts w:ascii="仿宋_GB2312" w:eastAsia="仿宋_GB2312"/>
          <w:color w:val="000000" w:themeColor="text1"/>
          <w:sz w:val="32"/>
          <w:szCs w:val="32"/>
        </w:rPr>
        <w:t>，预决算差异率0%，差异主要原因是无差异。</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本单位2018年无公务接待费支出。</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五、机关运行经费支出情况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2018年度新疆喀什地区塔什库尔干县纪律检查委员会机关运行经费支出49.72万元，与上年相比，增加17.32万元，增长53.46%，增加的主要原因是：差旅费，办公场所维修维护费、委托业务经费均较上年增加。</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9.49</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8.51</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0.98</w:t>
      </w:r>
      <w:r>
        <w:rPr>
          <w:rFonts w:hint="eastAsia" w:ascii="仿宋_GB2312" w:eastAsia="仿宋_GB2312"/>
          <w:color w:val="000000" w:themeColor="text1"/>
          <w:sz w:val="32"/>
          <w:szCs w:val="32"/>
        </w:rPr>
        <w:t>万元。</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47.52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三菱帕杰罗越野车一辆主要用于单位日常外出公务用车，北京现代轿车一辆主要用于单位日常外出公务用车，切诺基越野车一辆主要用于巡察办日常下乡检查工作用</w:t>
      </w:r>
      <w:r>
        <w:rPr>
          <w:rFonts w:ascii="仿宋_GB2312" w:eastAsia="仿宋_GB2312"/>
          <w:color w:val="000000" w:themeColor="text1"/>
          <w:sz w:val="32"/>
          <w:szCs w:val="32"/>
        </w:rPr>
        <w:t>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（二）预算绩效情况的说明</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纪委监委执纪执勤车辆经费项目到位资金25万元，执行24.99万元，执行率100%，本单位2018年严格执行预算绩效工作管理制度，成立绩效管理领导小组，对各类项目进行事前、事中、事后全过程监控，做好项目各项报表申报工作，确保项目按年初既定的目标如期完成。</w:t>
      </w:r>
    </w:p>
    <w:p>
      <w:pPr>
        <w:keepNext w:val="0"/>
        <w:keepLines w:val="0"/>
        <w:pageBreakBefore w:val="0"/>
        <w:kinsoku/>
        <w:wordWrap/>
        <w:overflowPunct/>
        <w:topLinePunct w:val="0"/>
        <w:bidi w:val="0"/>
        <w:adjustRightInd/>
        <w:snapToGrid/>
        <w:spacing w:line="540" w:lineRule="exact"/>
        <w:ind w:left="-1" w:right="-1" w:firstLine="646"/>
        <w:jc w:val="left"/>
        <w:textAlignment w:val="auto"/>
        <w:outlineLvl w:val="9"/>
      </w:pPr>
      <w:r>
        <w:rPr>
          <w:rFonts w:ascii="仿宋_GB2312" w:hAnsi="仿宋_GB2312" w:eastAsia="仿宋_GB2312" w:cs="仿宋_GB2312"/>
          <w:b w:val="0"/>
          <w:color w:val="000000"/>
          <w:sz w:val="32"/>
          <w:u w:val="none"/>
        </w:rPr>
        <w:t>塔什库尔干县纪委监委执纪执勤车辆经费项目项目绩效自评综述：根据年初设定的绩效目标，该项目绩效自评得分为90分。项目全年预算数为25万元，执行数为24.99万元，完成预算的99.96%。主要产出和效果：根据自治区纪委监委《关于申请为南疆四地州县（市）纪委监委配备执法执勤车辆的函》新纪办函[2018]668号）（新财行[2018]318号）文件要求本单位用此专款购买1辆执纪执法用车，确保我县纪检监察各项工作有序开展。发现的问题及原因：无</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下一步改进措施：无</w:t>
      </w:r>
      <w:r>
        <w:rPr>
          <w:rFonts w:hint="eastAsia" w:ascii="仿宋_GB2312" w:hAnsi="仿宋_GB2312" w:eastAsia="仿宋_GB2312" w:cs="仿宋_GB2312"/>
          <w:b w:val="0"/>
          <w:color w:val="000000"/>
          <w:sz w:val="32"/>
          <w:u w:val="none"/>
          <w:lang w:eastAsia="zh-CN"/>
        </w:rPr>
        <w:t>。</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540" w:lineRule="exact"/>
        <w:ind w:firstLine="646"/>
        <w:jc w:val="left"/>
        <w:textAlignment w:val="auto"/>
        <w:outlineLvl w:val="9"/>
        <w:rPr>
          <w:rFonts w:ascii="仿宋_GB2312" w:eastAsia="仿宋_GB2312"/>
          <w:sz w:val="32"/>
          <w:szCs w:val="32"/>
        </w:rPr>
      </w:pPr>
      <w:r>
        <w:rPr>
          <w:rFonts w:hint="eastAsia" w:ascii="仿宋_GB2312" w:eastAsia="仿宋_GB2312"/>
          <w:sz w:val="32"/>
          <w:szCs w:val="32"/>
        </w:rPr>
        <w:t>有关项目自评情况可附项目支出绩效自评表。</w:t>
      </w:r>
    </w:p>
    <w:p>
      <w:pPr>
        <w:keepNext w:val="0"/>
        <w:keepLines w:val="0"/>
        <w:pageBreakBefore w:val="0"/>
        <w:kinsoku/>
        <w:wordWrap/>
        <w:overflowPunct/>
        <w:topLinePunct w:val="0"/>
        <w:bidi w:val="0"/>
        <w:adjustRightInd/>
        <w:snapToGrid/>
        <w:spacing w:line="540" w:lineRule="exact"/>
        <w:jc w:val="center"/>
        <w:textAlignment w:val="auto"/>
        <w:outlineLvl w:val="9"/>
        <w:rPr>
          <w:rFonts w:ascii="黑体" w:hAnsi="黑体" w:eastAsia="黑体"/>
          <w:sz w:val="32"/>
          <w:szCs w:val="32"/>
        </w:rPr>
      </w:pPr>
      <w:r>
        <w:rPr>
          <w:rFonts w:hint="eastAsia" w:ascii="黑体" w:hAnsi="黑体" w:eastAsia="黑体"/>
          <w:sz w:val="32"/>
          <w:szCs w:val="32"/>
        </w:rPr>
        <w:t>第三部分专业名词解释</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221（类）02（款）01（项）指：住房公积金。201（类）11（款）99（项）指：其他纪检监察事务支出。201（类）11（款）01（项）指：行政运行。208（类）05（款）05（项）指：机关事业单位基本养老保险缴费支出。</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kinsoku/>
        <w:wordWrap/>
        <w:overflowPunct/>
        <w:topLinePunct w:val="0"/>
        <w:bidi w:val="0"/>
        <w:adjustRightInd/>
        <w:snapToGrid/>
        <w:spacing w:line="540" w:lineRule="exact"/>
        <w:ind w:firstLine="643" w:firstLineChars="200"/>
        <w:textAlignment w:val="auto"/>
        <w:outlineLvl w:val="9"/>
        <w:rPr>
          <w:rFonts w:ascii="仿宋_GB2312" w:eastAsia="仿宋_GB2312"/>
          <w:b/>
          <w:sz w:val="32"/>
          <w:szCs w:val="32"/>
        </w:rPr>
      </w:pPr>
    </w:p>
    <w:p>
      <w:pPr>
        <w:keepNext w:val="0"/>
        <w:keepLines w:val="0"/>
        <w:pageBreakBefore w:val="0"/>
        <w:kinsoku/>
        <w:wordWrap/>
        <w:overflowPunct/>
        <w:topLinePunct w:val="0"/>
        <w:bidi w:val="0"/>
        <w:adjustRightInd/>
        <w:snapToGrid/>
        <w:spacing w:line="540" w:lineRule="exact"/>
        <w:jc w:val="center"/>
        <w:textAlignment w:val="auto"/>
        <w:outlineLvl w:val="9"/>
        <w:rPr>
          <w:rFonts w:ascii="黑体" w:hAnsi="黑体" w:eastAsia="黑体"/>
          <w:sz w:val="32"/>
          <w:szCs w:val="32"/>
        </w:rPr>
      </w:pPr>
      <w:r>
        <w:rPr>
          <w:rFonts w:hint="eastAsia" w:ascii="黑体" w:hAnsi="黑体" w:eastAsia="黑体"/>
          <w:sz w:val="32"/>
          <w:szCs w:val="32"/>
        </w:rPr>
        <w:t>第四部分部门决算公开的8张报表（见附表）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一、《收入支出决算总表》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二、《收入决算表》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三、《支出决算表》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四、《财政拨款收入支出决算总表》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五、《一般公共预算财政拨款支出决算表》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六、《一般公共预算财政拨款基本支出决算表》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七、《一般公共预算财政拨款“三公”经费支出决算表》</w:t>
      </w:r>
    </w:p>
    <w:p>
      <w:pPr>
        <w:keepNext w:val="0"/>
        <w:keepLines w:val="0"/>
        <w:pageBreakBefore w:val="0"/>
        <w:kinsoku/>
        <w:wordWrap/>
        <w:overflowPunct/>
        <w:topLinePunct w:val="0"/>
        <w:bidi w:val="0"/>
        <w:adjustRightInd/>
        <w:snapToGrid/>
        <w:spacing w:line="540" w:lineRule="exact"/>
        <w:ind w:firstLine="640" w:firstLineChars="200"/>
        <w:textAlignment w:val="auto"/>
        <w:outlineLvl w:val="9"/>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keepNext w:val="0"/>
        <w:keepLines w:val="0"/>
        <w:pageBreakBefore w:val="0"/>
        <w:kinsoku/>
        <w:wordWrap/>
        <w:overflowPunct/>
        <w:topLinePunct w:val="0"/>
        <w:bidi w:val="0"/>
        <w:adjustRightInd/>
        <w:snapToGrid/>
        <w:spacing w:line="540" w:lineRule="exact"/>
        <w:textAlignment w:val="auto"/>
        <w:outlineLvl w:val="9"/>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95434A"/>
    <w:rsid w:val="03AA79F6"/>
    <w:rsid w:val="04741FE5"/>
    <w:rsid w:val="04DB02C7"/>
    <w:rsid w:val="06B856EE"/>
    <w:rsid w:val="077B5EDD"/>
    <w:rsid w:val="07FE5938"/>
    <w:rsid w:val="084604BC"/>
    <w:rsid w:val="08883825"/>
    <w:rsid w:val="08FB722F"/>
    <w:rsid w:val="09725983"/>
    <w:rsid w:val="0A382BB5"/>
    <w:rsid w:val="0AA175CA"/>
    <w:rsid w:val="0AA4543A"/>
    <w:rsid w:val="0BE61132"/>
    <w:rsid w:val="0C9B0DD6"/>
    <w:rsid w:val="0CE4791C"/>
    <w:rsid w:val="0D075E06"/>
    <w:rsid w:val="0E063C64"/>
    <w:rsid w:val="0F4C7B96"/>
    <w:rsid w:val="0F7F1FED"/>
    <w:rsid w:val="0FFB575E"/>
    <w:rsid w:val="10845F1B"/>
    <w:rsid w:val="11463A00"/>
    <w:rsid w:val="11600918"/>
    <w:rsid w:val="11B0398F"/>
    <w:rsid w:val="13B960C5"/>
    <w:rsid w:val="152777F4"/>
    <w:rsid w:val="15484645"/>
    <w:rsid w:val="15C674B6"/>
    <w:rsid w:val="177F2B62"/>
    <w:rsid w:val="18D54A0D"/>
    <w:rsid w:val="1A4106A0"/>
    <w:rsid w:val="1A4F5437"/>
    <w:rsid w:val="1AA878DC"/>
    <w:rsid w:val="1AB77CD0"/>
    <w:rsid w:val="1DFA7ABD"/>
    <w:rsid w:val="1E807156"/>
    <w:rsid w:val="1EA657F6"/>
    <w:rsid w:val="1F097CB6"/>
    <w:rsid w:val="20EE2CBF"/>
    <w:rsid w:val="2166156B"/>
    <w:rsid w:val="21B02D83"/>
    <w:rsid w:val="22A236F5"/>
    <w:rsid w:val="23995975"/>
    <w:rsid w:val="2432220E"/>
    <w:rsid w:val="248303BA"/>
    <w:rsid w:val="24837E47"/>
    <w:rsid w:val="252E01AA"/>
    <w:rsid w:val="258B6DE1"/>
    <w:rsid w:val="2680023E"/>
    <w:rsid w:val="29680352"/>
    <w:rsid w:val="2A020F75"/>
    <w:rsid w:val="2A9A7E71"/>
    <w:rsid w:val="2B007AEE"/>
    <w:rsid w:val="2BC14C56"/>
    <w:rsid w:val="2C1B026F"/>
    <w:rsid w:val="2CC61F55"/>
    <w:rsid w:val="2E3F521F"/>
    <w:rsid w:val="2E8F5F99"/>
    <w:rsid w:val="2EF7452F"/>
    <w:rsid w:val="2F1D13B4"/>
    <w:rsid w:val="2FAA3DA6"/>
    <w:rsid w:val="30682E1F"/>
    <w:rsid w:val="30E210D2"/>
    <w:rsid w:val="311371D6"/>
    <w:rsid w:val="31EB64C9"/>
    <w:rsid w:val="33235A88"/>
    <w:rsid w:val="336D0D6F"/>
    <w:rsid w:val="33FD7BC4"/>
    <w:rsid w:val="352E4BEC"/>
    <w:rsid w:val="35471445"/>
    <w:rsid w:val="35B13EEC"/>
    <w:rsid w:val="362A152F"/>
    <w:rsid w:val="37DD5594"/>
    <w:rsid w:val="38F24FA8"/>
    <w:rsid w:val="3950372E"/>
    <w:rsid w:val="39BC1AB4"/>
    <w:rsid w:val="3A98342A"/>
    <w:rsid w:val="3AB6780E"/>
    <w:rsid w:val="3AD56D70"/>
    <w:rsid w:val="3B2920C2"/>
    <w:rsid w:val="3B9F5FB0"/>
    <w:rsid w:val="3BE41ABD"/>
    <w:rsid w:val="3C5421A9"/>
    <w:rsid w:val="3D903B21"/>
    <w:rsid w:val="3F440741"/>
    <w:rsid w:val="41FC306C"/>
    <w:rsid w:val="42101A72"/>
    <w:rsid w:val="44BE5554"/>
    <w:rsid w:val="451E0908"/>
    <w:rsid w:val="452C2D31"/>
    <w:rsid w:val="45D26E14"/>
    <w:rsid w:val="46A541B1"/>
    <w:rsid w:val="473568F3"/>
    <w:rsid w:val="48C57772"/>
    <w:rsid w:val="49782886"/>
    <w:rsid w:val="4A6F0D28"/>
    <w:rsid w:val="4AAF085C"/>
    <w:rsid w:val="4AEB7E60"/>
    <w:rsid w:val="4B4B135B"/>
    <w:rsid w:val="4BC7055F"/>
    <w:rsid w:val="4CFC7DB2"/>
    <w:rsid w:val="4E7C187D"/>
    <w:rsid w:val="502C27AD"/>
    <w:rsid w:val="50752D8C"/>
    <w:rsid w:val="508941AD"/>
    <w:rsid w:val="50E65530"/>
    <w:rsid w:val="51457139"/>
    <w:rsid w:val="51574DBD"/>
    <w:rsid w:val="51EC1DA8"/>
    <w:rsid w:val="52FC5524"/>
    <w:rsid w:val="532D7A17"/>
    <w:rsid w:val="54AF4562"/>
    <w:rsid w:val="54C9674B"/>
    <w:rsid w:val="556318EA"/>
    <w:rsid w:val="55A60AA1"/>
    <w:rsid w:val="55C638FE"/>
    <w:rsid w:val="55FF4F5B"/>
    <w:rsid w:val="56451615"/>
    <w:rsid w:val="57FC5774"/>
    <w:rsid w:val="59B332C9"/>
    <w:rsid w:val="5A44758A"/>
    <w:rsid w:val="5BEC4BB3"/>
    <w:rsid w:val="5C070B55"/>
    <w:rsid w:val="5CB96DCE"/>
    <w:rsid w:val="5CE61580"/>
    <w:rsid w:val="5D175666"/>
    <w:rsid w:val="5D556A3C"/>
    <w:rsid w:val="5D7B25C9"/>
    <w:rsid w:val="5D8A2CEA"/>
    <w:rsid w:val="5ECB44B4"/>
    <w:rsid w:val="5EE2043C"/>
    <w:rsid w:val="5FE463A6"/>
    <w:rsid w:val="602D2E37"/>
    <w:rsid w:val="61460FBE"/>
    <w:rsid w:val="62775810"/>
    <w:rsid w:val="62D83744"/>
    <w:rsid w:val="62F16F74"/>
    <w:rsid w:val="630E5E4A"/>
    <w:rsid w:val="630F4048"/>
    <w:rsid w:val="63AA02E5"/>
    <w:rsid w:val="63CD7CDD"/>
    <w:rsid w:val="642D6789"/>
    <w:rsid w:val="64700DE9"/>
    <w:rsid w:val="648A0C0A"/>
    <w:rsid w:val="65C613BD"/>
    <w:rsid w:val="65FD118C"/>
    <w:rsid w:val="682C3D89"/>
    <w:rsid w:val="68611305"/>
    <w:rsid w:val="6A162DE0"/>
    <w:rsid w:val="6A331428"/>
    <w:rsid w:val="6AF2292E"/>
    <w:rsid w:val="6B2E5CB6"/>
    <w:rsid w:val="6B3D4886"/>
    <w:rsid w:val="6DF8675E"/>
    <w:rsid w:val="6EA80098"/>
    <w:rsid w:val="6F8D70FF"/>
    <w:rsid w:val="6FFE5011"/>
    <w:rsid w:val="70294D16"/>
    <w:rsid w:val="7178734D"/>
    <w:rsid w:val="71791096"/>
    <w:rsid w:val="717B0C34"/>
    <w:rsid w:val="71FB78FD"/>
    <w:rsid w:val="7275064A"/>
    <w:rsid w:val="72C94841"/>
    <w:rsid w:val="733F750B"/>
    <w:rsid w:val="735702E2"/>
    <w:rsid w:val="73B134C7"/>
    <w:rsid w:val="765F635A"/>
    <w:rsid w:val="76B73454"/>
    <w:rsid w:val="76D254BD"/>
    <w:rsid w:val="77727ACD"/>
    <w:rsid w:val="78071142"/>
    <w:rsid w:val="78564390"/>
    <w:rsid w:val="79296B37"/>
    <w:rsid w:val="7A4C4C40"/>
    <w:rsid w:val="7AA0518E"/>
    <w:rsid w:val="7ADE5BFE"/>
    <w:rsid w:val="7B041636"/>
    <w:rsid w:val="7CA86749"/>
    <w:rsid w:val="7D5746DE"/>
    <w:rsid w:val="7D7B5084"/>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6</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2020-04-05T03:10:14Z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