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2018年度新疆喀什地区塔什库尔干县委统战部部门决算公开说明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统一战线工作部：（1）组织宣传，贯彻中央和自治区党委关予统一战线的方针、政策；调查了解全县统战工作的情况，掌握分析统战工作中的政治思想动态，及时向县委反映情况，并提出开展统战工作的建议和意见。（2）负责调查研究，协调检查有关民族宗教工作方针、政策的贯彻执行情况；联系少数民族和宗教界的代表人物，协助有关部门做好少数民族干部的培养和举荐工作；协调有关部门同国内外民族分裂主义破坏民族团结，分裂祖国的活动作斗争，参与处理有关突发事件。（3）主管党外人士的政治安排，会同有关部门做好培养、选拔、推荐党外人士担任政府和政府部门领导职务的工作，在摸底调查的基础上，建立党我干部后备名单，做好党外代表人士的培训工作。（4）负责开展祖国统一为重点的海外统战和中西亚统战工作。对台湾同胞、港澳同胞和海外侨胞的代表人和社团进行争取，团结和联谊。（5）开展经济领域的统战工作，组织工商联无党派同志积极投入改革开放和经济建设，对私营企业和个体工户的代表人物进行联系。（6）搞好本部的自身建设，提高干部的政治思想和业务素质。（7）承办县委交办的其他事项。2、工商业联合会：（1）参与自治县各项政策及政治、经济、社会生活中的重要问题的政治协商，发挥民主监督作用，积极参政议政；（2）引导会员自觉把自身企业的发展与自治县的发展结合起来，把个人富裕与全县人民的共同富裕结合起来，把遵循市场法则与发扬社会主义道德结合起来，积极参加全县经济建设，推动社会主义市场经济体制逐步完善，促进社会全面发展；（3）做好工商界代表人士政治安排的推荐工作；（4）发扬自我教育的优良传统，宣传、贯彻党和国家的方针政策，加强和改革思想政治工作，推动企业文化建设，提倡爱国、敬业、诚信、守法，引导会员树立社会主义公私观、信用观、义利观和法制观，做自治县振兴经济、脱贫致富奔小康事业的建设者；（5）代表并维护会员的合法权益，反映会员的意见、要求和建议；（6）引导会员弘扬中华民族传统美德，热心社会公益事业，积极参与“光彩事业”，致富思源、富而思进，扶贫济困、共同富裕，义利兼顾、德行并重，发展企业、回馈社会；（7）为会员提供信息和科技、管理、法律、会计、审计、融资、咨询等服务；（8）开展工商专业培训，帮助会员改进经营管理，完善财会管理、照章纳税，提高生产技术和产品质量；（9）组织会员举办和参加各种对内、对外展销会、交易会，组织会员出国、出境考察访问，帮助会员开拓国内、国际市场；（10）增进与国内外工商社团及工商经济界人士的联系和友谊，促进经济、技术和贸易合作的发展；（11）为会员提供有关证明，协调关系，调解经济纠纷；（12）办好会办企业、事业；（13）承办上级和有关部门委托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新疆喀什地区塔什库尔干县委统战部</w:t>
      </w:r>
      <w:r>
        <w:rPr>
          <w:rFonts w:hint="eastAsia" w:ascii="仿宋_GB2312" w:eastAsia="仿宋_GB2312"/>
          <w:sz w:val="32"/>
          <w:szCs w:val="32"/>
        </w:rPr>
        <w:t>部门决算包括：</w:t>
      </w:r>
      <w:r>
        <w:rPr>
          <w:rFonts w:ascii="仿宋_GB2312" w:eastAsia="仿宋_GB2312"/>
          <w:sz w:val="32"/>
          <w:szCs w:val="32"/>
        </w:rPr>
        <w:t>新疆喀什地区塔什库尔干县委统战部</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新疆喀什地区塔什库尔干县委统战部</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新疆喀什地区塔什库尔干县委统战部</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301.3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，与上年相比，增加10.48万元，增长3.6%，增加的主要原因是：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w:t>
      </w:r>
      <w:r>
        <w:rPr>
          <w:rFonts w:hint="eastAsia" w:ascii="仿宋_GB2312" w:eastAsia="仿宋_GB2312"/>
          <w:color w:val="000000" w:themeColor="text1"/>
          <w:sz w:val="32"/>
          <w:szCs w:val="32"/>
          <w:lang w:val="en-US" w:eastAsia="zh-CN"/>
        </w:rPr>
        <w:t>发</w:t>
      </w:r>
      <w:r>
        <w:rPr>
          <w:rFonts w:hint="eastAsia" w:ascii="仿宋_GB2312" w:eastAsia="仿宋_GB2312"/>
          <w:color w:val="000000" w:themeColor="text1"/>
          <w:sz w:val="32"/>
          <w:szCs w:val="32"/>
        </w:rPr>
        <w:t>，艰边津贴上调及补发导致本年决算数较上年数增加；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301.3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，与上年相比，增加10.48万元，增长3.6%，增加的主要原因是：</w:t>
      </w:r>
      <w:r>
        <w:rPr>
          <w:rFonts w:hint="eastAsia" w:ascii="仿宋_GB2312" w:eastAsia="仿宋_GB2312"/>
          <w:color w:val="000000" w:themeColor="text1"/>
          <w:sz w:val="32"/>
          <w:szCs w:val="32"/>
        </w:rPr>
        <w:t>政策性调资</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基本工资增加，高海拔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工龄工资调增及补</w:t>
      </w:r>
      <w:r>
        <w:rPr>
          <w:rFonts w:hint="eastAsia" w:ascii="仿宋_GB2312" w:eastAsia="仿宋_GB2312"/>
          <w:color w:val="000000" w:themeColor="text1"/>
          <w:sz w:val="32"/>
          <w:szCs w:val="32"/>
          <w:lang w:val="en-US" w:eastAsia="zh-CN"/>
        </w:rPr>
        <w:t>发</w:t>
      </w:r>
      <w:r>
        <w:rPr>
          <w:rFonts w:hint="eastAsia" w:ascii="仿宋_GB2312" w:eastAsia="仿宋_GB2312"/>
          <w:color w:val="000000" w:themeColor="text1"/>
          <w:sz w:val="32"/>
          <w:szCs w:val="32"/>
        </w:rPr>
        <w:t>，艰边津贴上调及补发导致本年决算数较上年数增加；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301.3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301.3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况：本年收入年初预算数165.36万元</w:t>
      </w:r>
      <w:r>
        <w:rPr>
          <w:rFonts w:hint="eastAsia" w:ascii="仿宋_GB2312" w:eastAsia="仿宋_GB2312"/>
          <w:sz w:val="32"/>
          <w:szCs w:val="32"/>
        </w:rPr>
        <w:t>，决算数301.3万元</w:t>
      </w:r>
      <w:r>
        <w:rPr>
          <w:rFonts w:ascii="仿宋_GB2312" w:eastAsia="仿宋_GB2312"/>
          <w:sz w:val="32"/>
          <w:szCs w:val="32"/>
        </w:rPr>
        <w:t>，预决算差异率82.21%，差异主要原因是一是政策性调资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301.3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226.96</w:t>
      </w:r>
      <w:r>
        <w:rPr>
          <w:rFonts w:hint="eastAsia" w:ascii="仿宋_GB2312" w:eastAsia="仿宋_GB2312"/>
          <w:color w:val="000000" w:themeColor="text1"/>
          <w:sz w:val="32"/>
          <w:szCs w:val="32"/>
        </w:rPr>
        <w:t>万元，占</w:t>
      </w:r>
      <w:r>
        <w:rPr>
          <w:rFonts w:hint="eastAsia" w:ascii="仿宋_GB2312" w:eastAsia="仿宋_GB2312"/>
          <w:sz w:val="32"/>
          <w:szCs w:val="32"/>
        </w:rPr>
        <w:t>75.33%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74.33</w:t>
      </w:r>
      <w:r>
        <w:rPr>
          <w:rFonts w:hint="eastAsia" w:ascii="仿宋_GB2312" w:eastAsia="仿宋_GB2312"/>
          <w:color w:val="000000" w:themeColor="text1"/>
          <w:sz w:val="32"/>
          <w:szCs w:val="32"/>
        </w:rPr>
        <w:t>万元，占</w:t>
      </w:r>
      <w:r>
        <w:rPr>
          <w:rFonts w:hint="eastAsia" w:ascii="仿宋_GB2312" w:eastAsia="仿宋_GB2312"/>
          <w:sz w:val="32"/>
          <w:szCs w:val="32"/>
        </w:rPr>
        <w:t>24.67%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与年初预算数相比情况：本年支出年初预算数165.36万元，</w:t>
      </w:r>
      <w:r>
        <w:rPr>
          <w:rFonts w:hint="eastAsia" w:ascii="仿宋_GB2312" w:eastAsia="仿宋_GB2312"/>
          <w:sz w:val="32"/>
          <w:szCs w:val="32"/>
        </w:rPr>
        <w:t>决算数301.3万元</w:t>
      </w:r>
      <w:r>
        <w:rPr>
          <w:rFonts w:ascii="仿宋_GB2312" w:eastAsia="仿宋_GB2312"/>
          <w:sz w:val="32"/>
          <w:szCs w:val="32"/>
        </w:rPr>
        <w:t>，预决算差异率82.21%，差异主要原因是一是政策性调资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p>
    <w:bookmarkEnd w:id="22"/>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二、部门财政拨款收支情况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301.3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，与上年相比，增加10.48万元，增长3.6%，增加的主要原因是：政策性调资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工龄工资调增及补</w:t>
      </w:r>
      <w:r>
        <w:rPr>
          <w:rFonts w:hint="eastAsia" w:ascii="仿宋_GB2312" w:eastAsia="仿宋_GB2312"/>
          <w:sz w:val="32"/>
          <w:szCs w:val="32"/>
          <w:lang w:val="en-US" w:eastAsia="zh-CN"/>
        </w:rPr>
        <w:t>发</w:t>
      </w:r>
      <w:r>
        <w:rPr>
          <w:rFonts w:hint="eastAsia" w:ascii="仿宋_GB2312" w:eastAsia="仿宋_GB2312"/>
          <w:sz w:val="32"/>
          <w:szCs w:val="32"/>
        </w:rPr>
        <w:t>，艰边津贴上调及补发导致本年决算数较上年数增加。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301.3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，与上年相比，增加10.48万元，增长3.6%，增加的主要原因是：政策性调资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工龄工资调增及补</w:t>
      </w:r>
      <w:r>
        <w:rPr>
          <w:rFonts w:hint="eastAsia" w:ascii="仿宋_GB2312" w:eastAsia="仿宋_GB2312"/>
          <w:sz w:val="32"/>
          <w:szCs w:val="32"/>
          <w:lang w:val="en-US" w:eastAsia="zh-CN"/>
        </w:rPr>
        <w:t>发</w:t>
      </w:r>
      <w:r>
        <w:rPr>
          <w:rFonts w:hint="eastAsia" w:ascii="仿宋_GB2312" w:eastAsia="仿宋_GB2312"/>
          <w:sz w:val="32"/>
          <w:szCs w:val="32"/>
        </w:rPr>
        <w:t>，艰边津贴上调及补发导致本年决算数较上年数增加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226.96</w:t>
      </w:r>
      <w:r>
        <w:rPr>
          <w:rFonts w:hint="eastAsia" w:ascii="仿宋_GB2312" w:eastAsia="仿宋_GB2312"/>
          <w:color w:val="000000" w:themeColor="text1"/>
          <w:sz w:val="32"/>
          <w:szCs w:val="32"/>
        </w:rPr>
        <w:t>万元，项目支出</w:t>
      </w:r>
      <w:r>
        <w:rPr>
          <w:rFonts w:hint="eastAsia" w:ascii="仿宋_GB2312" w:eastAsia="仿宋_GB2312"/>
          <w:sz w:val="32"/>
          <w:szCs w:val="32"/>
        </w:rPr>
        <w:t>74.33</w:t>
      </w:r>
      <w:r>
        <w:rPr>
          <w:rFonts w:hint="eastAsia" w:ascii="仿宋_GB2312" w:eastAsia="仿宋_GB2312"/>
          <w:color w:val="000000" w:themeColor="text1"/>
          <w:sz w:val="32"/>
          <w:szCs w:val="32"/>
        </w:rPr>
        <w:t>万元。</w:t>
      </w:r>
      <w:bookmarkEnd w:id="29"/>
      <w:bookmarkStart w:id="31" w:name="OLE_LINK16"/>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165.36</w:t>
      </w:r>
      <w:r>
        <w:rPr>
          <w:rFonts w:hint="eastAsia" w:ascii="仿宋_GB2312" w:eastAsia="仿宋_GB2312"/>
          <w:color w:val="000000" w:themeColor="text1"/>
          <w:sz w:val="32"/>
          <w:szCs w:val="32"/>
        </w:rPr>
        <w:t>万元，决算数</w:t>
      </w:r>
      <w:r>
        <w:rPr>
          <w:rFonts w:hint="eastAsia" w:ascii="仿宋_GB2312" w:eastAsia="仿宋_GB2312"/>
          <w:sz w:val="32"/>
          <w:szCs w:val="32"/>
        </w:rPr>
        <w:t>301.3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，预决算差异率82.21%，差异主要原因是</w:t>
      </w:r>
      <w:bookmarkEnd w:id="32"/>
      <w:bookmarkStart w:id="33" w:name="OLE_LINK63"/>
      <w:r>
        <w:rPr>
          <w:rFonts w:ascii="仿宋_GB2312" w:eastAsia="仿宋_GB2312"/>
          <w:sz w:val="32"/>
          <w:szCs w:val="32"/>
        </w:rPr>
        <w:t>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165.36</w:t>
      </w:r>
      <w:r>
        <w:rPr>
          <w:rFonts w:hint="eastAsia" w:ascii="仿宋_GB2312" w:eastAsia="仿宋_GB2312"/>
          <w:color w:val="000000" w:themeColor="text1"/>
          <w:sz w:val="32"/>
          <w:szCs w:val="32"/>
        </w:rPr>
        <w:t>万元，决算数</w:t>
      </w:r>
      <w:r>
        <w:rPr>
          <w:rFonts w:hint="eastAsia" w:ascii="仿宋_GB2312" w:eastAsia="仿宋_GB2312"/>
          <w:sz w:val="32"/>
          <w:szCs w:val="32"/>
        </w:rPr>
        <w:t>301.3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，预决算差异率82.21%，差异主要原因是</w:t>
      </w:r>
      <w:bookmarkEnd w:id="33"/>
      <w:r>
        <w:rPr>
          <w:rFonts w:ascii="仿宋_GB2312" w:eastAsia="仿宋_GB2312"/>
          <w:sz w:val="32"/>
          <w:szCs w:val="32"/>
        </w:rPr>
        <w:t>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，与上年相比，增加10.48万元，增长3.6%，增加的主要原因是：</w:t>
      </w:r>
      <w:r>
        <w:rPr>
          <w:rFonts w:hint="eastAsia" w:ascii="仿宋_GB2312" w:eastAsia="仿宋_GB2312"/>
          <w:sz w:val="32"/>
          <w:szCs w:val="32"/>
        </w:rPr>
        <w:t>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工龄工资调增及补</w:t>
      </w:r>
      <w:r>
        <w:rPr>
          <w:rFonts w:hint="eastAsia" w:ascii="仿宋_GB2312" w:eastAsia="仿宋_GB2312"/>
          <w:sz w:val="32"/>
          <w:szCs w:val="32"/>
          <w:lang w:val="en-US" w:eastAsia="zh-CN"/>
        </w:rPr>
        <w:t>发</w:t>
      </w:r>
      <w:r>
        <w:rPr>
          <w:rFonts w:hint="eastAsia" w:ascii="仿宋_GB2312" w:eastAsia="仿宋_GB2312"/>
          <w:sz w:val="32"/>
          <w:szCs w:val="32"/>
        </w:rPr>
        <w:t>，艰边津贴上调及补发导致本年决算数较上年数增加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301.3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，与上年相比，增加10.48万元，增长3.6%，增加的主要原因是：政策性调资</w:t>
      </w:r>
      <w:r>
        <w:rPr>
          <w:rFonts w:hint="eastAsia" w:ascii="仿宋_GB2312" w:eastAsia="仿宋_GB2312"/>
          <w:sz w:val="32"/>
          <w:szCs w:val="32"/>
          <w:lang w:eastAsia="zh-CN"/>
        </w:rPr>
        <w:t>，</w:t>
      </w:r>
      <w:r>
        <w:rPr>
          <w:rFonts w:hint="eastAsia" w:ascii="仿宋_GB2312" w:eastAsia="仿宋_GB2312"/>
          <w:sz w:val="32"/>
          <w:szCs w:val="32"/>
        </w:rPr>
        <w:t>基本工资增加，高海拔</w:t>
      </w:r>
      <w:r>
        <w:rPr>
          <w:rFonts w:hint="eastAsia" w:ascii="仿宋_GB2312" w:eastAsia="仿宋_GB2312"/>
          <w:sz w:val="32"/>
          <w:szCs w:val="32"/>
          <w:lang w:val="en-US" w:eastAsia="zh-CN"/>
        </w:rPr>
        <w:t>地区</w:t>
      </w:r>
      <w:r>
        <w:rPr>
          <w:rFonts w:hint="eastAsia" w:ascii="仿宋_GB2312" w:eastAsia="仿宋_GB2312"/>
          <w:sz w:val="32"/>
          <w:szCs w:val="32"/>
        </w:rPr>
        <w:t>工龄工资调增及补</w:t>
      </w:r>
      <w:r>
        <w:rPr>
          <w:rFonts w:hint="eastAsia" w:ascii="仿宋_GB2312" w:eastAsia="仿宋_GB2312"/>
          <w:sz w:val="32"/>
          <w:szCs w:val="32"/>
          <w:lang w:val="en-US" w:eastAsia="zh-CN"/>
        </w:rPr>
        <w:t>发</w:t>
      </w:r>
      <w:r>
        <w:rPr>
          <w:rFonts w:hint="eastAsia" w:ascii="仿宋_GB2312" w:eastAsia="仿宋_GB2312"/>
          <w:sz w:val="32"/>
          <w:szCs w:val="32"/>
        </w:rPr>
        <w:t>，艰边津贴上调及补发导致本年决算数较上年数增加。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住房保障支出7.45万元,一般公共服务支出282.88万元,社会保障和就业支出10.97万元。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工资福利支出187.02万元,商品和服务支出61.2万元,对个人和家庭的补助53.08万元。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165.36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，预决算差异率82.21%，差异主要原因是</w:t>
      </w:r>
      <w:r>
        <w:rPr>
          <w:rFonts w:ascii="仿宋_GB2312" w:eastAsia="仿宋_GB2312"/>
          <w:sz w:val="32"/>
          <w:szCs w:val="32"/>
        </w:rPr>
        <w:t>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r>
        <w:rPr>
          <w:rFonts w:ascii="仿宋_GB2312" w:eastAsia="仿宋_GB2312"/>
          <w:color w:val="000000" w:themeColor="text1"/>
          <w:sz w:val="32"/>
          <w:szCs w:val="32"/>
        </w:rPr>
        <w:t>，以上原因导致决算数较预算数增加。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165.36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，预决算差异率82.21%，差异主要原因是</w:t>
      </w:r>
      <w:r>
        <w:rPr>
          <w:rFonts w:ascii="仿宋_GB2312" w:eastAsia="仿宋_GB2312"/>
          <w:sz w:val="32"/>
          <w:szCs w:val="32"/>
        </w:rPr>
        <w:t>一是政策性调资</w:t>
      </w:r>
      <w:r>
        <w:rPr>
          <w:rFonts w:hint="eastAsia" w:ascii="仿宋_GB2312" w:eastAsia="仿宋_GB2312"/>
          <w:sz w:val="32"/>
          <w:szCs w:val="32"/>
          <w:lang w:eastAsia="zh-CN"/>
        </w:rPr>
        <w:t>，</w:t>
      </w:r>
      <w:r>
        <w:rPr>
          <w:rFonts w:ascii="仿宋_GB2312" w:eastAsia="仿宋_GB2312"/>
          <w:sz w:val="32"/>
          <w:szCs w:val="32"/>
        </w:rPr>
        <w:t>基本工资增加，高海拔</w:t>
      </w:r>
      <w:r>
        <w:rPr>
          <w:rFonts w:hint="eastAsia" w:ascii="仿宋_GB2312" w:eastAsia="仿宋_GB2312"/>
          <w:sz w:val="32"/>
          <w:szCs w:val="32"/>
          <w:lang w:val="en-US" w:eastAsia="zh-CN"/>
        </w:rPr>
        <w:t>地区</w:t>
      </w:r>
      <w:r>
        <w:rPr>
          <w:rFonts w:ascii="仿宋_GB2312" w:eastAsia="仿宋_GB2312"/>
          <w:sz w:val="32"/>
          <w:szCs w:val="32"/>
        </w:rPr>
        <w:t>工龄工资调增及补</w:t>
      </w:r>
      <w:r>
        <w:rPr>
          <w:rFonts w:hint="eastAsia" w:ascii="仿宋_GB2312" w:eastAsia="仿宋_GB2312"/>
          <w:sz w:val="32"/>
          <w:szCs w:val="32"/>
          <w:lang w:val="en-US" w:eastAsia="zh-CN"/>
        </w:rPr>
        <w:t>发</w:t>
      </w:r>
      <w:r>
        <w:rPr>
          <w:rFonts w:ascii="仿宋_GB2312" w:eastAsia="仿宋_GB2312"/>
          <w:sz w:val="32"/>
          <w:szCs w:val="32"/>
        </w:rPr>
        <w:t>，艰边津贴上调及补发；二是培训费，办公费等日常公用经费增加；三是上级补助专项资金增加，以上原因导致决算数较预算数增加</w:t>
      </w:r>
      <w:r>
        <w:rPr>
          <w:rFonts w:ascii="仿宋_GB2312" w:eastAsia="仿宋_GB2312"/>
          <w:color w:val="000000" w:themeColor="text1"/>
          <w:sz w:val="32"/>
          <w:szCs w:val="32"/>
        </w:rPr>
        <w:t>，以上原因导致决算数较预算数增加。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52" w:name="OLE_LINK80"/>
      <w:bookmarkStart w:id="53"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新疆喀什地区塔什库尔干县委统战部</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5"/>
      <w:bookmarkStart w:id="56" w:name="OLE_LINK34"/>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本单位2018年无因公出国（境）支出。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0"/>
      <w:bookmarkStart w:id="63"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本单位2018年无公务用车购置及运行维护费</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本单位2018年无公务接待费支出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新疆喀什地区塔什库尔干县委统战部</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，预决算差异率-100%，差异主要原因是</w:t>
      </w:r>
      <w:r>
        <w:rPr>
          <w:rFonts w:hint="eastAsia" w:ascii="仿宋_GB2312" w:eastAsia="仿宋_GB2312"/>
          <w:color w:val="000000" w:themeColor="text1"/>
          <w:sz w:val="32"/>
          <w:szCs w:val="32"/>
          <w:lang w:eastAsia="zh-CN"/>
        </w:rPr>
        <w:t>本单位</w:t>
      </w:r>
      <w:r>
        <w:rPr>
          <w:rFonts w:hint="eastAsia" w:ascii="仿宋_GB2312" w:eastAsia="仿宋_GB2312"/>
          <w:color w:val="000000" w:themeColor="text1"/>
          <w:sz w:val="32"/>
          <w:szCs w:val="32"/>
          <w:lang w:val="en-US" w:eastAsia="zh-CN"/>
        </w:rPr>
        <w:t>2018年</w:t>
      </w:r>
      <w:r>
        <w:rPr>
          <w:rFonts w:hint="eastAsia" w:ascii="仿宋_GB2312" w:eastAsia="仿宋_GB2312"/>
          <w:color w:val="000000" w:themeColor="text1"/>
          <w:sz w:val="32"/>
          <w:szCs w:val="32"/>
          <w:lang w:eastAsia="zh-CN"/>
        </w:rPr>
        <w:t>实际未发生</w:t>
      </w:r>
      <w:r>
        <w:rPr>
          <w:rFonts w:hint="eastAsia" w:ascii="仿宋_GB2312" w:eastAsia="仿宋_GB2312"/>
          <w:color w:val="000000" w:themeColor="text1"/>
          <w:sz w:val="32"/>
          <w:szCs w:val="32"/>
        </w:rPr>
        <w:t>“三公”经费支出</w:t>
      </w:r>
      <w:r>
        <w:rPr>
          <w:rFonts w:ascii="仿宋_GB2312" w:eastAsia="仿宋_GB2312"/>
          <w:color w:val="000000" w:themeColor="text1"/>
          <w:sz w:val="32"/>
          <w:szCs w:val="32"/>
        </w:rPr>
        <w:t>。</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68"/>
      <w:bookmarkEnd w:id="69"/>
      <w:bookmarkStart w:id="70" w:name="OLE_LINK88"/>
      <w:bookmarkStart w:id="71"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w:t>
      </w:r>
      <w:r>
        <w:rPr>
          <w:rFonts w:hint="eastAsia" w:ascii="仿宋_GB2312" w:eastAsia="仿宋_GB2312"/>
          <w:color w:val="000000" w:themeColor="text1"/>
          <w:sz w:val="32"/>
          <w:szCs w:val="32"/>
          <w:lang w:eastAsia="zh-CN"/>
        </w:rPr>
        <w:t>本单位</w:t>
      </w:r>
      <w:r>
        <w:rPr>
          <w:rFonts w:hint="eastAsia" w:ascii="仿宋_GB2312" w:eastAsia="仿宋_GB2312"/>
          <w:color w:val="000000" w:themeColor="text1"/>
          <w:sz w:val="32"/>
          <w:szCs w:val="32"/>
          <w:lang w:val="en-US" w:eastAsia="zh-CN"/>
        </w:rPr>
        <w:t>2018年</w:t>
      </w:r>
      <w:r>
        <w:rPr>
          <w:rFonts w:hint="eastAsia" w:ascii="仿宋_GB2312" w:eastAsia="仿宋_GB2312"/>
          <w:color w:val="000000" w:themeColor="text1"/>
          <w:sz w:val="32"/>
          <w:szCs w:val="32"/>
          <w:lang w:eastAsia="zh-CN"/>
        </w:rPr>
        <w:t>实际未发生</w:t>
      </w:r>
      <w:r>
        <w:rPr>
          <w:rFonts w:hint="eastAsia" w:ascii="仿宋_GB2312" w:hAnsi="宋体" w:eastAsia="仿宋_GB2312" w:cs="宋体"/>
          <w:color w:val="000000" w:themeColor="text1"/>
          <w:kern w:val="0"/>
          <w:sz w:val="32"/>
          <w:szCs w:val="32"/>
        </w:rPr>
        <w:t>公务用车运行费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2018年度新疆喀什地区塔什库尔干县委统战部机关运行经费支出38.86万元，与上年相比，增加31.01万元，增长395.03%，增加的主要原因是：办公费，差旅费及培训费增加。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8.89</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2.89</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度本部门实行绩效管理的项目2个，涉及预算数74.34万元，决算数74.34万元，执行率100%。1、宗教人士生活补助经费项目；2、管委会工作及人员经费项目。本单位2018年严格执行预算绩效管理工作要求，成立绩效管理领导小组，对项目严格进行事前、事中、事后全过程监控，按时申报项目绩效目标表、监控表、自评表，自评报告，总结经验，发现不足，及时进行整改，确保各项目按照年初既定的目标如期完成。</w:t>
      </w:r>
    </w:p>
    <w:p>
      <w:pPr>
        <w:spacing w:line="540" w:lineRule="exact"/>
        <w:ind w:left="-1" w:right="-1" w:firstLine="646"/>
        <w:jc w:val="left"/>
      </w:pPr>
      <w:r>
        <w:rPr>
          <w:rFonts w:ascii="仿宋_GB2312" w:hAnsi="仿宋_GB2312" w:eastAsia="仿宋_GB2312" w:cs="仿宋_GB2312"/>
          <w:b w:val="0"/>
          <w:color w:val="000000"/>
          <w:sz w:val="32"/>
          <w:u w:val="none"/>
        </w:rPr>
        <w:t>1、管委会工作及人员经费项目绩效自评综述：根据年初设定的绩效目标，该项目绩效自评得分为90分。项目全年预算数为7.35万元，执行数为7.35万元，完成预算的100%。主要产出和效果：确保委员会人员经费按时发放，提升大家工作热情。发现的问题及原因：无。下一步改进措施：无。</w:t>
      </w:r>
    </w:p>
    <w:p>
      <w:pPr>
        <w:spacing w:line="540" w:lineRule="exact"/>
        <w:ind w:left="-1" w:right="-1" w:firstLine="646"/>
        <w:jc w:val="left"/>
      </w:pPr>
      <w:r>
        <w:rPr>
          <w:rFonts w:ascii="仿宋_GB2312" w:hAnsi="仿宋_GB2312" w:eastAsia="仿宋_GB2312" w:cs="仿宋_GB2312"/>
          <w:b w:val="0"/>
          <w:color w:val="000000"/>
          <w:sz w:val="32"/>
          <w:u w:val="none"/>
        </w:rPr>
        <w:t>2、宗教人士生活补助经费项目绩效自评综述：根据年初设定的绩效目标，该项目绩效自评得分为90分。项目全年预算数为66.99万元，执行数为66.99万元，完成预算的100%。主要产出和效果：</w:t>
      </w:r>
      <w:r>
        <w:rPr>
          <w:rFonts w:hint="eastAsia" w:ascii="仿宋_GB2312" w:hAnsi="仿宋_GB2312" w:eastAsia="仿宋_GB2312" w:cs="仿宋_GB2312"/>
          <w:b w:val="0"/>
          <w:color w:val="000000"/>
          <w:sz w:val="32"/>
          <w:u w:val="none"/>
          <w:lang w:val="en-US" w:eastAsia="zh-CN"/>
        </w:rPr>
        <w:t>不断提升</w:t>
      </w:r>
      <w:r>
        <w:rPr>
          <w:rFonts w:ascii="仿宋_GB2312" w:hAnsi="仿宋_GB2312" w:eastAsia="仿宋_GB2312" w:cs="仿宋_GB2312"/>
          <w:b w:val="0"/>
          <w:color w:val="000000"/>
          <w:sz w:val="32"/>
          <w:u w:val="none"/>
        </w:rPr>
        <w:t>宗教人士生活</w:t>
      </w:r>
      <w:r>
        <w:rPr>
          <w:rFonts w:hint="eastAsia" w:ascii="仿宋_GB2312" w:hAnsi="仿宋_GB2312" w:eastAsia="仿宋_GB2312" w:cs="仿宋_GB2312"/>
          <w:b w:val="0"/>
          <w:color w:val="000000"/>
          <w:sz w:val="32"/>
          <w:u w:val="none"/>
          <w:lang w:val="en-US" w:eastAsia="zh-CN"/>
        </w:rPr>
        <w:t>质量</w:t>
      </w:r>
      <w:r>
        <w:rPr>
          <w:rFonts w:ascii="仿宋_GB2312" w:hAnsi="仿宋_GB2312" w:eastAsia="仿宋_GB2312" w:cs="仿宋_GB2312"/>
          <w:b w:val="0"/>
          <w:color w:val="000000"/>
          <w:sz w:val="32"/>
          <w:u w:val="none"/>
        </w:rPr>
        <w:t>，帮助宗教人士解决实际困难，充分调动他们服务社会，促进和谐社会的积极性。发现的问题及原因：无。下一步改进措施：无。</w:t>
      </w:r>
      <w:bookmarkStart w:id="79" w:name="_GoBack"/>
      <w:bookmarkEnd w:id="79"/>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34（款）99（项）指：其他统战事务支出。201（类）24（款）99（项）指：其他宗教事务支出。201（类）34（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74A7F"/>
    <w:rsid w:val="028847F9"/>
    <w:rsid w:val="03AA79F6"/>
    <w:rsid w:val="04741FE5"/>
    <w:rsid w:val="04860573"/>
    <w:rsid w:val="04DB02C7"/>
    <w:rsid w:val="06B856EE"/>
    <w:rsid w:val="07FE5938"/>
    <w:rsid w:val="084604BC"/>
    <w:rsid w:val="08883825"/>
    <w:rsid w:val="09725983"/>
    <w:rsid w:val="0A382BB5"/>
    <w:rsid w:val="0AA4543A"/>
    <w:rsid w:val="0BE61132"/>
    <w:rsid w:val="0C726F94"/>
    <w:rsid w:val="0C9B0DD6"/>
    <w:rsid w:val="0CE4791C"/>
    <w:rsid w:val="0DF53366"/>
    <w:rsid w:val="0E063C64"/>
    <w:rsid w:val="0F2D213E"/>
    <w:rsid w:val="0F4C7B96"/>
    <w:rsid w:val="0FFB575E"/>
    <w:rsid w:val="100A4654"/>
    <w:rsid w:val="10845F1B"/>
    <w:rsid w:val="11463A00"/>
    <w:rsid w:val="11600918"/>
    <w:rsid w:val="11B0398F"/>
    <w:rsid w:val="121E7CE6"/>
    <w:rsid w:val="123D6187"/>
    <w:rsid w:val="13AF199D"/>
    <w:rsid w:val="13B960C5"/>
    <w:rsid w:val="14694B09"/>
    <w:rsid w:val="152777F4"/>
    <w:rsid w:val="15C674B6"/>
    <w:rsid w:val="15DC7C13"/>
    <w:rsid w:val="160A5485"/>
    <w:rsid w:val="189A6D0F"/>
    <w:rsid w:val="18D54A0D"/>
    <w:rsid w:val="1A2C1673"/>
    <w:rsid w:val="1A4106A0"/>
    <w:rsid w:val="1A4F5437"/>
    <w:rsid w:val="1AB77CD0"/>
    <w:rsid w:val="1B4B4785"/>
    <w:rsid w:val="1B7B6CBD"/>
    <w:rsid w:val="1E807156"/>
    <w:rsid w:val="1EA657F6"/>
    <w:rsid w:val="1F097CB6"/>
    <w:rsid w:val="20E374C8"/>
    <w:rsid w:val="2166156B"/>
    <w:rsid w:val="21B02D83"/>
    <w:rsid w:val="22A236F5"/>
    <w:rsid w:val="23995975"/>
    <w:rsid w:val="2432220E"/>
    <w:rsid w:val="248303BA"/>
    <w:rsid w:val="24837E47"/>
    <w:rsid w:val="24CF075A"/>
    <w:rsid w:val="252E01AA"/>
    <w:rsid w:val="26715B59"/>
    <w:rsid w:val="2680023E"/>
    <w:rsid w:val="28BA0C7A"/>
    <w:rsid w:val="28F45926"/>
    <w:rsid w:val="29680352"/>
    <w:rsid w:val="2A020F75"/>
    <w:rsid w:val="2B007AEE"/>
    <w:rsid w:val="2B87046F"/>
    <w:rsid w:val="2BC14C56"/>
    <w:rsid w:val="2C1B026F"/>
    <w:rsid w:val="2CC61F55"/>
    <w:rsid w:val="2D946563"/>
    <w:rsid w:val="2DC977E4"/>
    <w:rsid w:val="2EF7452F"/>
    <w:rsid w:val="2F1D13B4"/>
    <w:rsid w:val="2FAA3DA6"/>
    <w:rsid w:val="30682E1F"/>
    <w:rsid w:val="30E210D2"/>
    <w:rsid w:val="311371D6"/>
    <w:rsid w:val="31EB64C9"/>
    <w:rsid w:val="3236493A"/>
    <w:rsid w:val="32D839DE"/>
    <w:rsid w:val="336D0D6F"/>
    <w:rsid w:val="352E4BEC"/>
    <w:rsid w:val="35713C32"/>
    <w:rsid w:val="37DD5594"/>
    <w:rsid w:val="38F24FA8"/>
    <w:rsid w:val="3A98342A"/>
    <w:rsid w:val="3AB6780E"/>
    <w:rsid w:val="3AD56D70"/>
    <w:rsid w:val="3B2920C2"/>
    <w:rsid w:val="3BE41ABD"/>
    <w:rsid w:val="3C5421A9"/>
    <w:rsid w:val="3CEA5832"/>
    <w:rsid w:val="3D903B21"/>
    <w:rsid w:val="3F440741"/>
    <w:rsid w:val="3FCF0AD5"/>
    <w:rsid w:val="41961AC0"/>
    <w:rsid w:val="41FC306C"/>
    <w:rsid w:val="44BE5554"/>
    <w:rsid w:val="44E61896"/>
    <w:rsid w:val="451E0908"/>
    <w:rsid w:val="451E20EA"/>
    <w:rsid w:val="452C2D31"/>
    <w:rsid w:val="45D26E14"/>
    <w:rsid w:val="46A541B1"/>
    <w:rsid w:val="479538A1"/>
    <w:rsid w:val="48C57772"/>
    <w:rsid w:val="494A4C31"/>
    <w:rsid w:val="49782886"/>
    <w:rsid w:val="49E31FD9"/>
    <w:rsid w:val="4A6F0D28"/>
    <w:rsid w:val="4AAF085C"/>
    <w:rsid w:val="4AEB7E60"/>
    <w:rsid w:val="4B4B135B"/>
    <w:rsid w:val="4B75789F"/>
    <w:rsid w:val="4B9A1426"/>
    <w:rsid w:val="4BC7055F"/>
    <w:rsid w:val="4C7F58D1"/>
    <w:rsid w:val="4CFC7DB2"/>
    <w:rsid w:val="4E7C187D"/>
    <w:rsid w:val="508941AD"/>
    <w:rsid w:val="50E65530"/>
    <w:rsid w:val="51457139"/>
    <w:rsid w:val="51574DBD"/>
    <w:rsid w:val="51EC1DA8"/>
    <w:rsid w:val="529527C2"/>
    <w:rsid w:val="52FC5524"/>
    <w:rsid w:val="532D7A17"/>
    <w:rsid w:val="5342768B"/>
    <w:rsid w:val="54213352"/>
    <w:rsid w:val="54AF4562"/>
    <w:rsid w:val="54C9674B"/>
    <w:rsid w:val="556318EA"/>
    <w:rsid w:val="55A60AA1"/>
    <w:rsid w:val="56451615"/>
    <w:rsid w:val="57923712"/>
    <w:rsid w:val="579E7042"/>
    <w:rsid w:val="57FC5774"/>
    <w:rsid w:val="58605BE1"/>
    <w:rsid w:val="595522BB"/>
    <w:rsid w:val="59B332C9"/>
    <w:rsid w:val="5A44758A"/>
    <w:rsid w:val="5B533611"/>
    <w:rsid w:val="5BEC4BB3"/>
    <w:rsid w:val="5C070B55"/>
    <w:rsid w:val="5CB96DCE"/>
    <w:rsid w:val="5CE61580"/>
    <w:rsid w:val="5D175666"/>
    <w:rsid w:val="5D556A3C"/>
    <w:rsid w:val="5D7B25C9"/>
    <w:rsid w:val="5DF80E7C"/>
    <w:rsid w:val="5E2E03BC"/>
    <w:rsid w:val="5ECB44B4"/>
    <w:rsid w:val="5EE2043C"/>
    <w:rsid w:val="602D2E37"/>
    <w:rsid w:val="61460FBE"/>
    <w:rsid w:val="62775810"/>
    <w:rsid w:val="62D83744"/>
    <w:rsid w:val="630F4048"/>
    <w:rsid w:val="63AA02E5"/>
    <w:rsid w:val="64700DE9"/>
    <w:rsid w:val="64A92604"/>
    <w:rsid w:val="65C613BD"/>
    <w:rsid w:val="65FD118C"/>
    <w:rsid w:val="682C3D89"/>
    <w:rsid w:val="68611305"/>
    <w:rsid w:val="6A162DE0"/>
    <w:rsid w:val="6A331428"/>
    <w:rsid w:val="6B2E5CB6"/>
    <w:rsid w:val="6B3D4886"/>
    <w:rsid w:val="6DF8675E"/>
    <w:rsid w:val="6EA80098"/>
    <w:rsid w:val="6F8D70FF"/>
    <w:rsid w:val="6FFE5011"/>
    <w:rsid w:val="70121CCA"/>
    <w:rsid w:val="7178734D"/>
    <w:rsid w:val="71791096"/>
    <w:rsid w:val="717B0C34"/>
    <w:rsid w:val="71FB78FD"/>
    <w:rsid w:val="7275064A"/>
    <w:rsid w:val="733F750B"/>
    <w:rsid w:val="735702E2"/>
    <w:rsid w:val="765F635A"/>
    <w:rsid w:val="76B73454"/>
    <w:rsid w:val="76D254BD"/>
    <w:rsid w:val="77727ACD"/>
    <w:rsid w:val="778B4331"/>
    <w:rsid w:val="77FA4657"/>
    <w:rsid w:val="78071142"/>
    <w:rsid w:val="79296B37"/>
    <w:rsid w:val="7A4C4C40"/>
    <w:rsid w:val="7AA0518E"/>
    <w:rsid w:val="7B041636"/>
    <w:rsid w:val="7B320D03"/>
    <w:rsid w:val="7B667F54"/>
    <w:rsid w:val="7CA86749"/>
    <w:rsid w:val="7E7F4F92"/>
    <w:rsid w:val="7EC92370"/>
    <w:rsid w:val="7F2238BD"/>
    <w:rsid w:val="7FA13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2020-04-05T03:25:02Z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