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9461E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中共塔什库尔干塔吉克自治县委员会网络安全和信息化委员会办公室</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ABF6A20">
      <w:r>
        <w:br w:type="page"/>
      </w:r>
    </w:p>
    <w:p w14:paraId="297F0AD0">
      <w:pPr>
        <w:spacing w:line="640" w:lineRule="exact"/>
        <w:jc w:val="center"/>
        <w:outlineLvl w:val="1"/>
      </w:pPr>
      <w:r>
        <w:rPr>
          <w:rFonts w:ascii="黑体" w:hAnsi="黑体" w:eastAsia="黑体"/>
          <w:sz w:val="32"/>
        </w:rPr>
        <w:t>第一部分 单位概况</w:t>
      </w:r>
    </w:p>
    <w:p w14:paraId="3A07061B">
      <w:pPr>
        <w:spacing w:line="640" w:lineRule="exact"/>
        <w:ind w:firstLine="640"/>
        <w:jc w:val="both"/>
        <w:outlineLvl w:val="2"/>
      </w:pPr>
      <w:r>
        <w:rPr>
          <w:rFonts w:ascii="黑体" w:hAnsi="黑体" w:eastAsia="黑体"/>
          <w:sz w:val="32"/>
        </w:rPr>
        <w:t>一、主要职能</w:t>
      </w:r>
    </w:p>
    <w:p w14:paraId="19591CD5">
      <w:pPr>
        <w:spacing w:line="580" w:lineRule="exact"/>
        <w:ind w:firstLine="640"/>
        <w:jc w:val="both"/>
      </w:pPr>
      <w:r>
        <w:rPr>
          <w:rFonts w:ascii="仿宋_GB2312" w:hAnsi="仿宋_GB2312" w:eastAsia="仿宋_GB2312"/>
          <w:sz w:val="32"/>
        </w:rPr>
        <w:t>本单位主要职能SM不予公开。</w:t>
      </w:r>
    </w:p>
    <w:p w14:paraId="1D231C94">
      <w:pPr>
        <w:spacing w:line="640" w:lineRule="exact"/>
        <w:ind w:firstLine="640"/>
        <w:jc w:val="both"/>
        <w:outlineLvl w:val="2"/>
      </w:pPr>
      <w:r>
        <w:rPr>
          <w:rFonts w:ascii="黑体" w:hAnsi="黑体" w:eastAsia="黑体"/>
          <w:sz w:val="32"/>
        </w:rPr>
        <w:t>二、机构设置及人员情况</w:t>
      </w:r>
    </w:p>
    <w:p w14:paraId="0330526B">
      <w:pPr>
        <w:spacing w:line="580" w:lineRule="exact"/>
        <w:ind w:firstLine="640"/>
        <w:jc w:val="both"/>
      </w:pPr>
      <w:r>
        <w:rPr>
          <w:rFonts w:hint="eastAsia" w:ascii="仿宋_GB2312" w:hAnsi="仿宋_GB2312" w:eastAsia="仿宋_GB2312"/>
          <w:sz w:val="32"/>
        </w:rPr>
        <w:t>本单位机构设置及人员情况SM不予公开。</w:t>
      </w:r>
    </w:p>
    <w:p w14:paraId="038A400C">
      <w:r>
        <w:br w:type="page"/>
      </w:r>
    </w:p>
    <w:p w14:paraId="4F8D3797">
      <w:pPr>
        <w:spacing w:line="240" w:lineRule="auto"/>
        <w:jc w:val="center"/>
        <w:outlineLvl w:val="1"/>
      </w:pPr>
      <w:r>
        <w:rPr>
          <w:rFonts w:ascii="黑体" w:hAnsi="黑体" w:eastAsia="黑体"/>
          <w:sz w:val="32"/>
        </w:rPr>
        <w:t>第二部分 部门决算情况说明</w:t>
      </w:r>
    </w:p>
    <w:p w14:paraId="351A87CE">
      <w:pPr>
        <w:spacing w:line="640" w:lineRule="exact"/>
        <w:ind w:firstLine="640"/>
        <w:jc w:val="both"/>
        <w:outlineLvl w:val="2"/>
      </w:pPr>
      <w:r>
        <w:rPr>
          <w:rFonts w:ascii="黑体" w:hAnsi="黑体" w:eastAsia="黑体"/>
          <w:sz w:val="32"/>
        </w:rPr>
        <w:t>一、收入支出决算总体情况说明</w:t>
      </w:r>
    </w:p>
    <w:p w14:paraId="5FB57EF1">
      <w:pPr>
        <w:spacing w:line="580" w:lineRule="exact"/>
        <w:ind w:firstLine="640"/>
        <w:jc w:val="both"/>
      </w:pPr>
      <w:r>
        <w:rPr>
          <w:rFonts w:ascii="仿宋_GB2312" w:hAnsi="仿宋_GB2312" w:eastAsia="仿宋_GB2312"/>
          <w:b/>
          <w:sz w:val="32"/>
        </w:rPr>
        <w:t>2024年度收入总计120.01万元，</w:t>
      </w:r>
      <w:r>
        <w:rPr>
          <w:rFonts w:ascii="仿宋_GB2312" w:hAnsi="仿宋_GB2312" w:eastAsia="仿宋_GB2312"/>
          <w:b w:val="0"/>
          <w:sz w:val="32"/>
        </w:rPr>
        <w:t>其中：本年收入合计120.01万元，使用非财政拨款结余（含专用结余）0.00万元，年初结转和结余0.00万元。</w:t>
      </w:r>
    </w:p>
    <w:p w14:paraId="241C593E">
      <w:pPr>
        <w:spacing w:line="580" w:lineRule="exact"/>
        <w:ind w:firstLine="640"/>
        <w:jc w:val="both"/>
      </w:pPr>
      <w:r>
        <w:rPr>
          <w:rFonts w:ascii="仿宋_GB2312" w:hAnsi="仿宋_GB2312" w:eastAsia="仿宋_GB2312"/>
          <w:b/>
          <w:sz w:val="32"/>
        </w:rPr>
        <w:t>2024年度支出总计120.01万元，</w:t>
      </w:r>
      <w:r>
        <w:rPr>
          <w:rFonts w:ascii="仿宋_GB2312" w:hAnsi="仿宋_GB2312" w:eastAsia="仿宋_GB2312"/>
          <w:b w:val="0"/>
          <w:sz w:val="32"/>
        </w:rPr>
        <w:t>其中：本年支出合计120.01万元，结余分配0.00万元，年末结转和结余0.00万元。</w:t>
      </w:r>
    </w:p>
    <w:p w14:paraId="67292C02">
      <w:pPr>
        <w:spacing w:line="580" w:lineRule="exact"/>
        <w:ind w:firstLine="640"/>
        <w:jc w:val="both"/>
      </w:pPr>
      <w:r>
        <w:rPr>
          <w:rFonts w:ascii="仿宋_GB2312" w:hAnsi="仿宋_GB2312" w:eastAsia="仿宋_GB2312"/>
          <w:b w:val="0"/>
          <w:sz w:val="32"/>
        </w:rPr>
        <w:t>收入支出总体与上年相比，减少1.87万元，下降1.53%，主要原因是：本年在职人员调入调出，人员职级不同，工资基数不同，导致人员经费较上年减少。</w:t>
      </w:r>
    </w:p>
    <w:p w14:paraId="78827151">
      <w:pPr>
        <w:spacing w:line="640" w:lineRule="exact"/>
        <w:ind w:firstLine="640"/>
        <w:jc w:val="both"/>
        <w:outlineLvl w:val="2"/>
      </w:pPr>
      <w:r>
        <w:rPr>
          <w:rFonts w:ascii="黑体" w:hAnsi="黑体" w:eastAsia="黑体"/>
          <w:sz w:val="32"/>
        </w:rPr>
        <w:t>二、收入决算情况说明</w:t>
      </w:r>
    </w:p>
    <w:p w14:paraId="1AC82115">
      <w:pPr>
        <w:spacing w:line="580" w:lineRule="exact"/>
        <w:ind w:firstLine="640"/>
        <w:jc w:val="both"/>
      </w:pPr>
      <w:r>
        <w:rPr>
          <w:rFonts w:ascii="仿宋_GB2312" w:hAnsi="仿宋_GB2312" w:eastAsia="仿宋_GB2312"/>
          <w:b/>
          <w:sz w:val="32"/>
        </w:rPr>
        <w:t>本年收入120.01万元，</w:t>
      </w:r>
      <w:r>
        <w:rPr>
          <w:rFonts w:ascii="仿宋_GB2312" w:hAnsi="仿宋_GB2312" w:eastAsia="仿宋_GB2312"/>
          <w:b w:val="0"/>
          <w:sz w:val="32"/>
        </w:rPr>
        <w:t>其中：财政拨款收入120.01万元，占100.00%；上级补助收入0.00万元，占0.00%；事业收入0.00万元，占0.00%；经营收入0.00万元，占0.00%；附属单位上缴收入0.00万元，占0.00%；其他收入0.00万元，占0.00%。</w:t>
      </w:r>
    </w:p>
    <w:p w14:paraId="1BED235C">
      <w:pPr>
        <w:spacing w:line="640" w:lineRule="exact"/>
        <w:ind w:firstLine="640"/>
        <w:jc w:val="both"/>
        <w:outlineLvl w:val="2"/>
      </w:pPr>
      <w:r>
        <w:rPr>
          <w:rFonts w:ascii="黑体" w:hAnsi="黑体" w:eastAsia="黑体"/>
          <w:sz w:val="32"/>
        </w:rPr>
        <w:t>三、支出决算情况说明</w:t>
      </w:r>
    </w:p>
    <w:p w14:paraId="5C47EFEB">
      <w:pPr>
        <w:spacing w:line="580" w:lineRule="exact"/>
        <w:ind w:firstLine="640"/>
        <w:jc w:val="both"/>
      </w:pPr>
      <w:r>
        <w:rPr>
          <w:rFonts w:ascii="仿宋_GB2312" w:hAnsi="仿宋_GB2312" w:eastAsia="仿宋_GB2312"/>
          <w:b/>
          <w:sz w:val="32"/>
        </w:rPr>
        <w:t>本年支出120.01万元，</w:t>
      </w:r>
      <w:r>
        <w:rPr>
          <w:rFonts w:ascii="仿宋_GB2312" w:hAnsi="仿宋_GB2312" w:eastAsia="仿宋_GB2312"/>
          <w:b w:val="0"/>
          <w:sz w:val="32"/>
        </w:rPr>
        <w:t>其中：基本支出113.01万元，占94.17%；项目支出7.00万元，占5.83%；上缴上级支出0.00万元，占0.00%；经营支出0.00万元，占0.00%；对附属单位补助支出0.00万元，占0.00%。</w:t>
      </w:r>
    </w:p>
    <w:p w14:paraId="676380F9">
      <w:pPr>
        <w:spacing w:line="640" w:lineRule="exact"/>
        <w:ind w:firstLine="640"/>
        <w:jc w:val="both"/>
        <w:outlineLvl w:val="2"/>
      </w:pPr>
      <w:r>
        <w:rPr>
          <w:rFonts w:ascii="黑体" w:hAnsi="黑体" w:eastAsia="黑体"/>
          <w:sz w:val="32"/>
        </w:rPr>
        <w:t>四、财政拨款收入支出决算总体情况说明</w:t>
      </w:r>
    </w:p>
    <w:p w14:paraId="7128C133">
      <w:pPr>
        <w:spacing w:line="580" w:lineRule="exact"/>
        <w:ind w:firstLine="640"/>
        <w:jc w:val="both"/>
      </w:pPr>
      <w:r>
        <w:rPr>
          <w:rFonts w:ascii="仿宋_GB2312" w:hAnsi="仿宋_GB2312" w:eastAsia="仿宋_GB2312"/>
          <w:b/>
          <w:sz w:val="32"/>
        </w:rPr>
        <w:t>2024年度财政拨款收入总计120.01万元，</w:t>
      </w:r>
      <w:r>
        <w:rPr>
          <w:rFonts w:ascii="仿宋_GB2312" w:hAnsi="仿宋_GB2312" w:eastAsia="仿宋_GB2312"/>
          <w:b w:val="0"/>
          <w:sz w:val="32"/>
        </w:rPr>
        <w:t>其中：年初财政拨款结转和结余0.00万元，本年财政拨款收入120.01万元。</w:t>
      </w:r>
      <w:r>
        <w:rPr>
          <w:rFonts w:ascii="仿宋_GB2312" w:hAnsi="仿宋_GB2312" w:eastAsia="仿宋_GB2312"/>
          <w:b/>
          <w:sz w:val="32"/>
        </w:rPr>
        <w:t>财政拨款支出总计120.01万元，</w:t>
      </w:r>
      <w:r>
        <w:rPr>
          <w:rFonts w:ascii="仿宋_GB2312" w:hAnsi="仿宋_GB2312" w:eastAsia="仿宋_GB2312"/>
          <w:b w:val="0"/>
          <w:sz w:val="32"/>
        </w:rPr>
        <w:t>其中：年末财政拨款结转和结余0.00万元，本年财政拨款支出120.01万元。</w:t>
      </w:r>
    </w:p>
    <w:p w14:paraId="3223C4D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减少1.87万元，下降1.53%，主要原因是：本年在职人员调入调出，人员职级不同，工资基数不同，导致人员经费较上年减少。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年初预算数116.69万元，决算数120.01万元，预决算差异率2.85%，主要原因是：年中追加2024年为民办实事工作经费，导致预决算存在差异。</w:t>
      </w:r>
    </w:p>
    <w:p w14:paraId="2DA43A7C">
      <w:pPr>
        <w:spacing w:line="640" w:lineRule="exact"/>
        <w:ind w:firstLine="640"/>
        <w:jc w:val="both"/>
        <w:outlineLvl w:val="2"/>
      </w:pPr>
      <w:r>
        <w:rPr>
          <w:rFonts w:ascii="黑体" w:hAnsi="黑体" w:eastAsia="黑体"/>
          <w:sz w:val="32"/>
        </w:rPr>
        <w:t>五、一般公共预算财政拨款支出决算情况说明</w:t>
      </w:r>
    </w:p>
    <w:p w14:paraId="615CFF84">
      <w:pPr>
        <w:spacing w:line="640" w:lineRule="exact"/>
        <w:ind w:firstLine="640"/>
        <w:jc w:val="both"/>
        <w:outlineLvl w:val="3"/>
      </w:pPr>
      <w:r>
        <w:rPr>
          <w:rFonts w:ascii="楷体_GB2312" w:hAnsi="楷体_GB2312" w:eastAsia="楷体_GB2312"/>
          <w:b/>
          <w:sz w:val="32"/>
        </w:rPr>
        <w:t>（一）一般公共预算财政拨款支出决算总体情况</w:t>
      </w:r>
    </w:p>
    <w:p w14:paraId="296BF872">
      <w:pPr>
        <w:spacing w:line="580" w:lineRule="exact"/>
        <w:ind w:firstLine="640"/>
        <w:jc w:val="both"/>
      </w:pPr>
      <w:r>
        <w:rPr>
          <w:rFonts w:ascii="仿宋_GB2312" w:hAnsi="仿宋_GB2312" w:eastAsia="仿宋_GB2312"/>
          <w:b/>
          <w:sz w:val="32"/>
        </w:rPr>
        <w:t>2024年度一般公共预算财政拨款支出120.01万元，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减少1.87万元，下降1.53%，主要原因是：本年在职人员调入调出，人员职级不同，工资基数不同，导致人员经费较上年减少。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年初预算数116.69万元，决算数120.01万元，预决算差异率2.85%，主要原因是：年中追加2024年为民办实事工作经费，导致预决算存在差异。</w:t>
      </w:r>
    </w:p>
    <w:p w14:paraId="3D35683C">
      <w:pPr>
        <w:spacing w:line="640" w:lineRule="exact"/>
        <w:ind w:firstLine="640"/>
        <w:jc w:val="both"/>
        <w:outlineLvl w:val="3"/>
      </w:pPr>
      <w:r>
        <w:rPr>
          <w:rFonts w:ascii="楷体_GB2312" w:hAnsi="楷体_GB2312" w:eastAsia="楷体_GB2312"/>
          <w:b/>
          <w:sz w:val="32"/>
        </w:rPr>
        <w:t>（二）一般公共预算财政拨款支出决算结构情况</w:t>
      </w:r>
    </w:p>
    <w:p w14:paraId="292C8B3E">
      <w:pPr>
        <w:spacing w:line="580" w:lineRule="exact"/>
        <w:ind w:firstLine="640"/>
        <w:jc w:val="both"/>
      </w:pPr>
      <w:r>
        <w:rPr>
          <w:rFonts w:ascii="仿宋_GB2312" w:hAnsi="仿宋_GB2312" w:eastAsia="仿宋_GB2312"/>
          <w:b w:val="0"/>
          <w:sz w:val="32"/>
        </w:rPr>
        <w:t>1.一般公共服务支出(类)78.36万元,占65.29%。</w:t>
      </w:r>
    </w:p>
    <w:p w14:paraId="21D5D1C8">
      <w:pPr>
        <w:spacing w:line="580" w:lineRule="exact"/>
        <w:ind w:firstLine="640"/>
        <w:jc w:val="both"/>
      </w:pPr>
      <w:r>
        <w:rPr>
          <w:rFonts w:ascii="仿宋_GB2312" w:hAnsi="仿宋_GB2312" w:eastAsia="仿宋_GB2312"/>
          <w:b w:val="0"/>
          <w:sz w:val="32"/>
        </w:rPr>
        <w:t>2.社会保障和就业支出(类)21.03万元,占17.52%。</w:t>
      </w:r>
    </w:p>
    <w:p w14:paraId="5FCEF83E">
      <w:pPr>
        <w:spacing w:line="580" w:lineRule="exact"/>
        <w:ind w:firstLine="640"/>
        <w:jc w:val="both"/>
      </w:pPr>
      <w:r>
        <w:rPr>
          <w:rFonts w:ascii="仿宋_GB2312" w:hAnsi="仿宋_GB2312" w:eastAsia="仿宋_GB2312"/>
          <w:b w:val="0"/>
          <w:sz w:val="32"/>
        </w:rPr>
        <w:t>3.卫生健康支出(类)4.88万元,占4.07%。</w:t>
      </w:r>
    </w:p>
    <w:p w14:paraId="67E70658">
      <w:pPr>
        <w:spacing w:line="580" w:lineRule="exact"/>
        <w:ind w:firstLine="640"/>
        <w:jc w:val="both"/>
      </w:pPr>
      <w:r>
        <w:rPr>
          <w:rFonts w:ascii="仿宋_GB2312" w:hAnsi="仿宋_GB2312" w:eastAsia="仿宋_GB2312"/>
          <w:b w:val="0"/>
          <w:sz w:val="32"/>
        </w:rPr>
        <w:t>4.住房保障支出(类)8.74万元,占7.28%。</w:t>
      </w:r>
    </w:p>
    <w:p w14:paraId="2DFD5EF9">
      <w:pPr>
        <w:spacing w:line="580" w:lineRule="exact"/>
        <w:ind w:firstLine="640"/>
        <w:jc w:val="both"/>
      </w:pPr>
      <w:r>
        <w:rPr>
          <w:rFonts w:ascii="仿宋_GB2312" w:hAnsi="仿宋_GB2312" w:eastAsia="仿宋_GB2312"/>
          <w:b w:val="0"/>
          <w:sz w:val="32"/>
        </w:rPr>
        <w:t>5.其他支出(类)7.00万元,占5.83%。</w:t>
      </w:r>
    </w:p>
    <w:p w14:paraId="4605FEC9">
      <w:pPr>
        <w:spacing w:line="640" w:lineRule="exact"/>
        <w:ind w:firstLine="640"/>
        <w:jc w:val="both"/>
        <w:outlineLvl w:val="3"/>
      </w:pPr>
      <w:r>
        <w:rPr>
          <w:rFonts w:ascii="楷体_GB2312" w:hAnsi="楷体_GB2312" w:eastAsia="楷体_GB2312"/>
          <w:b/>
          <w:sz w:val="32"/>
        </w:rPr>
        <w:t>（三）一般公共预算财政拨款支出决算具体情况</w:t>
      </w:r>
    </w:p>
    <w:p w14:paraId="2662A185">
      <w:pPr>
        <w:spacing w:line="580" w:lineRule="exact"/>
        <w:ind w:firstLine="640"/>
        <w:jc w:val="both"/>
      </w:pPr>
      <w:r>
        <w:rPr>
          <w:rFonts w:ascii="仿宋_GB2312" w:hAnsi="仿宋_GB2312" w:eastAsia="仿宋_GB2312"/>
          <w:b w:val="0"/>
          <w:sz w:val="32"/>
        </w:rPr>
        <w:t>1.一般公共服务支出(类)网信事务(款)行政运行(项):支出决算数为31.12万元，比上年决算减少9.06万元，下降22.55%,主要原因是：本年行政在职人员调入调出，人员职级不同，工资基数不同，导致人员经费较上年减少。</w:t>
      </w:r>
    </w:p>
    <w:p w14:paraId="7773A488">
      <w:pPr>
        <w:spacing w:line="580" w:lineRule="exact"/>
        <w:ind w:firstLine="640"/>
        <w:jc w:val="both"/>
      </w:pPr>
      <w:r>
        <w:rPr>
          <w:rFonts w:ascii="仿宋_GB2312" w:hAnsi="仿宋_GB2312" w:eastAsia="仿宋_GB2312"/>
          <w:b w:val="0"/>
          <w:sz w:val="32"/>
        </w:rPr>
        <w:t>2.一般公共服务支出(类)网信事务(款)信息安全事务(项):支出决算数为0.00万元，比上年决算减少8.51万元，下降100.00%,主要原因是：减少网络指挥体系规范化建设项目。</w:t>
      </w:r>
    </w:p>
    <w:p w14:paraId="2F4ECA10">
      <w:pPr>
        <w:spacing w:line="580" w:lineRule="exact"/>
        <w:ind w:firstLine="640"/>
        <w:jc w:val="both"/>
      </w:pPr>
      <w:r>
        <w:rPr>
          <w:rFonts w:ascii="仿宋_GB2312" w:hAnsi="仿宋_GB2312" w:eastAsia="仿宋_GB2312"/>
          <w:b w:val="0"/>
          <w:sz w:val="32"/>
        </w:rPr>
        <w:t>3.一般公共服务支出(类)网信事务(款)事业运行(项):支出决算数为47.24万元，比上年决算减少1.64万元，下降3.36%,主要原因是：本年事业在职人员调入调出，人员职级不同，工资基数不同，导致人员经费较上年减少。</w:t>
      </w:r>
    </w:p>
    <w:p w14:paraId="08C58152">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0.00万元，比上年决算减少1.73万元，下降100.00%,主要原因是：本年功能科目调整，行政单位离退休上年度单独列支，本年调整至行政运行科目列支，导致经费较上年减少。</w:t>
      </w:r>
    </w:p>
    <w:p w14:paraId="1B1E2CE5">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10.33万元，比上年决算增加1.01万元，增长10.84%,主要原因是：本年在职人员工资基数调增，养老缴费基数上涨，相应支出增加。</w:t>
      </w:r>
    </w:p>
    <w:p w14:paraId="0D026689">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6.社会保障和就业支出(类)行政事业单位养老支出(款)机关事业单位职业年金缴费支出(项):支出决算数为10.71万元，比上年决算增加10.71万元，增长100.00%,主要原因是：本年新增退休人员，职业年金缴费支出增加。</w:t>
      </w:r>
    </w:p>
    <w:p w14:paraId="141C9CA1">
      <w:pPr>
        <w:spacing w:line="580" w:lineRule="exact"/>
        <w:ind w:firstLine="640"/>
        <w:jc w:val="both"/>
      </w:pPr>
      <w:r>
        <w:rPr>
          <w:rFonts w:ascii="仿宋_GB2312" w:hAnsi="仿宋_GB2312" w:eastAsia="仿宋_GB2312"/>
          <w:b w:val="0"/>
          <w:sz w:val="32"/>
        </w:rPr>
        <w:t>7.卫生健康支出(类)行政事业单位医疗(款)事业单位医疗(项):支出决算数为4.39万元，比上年决算增加0.07万元，增长1.62%,主要原因是：本年在职人员工资基数调增，医疗缴费基数上涨，相应支出增加。</w:t>
      </w:r>
    </w:p>
    <w:p w14:paraId="7795FB12">
      <w:pPr>
        <w:spacing w:line="580" w:lineRule="exact"/>
        <w:ind w:firstLine="640"/>
        <w:jc w:val="both"/>
      </w:pPr>
      <w:r>
        <w:rPr>
          <w:rFonts w:ascii="仿宋_GB2312" w:hAnsi="仿宋_GB2312" w:eastAsia="仿宋_GB2312"/>
          <w:b w:val="0"/>
          <w:sz w:val="32"/>
        </w:rPr>
        <w:t>8.卫生健康支出(类)行政事业单位医疗(款)公务员医疗补助(项):支出决算数为0.49万元，比上年决算减少0.08万元，下降14.04%,主要原因是：本年在职人员调入调出，人员职级不同，缴费基数不同，导致公务员医疗补助较上年减少。</w:t>
      </w:r>
    </w:p>
    <w:p w14:paraId="566CD0B2">
      <w:pPr>
        <w:spacing w:line="580" w:lineRule="exact"/>
        <w:ind w:firstLine="640"/>
        <w:jc w:val="both"/>
      </w:pPr>
      <w:r>
        <w:rPr>
          <w:rFonts w:ascii="仿宋_GB2312" w:hAnsi="仿宋_GB2312" w:eastAsia="仿宋_GB2312"/>
          <w:b w:val="0"/>
          <w:sz w:val="32"/>
        </w:rPr>
        <w:t>9.住房保障支出(类)住房改革支出(款)住房公积金(项):支出决算数为8.74万元，比上年决算增加0.36万元，增长4.30%,主要原因是：本年在职人员工资基数调增，公积金缴费基数上涨，相应支出增加。</w:t>
      </w:r>
    </w:p>
    <w:p w14:paraId="53FA5264">
      <w:pPr>
        <w:spacing w:line="580" w:lineRule="exact"/>
        <w:ind w:firstLine="640"/>
        <w:jc w:val="both"/>
      </w:pPr>
      <w:r>
        <w:rPr>
          <w:rFonts w:ascii="仿宋_GB2312" w:hAnsi="仿宋_GB2312" w:eastAsia="仿宋_GB2312"/>
          <w:b w:val="0"/>
          <w:sz w:val="32"/>
        </w:rPr>
        <w:t>10.其他支出(类)其他支出(款)其他支出(项):支出决算数为7.00万元，比上年决算增加7.00万元，增长100.00%,主要原因是：本年增加2024年为民办实事工作经费。</w:t>
      </w:r>
    </w:p>
    <w:p w14:paraId="3F5BEFC5">
      <w:pPr>
        <w:spacing w:line="640" w:lineRule="exact"/>
        <w:ind w:firstLine="640"/>
        <w:jc w:val="both"/>
        <w:outlineLvl w:val="2"/>
      </w:pPr>
      <w:r>
        <w:rPr>
          <w:rFonts w:ascii="黑体" w:hAnsi="黑体" w:eastAsia="黑体"/>
          <w:sz w:val="32"/>
        </w:rPr>
        <w:t>六、一般公共预算财政拨款基本支出决算情况说明</w:t>
      </w:r>
    </w:p>
    <w:p w14:paraId="036BB739">
      <w:pPr>
        <w:spacing w:line="580" w:lineRule="exact"/>
        <w:ind w:firstLine="640"/>
        <w:jc w:val="both"/>
      </w:pPr>
      <w:r>
        <w:rPr>
          <w:rFonts w:ascii="仿宋_GB2312" w:hAnsi="仿宋_GB2312" w:eastAsia="仿宋_GB2312"/>
          <w:b w:val="0"/>
          <w:sz w:val="32"/>
        </w:rPr>
        <w:t>2024年度一般公共预算财政拨款基本支出113.01万元，其中：</w:t>
      </w:r>
      <w:r>
        <w:rPr>
          <w:rFonts w:ascii="仿宋_GB2312" w:hAnsi="仿宋_GB2312" w:eastAsia="仿宋_GB2312"/>
          <w:b/>
          <w:sz w:val="32"/>
        </w:rPr>
        <w:t>人员经费111.52万元，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3E0961EB">
      <w:pPr>
        <w:spacing w:line="580" w:lineRule="exact"/>
        <w:ind w:firstLine="640"/>
        <w:jc w:val="both"/>
      </w:pPr>
      <w:r>
        <w:rPr>
          <w:rFonts w:ascii="仿宋_GB2312" w:hAnsi="仿宋_GB2312" w:eastAsia="仿宋_GB2312"/>
          <w:b/>
          <w:sz w:val="32"/>
        </w:rPr>
        <w:t>公用经费1.49万元，</w:t>
      </w:r>
      <w:r>
        <w:rPr>
          <w:rFonts w:ascii="仿宋_GB2312" w:hAnsi="仿宋_GB2312" w:eastAsia="仿宋_GB2312"/>
          <w:b w:val="0"/>
          <w:sz w:val="32"/>
        </w:rPr>
        <w:t>包括：办公费、水费、电费、邮电费、差旅费。</w:t>
      </w:r>
    </w:p>
    <w:p w14:paraId="3DDD4089">
      <w:pPr>
        <w:spacing w:line="640" w:lineRule="exact"/>
        <w:ind w:firstLine="640"/>
        <w:jc w:val="both"/>
        <w:outlineLvl w:val="2"/>
      </w:pPr>
      <w:r>
        <w:rPr>
          <w:rFonts w:ascii="黑体" w:hAnsi="黑体" w:eastAsia="黑体"/>
          <w:sz w:val="32"/>
        </w:rPr>
        <w:t>七、政府性基金预算财政拨款收入支出决算情况说明</w:t>
      </w:r>
    </w:p>
    <w:p w14:paraId="52771DA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14CE7BE">
      <w:pPr>
        <w:spacing w:line="640" w:lineRule="exact"/>
        <w:ind w:firstLine="640"/>
        <w:jc w:val="both"/>
        <w:outlineLvl w:val="2"/>
      </w:pPr>
      <w:r>
        <w:rPr>
          <w:rFonts w:ascii="黑体" w:hAnsi="黑体" w:eastAsia="黑体"/>
          <w:sz w:val="32"/>
        </w:rPr>
        <w:t>八、国有资本经营预算财政拨款收入支出决算情况说明</w:t>
      </w:r>
    </w:p>
    <w:p w14:paraId="5AA8C6B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DD1BDAD">
      <w:pPr>
        <w:spacing w:line="640" w:lineRule="exact"/>
        <w:ind w:firstLine="640"/>
        <w:jc w:val="both"/>
        <w:outlineLvl w:val="2"/>
      </w:pPr>
      <w:r>
        <w:rPr>
          <w:rFonts w:ascii="黑体" w:hAnsi="黑体" w:eastAsia="黑体"/>
          <w:sz w:val="32"/>
        </w:rPr>
        <w:t>九、财政拨款“三公”经费支出决算情况说明</w:t>
      </w:r>
    </w:p>
    <w:p w14:paraId="1C283DB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8009777">
      <w:pPr>
        <w:spacing w:line="580" w:lineRule="exact"/>
        <w:ind w:firstLine="640"/>
        <w:jc w:val="both"/>
      </w:pPr>
      <w:r>
        <w:rPr>
          <w:rFonts w:ascii="仿宋_GB2312" w:hAnsi="仿宋_GB2312" w:eastAsia="仿宋_GB2312"/>
          <w:b/>
          <w:sz w:val="32"/>
        </w:rPr>
        <w:t>具体情况如下：</w:t>
      </w:r>
    </w:p>
    <w:p w14:paraId="3D02FC3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563429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0D98C0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2B261E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6B27A663">
      <w:pPr>
        <w:spacing w:line="640" w:lineRule="exact"/>
        <w:ind w:firstLine="640"/>
        <w:jc w:val="both"/>
        <w:outlineLvl w:val="2"/>
      </w:pPr>
      <w:r>
        <w:rPr>
          <w:rFonts w:ascii="黑体" w:hAnsi="黑体" w:eastAsia="黑体"/>
          <w:sz w:val="32"/>
        </w:rPr>
        <w:t>十、其他重要事项的情况说明</w:t>
      </w:r>
    </w:p>
    <w:p w14:paraId="7725B71A">
      <w:pPr>
        <w:spacing w:line="640" w:lineRule="exact"/>
        <w:ind w:firstLine="640"/>
        <w:jc w:val="both"/>
        <w:outlineLvl w:val="3"/>
      </w:pPr>
      <w:r>
        <w:rPr>
          <w:rFonts w:ascii="楷体_GB2312" w:hAnsi="楷体_GB2312" w:eastAsia="楷体_GB2312"/>
          <w:b/>
          <w:sz w:val="32"/>
        </w:rPr>
        <w:t>（一）机关运行经费及公用经费支出情况</w:t>
      </w:r>
    </w:p>
    <w:p w14:paraId="2396DDE1">
      <w:pPr>
        <w:spacing w:line="580" w:lineRule="exact"/>
        <w:ind w:firstLine="640"/>
        <w:jc w:val="both"/>
      </w:pPr>
      <w:r>
        <w:rPr>
          <w:rFonts w:ascii="仿宋_GB2312" w:hAnsi="仿宋_GB2312" w:eastAsia="仿宋_GB2312"/>
          <w:b w:val="0"/>
          <w:sz w:val="32"/>
        </w:rPr>
        <w:t>2024年度中共塔什库尔干塔吉克自治县委员会网络安全和信息化委员会办公室（行政单位和参照公务员法管理事业单位）机关运行经费支出1.49万元，比上年增加0.01万元，增长0.68%，主要原因是：本年更新、维护补充办公用品，导致机关运行经费较上年增加。</w:t>
      </w:r>
    </w:p>
    <w:p w14:paraId="307146C6">
      <w:pPr>
        <w:spacing w:line="640" w:lineRule="exact"/>
        <w:ind w:firstLine="640"/>
        <w:jc w:val="both"/>
        <w:outlineLvl w:val="3"/>
      </w:pPr>
      <w:r>
        <w:rPr>
          <w:rFonts w:ascii="楷体_GB2312" w:hAnsi="楷体_GB2312" w:eastAsia="楷体_GB2312"/>
          <w:b/>
          <w:sz w:val="32"/>
        </w:rPr>
        <w:t>（二）政府采购情况</w:t>
      </w:r>
    </w:p>
    <w:p w14:paraId="3FF25845">
      <w:pPr>
        <w:spacing w:line="580" w:lineRule="exact"/>
        <w:ind w:firstLine="640"/>
        <w:jc w:val="both"/>
      </w:pPr>
      <w:r>
        <w:rPr>
          <w:rFonts w:ascii="仿宋_GB2312" w:hAnsi="仿宋_GB2312" w:eastAsia="仿宋_GB2312"/>
          <w:b w:val="0"/>
          <w:sz w:val="32"/>
        </w:rPr>
        <w:t>2024年度政府采购支出总额1.19万元，其中：政府采购货物支出1.19万元、政府采购工程支出0.00万元、政府采购服务支出0.00万元。</w:t>
      </w:r>
    </w:p>
    <w:p w14:paraId="5D793313">
      <w:pPr>
        <w:spacing w:line="580" w:lineRule="exact"/>
        <w:ind w:firstLine="640"/>
        <w:jc w:val="both"/>
      </w:pPr>
      <w:r>
        <w:rPr>
          <w:rFonts w:ascii="仿宋_GB2312" w:hAnsi="仿宋_GB2312" w:eastAsia="仿宋_GB2312"/>
          <w:b w:val="0"/>
          <w:sz w:val="32"/>
        </w:rPr>
        <w:t>授予中小企业合同金额1.19万元，占政府采购支出总额的100.00%，其中：授予小微企业合同金额1.19万元，占政府采购支出总额的100.00%。</w:t>
      </w:r>
    </w:p>
    <w:p w14:paraId="5619E820">
      <w:pPr>
        <w:spacing w:line="640" w:lineRule="exact"/>
        <w:ind w:firstLine="640"/>
        <w:jc w:val="both"/>
        <w:outlineLvl w:val="3"/>
      </w:pPr>
      <w:r>
        <w:rPr>
          <w:rFonts w:ascii="楷体_GB2312" w:hAnsi="楷体_GB2312" w:eastAsia="楷体_GB2312"/>
          <w:b/>
          <w:sz w:val="32"/>
        </w:rPr>
        <w:t>（三）国有资产占用情况说明</w:t>
      </w:r>
    </w:p>
    <w:p w14:paraId="7F9AB6BF">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0F38431">
      <w:pPr>
        <w:spacing w:line="640" w:lineRule="exact"/>
        <w:ind w:firstLine="640"/>
        <w:jc w:val="both"/>
        <w:outlineLvl w:val="2"/>
      </w:pPr>
      <w:r>
        <w:rPr>
          <w:rFonts w:ascii="黑体" w:hAnsi="黑体" w:eastAsia="黑体"/>
          <w:sz w:val="32"/>
        </w:rPr>
        <w:t>十一、预算绩效的情况说明</w:t>
      </w:r>
    </w:p>
    <w:p w14:paraId="71DA83C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120.01万元，实际执行总额120.01万元；预算绩效评价项目1个，全年预算数7.00万元，全年执行数7.00万元。预算绩效管理取得的成效：一是本单位从预算收支管理、资产管理、政府采购管理、合同管理等方面，健全和完善单位财务管理制度、坚定实施各项内部控制制度；为加强预算管理，规范财务行为，已制定《网信部门单位预算绩效管理工作实施办法》，《网信办财务管理制度》《网信办项目管理制度》等健全完整的各项管理制度，有效保障了</w:t>
      </w:r>
      <w:r>
        <w:rPr>
          <w:rFonts w:hint="eastAsia" w:ascii="仿宋_GB2312" w:hAnsi="仿宋_GB2312" w:eastAsia="仿宋_GB2312"/>
          <w:b w:val="0"/>
          <w:sz w:val="32"/>
          <w:lang w:val="en-US" w:eastAsia="zh-CN"/>
        </w:rPr>
        <w:t>本</w:t>
      </w:r>
      <w:r>
        <w:rPr>
          <w:rFonts w:ascii="仿宋_GB2312" w:hAnsi="仿宋_GB2312" w:eastAsia="仿宋_GB2312"/>
          <w:b w:val="0"/>
          <w:sz w:val="32"/>
        </w:rPr>
        <w:t>单位高效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二是部门预算资金使用符合国家法规和财务管理制度；预算资金拨付有完整的审批程序和手续，符合项目预算批复或合同规定的用途；不存在截留、挤占、挪用、虚列支出等情况，确保我单位预算资金规范运行。发现的问题及原因：一是对如何利用绩效评价来分析工作情况，推动工作开展，想得不够深、安排不够细、任务目标不够明确；二是人员少与工作任务繁重矛盾日益突出，网信办目前人员少，工作任务重，对预算绩效管理工作了解的不深不细。下一步改进措施：一是中共塔什库尔干塔吉克自治县委员会网络安全和信息化委员会办公室将结合业务工作实际情况，通过设置更科学合理的指标体系更好地做好绩效评价工作；二是加强绩效评价管理制度和流程的建设，进一步深化、完善绩效管理体系，建立完善全过程的预算绩效管理机制，促进绩效管理工作向广度和深度延伸。具体附整体支出绩效自评表，项目支出绩效自评表和评价报告。</w:t>
      </w:r>
    </w:p>
    <w:p w14:paraId="76E0C3C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72CD3B">
        <w:tblPrEx>
          <w:tblCellMar>
            <w:top w:w="0" w:type="dxa"/>
            <w:left w:w="108" w:type="dxa"/>
            <w:bottom w:w="0" w:type="dxa"/>
            <w:right w:w="108" w:type="dxa"/>
          </w:tblCellMar>
        </w:tblPrEx>
        <w:tc>
          <w:tcPr>
            <w:tcW w:w="8847" w:type="dxa"/>
            <w:gridSpan w:val="9"/>
            <w:vAlign w:val="center"/>
          </w:tcPr>
          <w:p w14:paraId="2718FA57">
            <w:pPr>
              <w:jc w:val="center"/>
            </w:pPr>
            <w:r>
              <w:rPr>
                <w:rFonts w:ascii="宋体" w:hAnsi="宋体" w:eastAsia="宋体"/>
                <w:sz w:val="24"/>
              </w:rPr>
              <w:t>单位整体支出绩效自评表</w:t>
            </w:r>
          </w:p>
        </w:tc>
      </w:tr>
      <w:tr w14:paraId="01A1934C">
        <w:tblPrEx>
          <w:tblCellMar>
            <w:top w:w="0" w:type="dxa"/>
            <w:left w:w="108" w:type="dxa"/>
            <w:bottom w:w="0" w:type="dxa"/>
            <w:right w:w="108" w:type="dxa"/>
          </w:tblCellMar>
        </w:tblPrEx>
        <w:tc>
          <w:tcPr>
            <w:tcW w:w="8847" w:type="dxa"/>
            <w:gridSpan w:val="9"/>
            <w:vAlign w:val="center"/>
          </w:tcPr>
          <w:p w14:paraId="0050ACFF">
            <w:pPr>
              <w:jc w:val="center"/>
            </w:pPr>
            <w:r>
              <w:rPr>
                <w:rFonts w:ascii="宋体" w:hAnsi="宋体" w:eastAsia="宋体"/>
                <w:sz w:val="24"/>
              </w:rPr>
              <w:t>（2024年度）</w:t>
            </w:r>
          </w:p>
        </w:tc>
      </w:tr>
      <w:tr w14:paraId="20501E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9234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3C148E">
            <w:pPr>
              <w:jc w:val="center"/>
            </w:pPr>
            <w:r>
              <w:rPr>
                <w:rFonts w:ascii="宋体" w:hAnsi="宋体" w:eastAsia="宋体"/>
                <w:sz w:val="16"/>
              </w:rPr>
              <w:t>中共塔什库尔干塔吉克自治县委员会网络安全和信息化委员会办公室</w:t>
            </w:r>
          </w:p>
        </w:tc>
      </w:tr>
      <w:tr w14:paraId="0C3876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495BE">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0729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8412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70DA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2BA8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F19B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EB57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AE9AA">
            <w:pPr>
              <w:jc w:val="center"/>
            </w:pPr>
            <w:r>
              <w:rPr>
                <w:rFonts w:ascii="宋体" w:hAnsi="宋体" w:eastAsia="宋体"/>
                <w:sz w:val="16"/>
              </w:rPr>
              <w:t>得分</w:t>
            </w:r>
          </w:p>
        </w:tc>
      </w:tr>
      <w:tr w14:paraId="527C23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E12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C0BF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7301E">
            <w:pPr>
              <w:jc w:val="center"/>
            </w:pPr>
            <w:r>
              <w:rPr>
                <w:rFonts w:ascii="宋体" w:hAnsi="宋体" w:eastAsia="宋体"/>
                <w:sz w:val="16"/>
              </w:rPr>
              <w:t>116.69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A77C6">
            <w:pPr>
              <w:jc w:val="center"/>
            </w:pPr>
            <w:r>
              <w:rPr>
                <w:rFonts w:ascii="宋体" w:hAnsi="宋体" w:eastAsia="宋体"/>
                <w:sz w:val="16"/>
              </w:rPr>
              <w:t>120.01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7CC01">
            <w:pPr>
              <w:jc w:val="center"/>
            </w:pPr>
            <w:r>
              <w:rPr>
                <w:rFonts w:ascii="宋体" w:hAnsi="宋体" w:eastAsia="宋体"/>
                <w:sz w:val="16"/>
              </w:rPr>
              <w:t>120.01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A5C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74F67">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76CB1">
            <w:pPr>
              <w:jc w:val="center"/>
            </w:pPr>
            <w:r>
              <w:rPr>
                <w:rFonts w:ascii="宋体" w:hAnsi="宋体" w:eastAsia="宋体"/>
                <w:sz w:val="16"/>
              </w:rPr>
              <w:t>10</w:t>
            </w:r>
          </w:p>
        </w:tc>
      </w:tr>
      <w:tr w14:paraId="1FC3FB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393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810F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DB8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5D356">
            <w:pPr>
              <w:jc w:val="center"/>
            </w:pPr>
            <w:r>
              <w:rPr>
                <w:rFonts w:ascii="宋体" w:hAnsi="宋体" w:eastAsia="宋体"/>
                <w:sz w:val="16"/>
              </w:rPr>
              <w:t>8.22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E2C7D">
            <w:pPr>
              <w:jc w:val="center"/>
            </w:pPr>
            <w:r>
              <w:rPr>
                <w:rFonts w:ascii="宋体" w:hAnsi="宋体" w:eastAsia="宋体"/>
                <w:sz w:val="16"/>
              </w:rPr>
              <w:t>8.22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534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A3B8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1FD02">
            <w:pPr>
              <w:jc w:val="center"/>
            </w:pPr>
            <w:r>
              <w:rPr>
                <w:rFonts w:ascii="宋体" w:hAnsi="宋体" w:eastAsia="宋体"/>
                <w:sz w:val="16"/>
              </w:rPr>
              <w:t>—</w:t>
            </w:r>
          </w:p>
        </w:tc>
      </w:tr>
      <w:tr w14:paraId="756D88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FFAD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59A5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940C4">
            <w:pPr>
              <w:jc w:val="center"/>
            </w:pPr>
            <w:r>
              <w:rPr>
                <w:rFonts w:ascii="宋体" w:hAnsi="宋体" w:eastAsia="宋体"/>
                <w:sz w:val="16"/>
              </w:rPr>
              <w:t>116.69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C07E8">
            <w:pPr>
              <w:jc w:val="center"/>
            </w:pPr>
            <w:r>
              <w:rPr>
                <w:rFonts w:ascii="宋体" w:hAnsi="宋体" w:eastAsia="宋体"/>
                <w:sz w:val="16"/>
              </w:rPr>
              <w:t>111.79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7BE16">
            <w:pPr>
              <w:jc w:val="center"/>
            </w:pPr>
            <w:r>
              <w:rPr>
                <w:rFonts w:ascii="宋体" w:hAnsi="宋体" w:eastAsia="宋体"/>
                <w:sz w:val="16"/>
              </w:rPr>
              <w:t>111.79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B23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4F52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D4E7C">
            <w:pPr>
              <w:jc w:val="center"/>
            </w:pPr>
            <w:r>
              <w:rPr>
                <w:rFonts w:ascii="宋体" w:hAnsi="宋体" w:eastAsia="宋体"/>
                <w:sz w:val="16"/>
              </w:rPr>
              <w:t>—</w:t>
            </w:r>
          </w:p>
        </w:tc>
      </w:tr>
      <w:tr w14:paraId="33AD57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8548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A626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A82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6DA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D29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D86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4B43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1D992">
            <w:pPr>
              <w:jc w:val="center"/>
            </w:pPr>
            <w:r>
              <w:rPr>
                <w:rFonts w:ascii="宋体" w:hAnsi="宋体" w:eastAsia="宋体"/>
                <w:sz w:val="16"/>
              </w:rPr>
              <w:t>—</w:t>
            </w:r>
          </w:p>
        </w:tc>
      </w:tr>
      <w:tr w14:paraId="1ED6B2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4FDE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AD504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7D5DEE">
            <w:pPr>
              <w:jc w:val="center"/>
            </w:pPr>
            <w:r>
              <w:rPr>
                <w:rFonts w:ascii="宋体" w:hAnsi="宋体" w:eastAsia="宋体"/>
                <w:sz w:val="16"/>
              </w:rPr>
              <w:t>实际完成目标</w:t>
            </w:r>
          </w:p>
        </w:tc>
      </w:tr>
      <w:tr w14:paraId="665413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0C38C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06DD64">
            <w:pPr>
              <w:jc w:val="both"/>
            </w:pPr>
            <w:r>
              <w:rPr>
                <w:rFonts w:ascii="宋体" w:hAnsi="宋体" w:eastAsia="宋体"/>
                <w:sz w:val="16"/>
              </w:rPr>
              <w:t>2024年网信办将以习近平新时代中国特色社会主义思想为指导，认真贯彻落实习近平总书记关于网络安全和信息化工作的重要思想，今年总体目标有以下几点：一是全力加强网上宣传，全力做好重要活动、重要会议、重要讲话的网上宣传报道。二是统筹办好2024年网络安全宣传周宣传教育活动，组织开展网络安全培训。三是走好网上群众路线，壮大队伍，组织开展网络负面信息发现上报工作。四是做好网络巡查工作，围绕重要节点，发挥自身优势，及时发现处置问题。五是强化网络安全防护水平，组织开展重点部门专题培训，提升防护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3B39F1">
            <w:pPr>
              <w:jc w:val="both"/>
            </w:pPr>
            <w:r>
              <w:rPr>
                <w:rFonts w:ascii="宋体" w:hAnsi="宋体" w:eastAsia="宋体"/>
                <w:sz w:val="16"/>
              </w:rPr>
              <w:t>2024年，紧紧围绕工作重点，做好属地公共网络平台网络舆情监测，在全网开展重点巡查，确保各类有害信息第一时间发现、第一时间报告、第一时间处置。以习近平新时代中国特色社会主义思想为指导，深入贯彻落实党的二十大、</w:t>
            </w:r>
            <w:r>
              <w:rPr>
                <w:rFonts w:hint="eastAsia" w:ascii="宋体" w:hAnsi="宋体"/>
                <w:sz w:val="16"/>
                <w:lang w:eastAsia="zh-CN"/>
              </w:rPr>
              <w:t>党的二十届三中全会</w:t>
            </w:r>
            <w:r>
              <w:rPr>
                <w:rFonts w:ascii="宋体" w:hAnsi="宋体" w:eastAsia="宋体"/>
                <w:sz w:val="16"/>
              </w:rPr>
              <w:t>精神和习近平总书记关于网络强国的重要思想，在全县开展正能量传播工作，牢固树立正确的政治方向、舆论导向、价值取向，确保属地网络空间主旋律高昂、正能量充沛。2024年具体完成的重要工作有：完成了12次网络安全宣传，开展了8次网络安全现场检查，开展了365次属地网站巡查，开展了12次相关主题宣传，开展了4次网络主题活动。</w:t>
            </w:r>
          </w:p>
        </w:tc>
      </w:tr>
      <w:tr w14:paraId="13A459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427A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964B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0F48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DC1F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B9A0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E55B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8678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67D0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B9994">
            <w:pPr>
              <w:jc w:val="center"/>
            </w:pPr>
            <w:r>
              <w:rPr>
                <w:rFonts w:ascii="宋体" w:hAnsi="宋体" w:eastAsia="宋体"/>
                <w:sz w:val="16"/>
              </w:rPr>
              <w:t>得分</w:t>
            </w:r>
          </w:p>
        </w:tc>
      </w:tr>
      <w:tr w14:paraId="4359FF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967F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6E11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BC0EB">
            <w:pPr>
              <w:jc w:val="center"/>
            </w:pPr>
            <w:r>
              <w:rPr>
                <w:rFonts w:ascii="宋体" w:hAnsi="宋体" w:eastAsia="宋体"/>
                <w:sz w:val="16"/>
              </w:rPr>
              <w:t>网络安全宣传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6080A">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A1877">
            <w:pPr>
              <w:jc w:val="center"/>
            </w:pPr>
            <w:r>
              <w:rPr>
                <w:rFonts w:ascii="宋体" w:hAnsi="宋体" w:eastAsia="宋体"/>
                <w:sz w:val="16"/>
              </w:rPr>
              <w:t>网信办2024年工作计划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A4F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4B247">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9FA7E">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5C572">
            <w:pPr>
              <w:jc w:val="center"/>
            </w:pPr>
            <w:r>
              <w:rPr>
                <w:rFonts w:ascii="宋体" w:hAnsi="宋体" w:eastAsia="宋体"/>
                <w:sz w:val="16"/>
              </w:rPr>
              <w:t>20</w:t>
            </w:r>
          </w:p>
        </w:tc>
      </w:tr>
      <w:tr w14:paraId="4BCF2C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C41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942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C2F45">
            <w:pPr>
              <w:jc w:val="center"/>
            </w:pPr>
            <w:r>
              <w:rPr>
                <w:rFonts w:ascii="宋体" w:hAnsi="宋体" w:eastAsia="宋体"/>
                <w:sz w:val="16"/>
              </w:rPr>
              <w:t>网络安全现场检查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1C430">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72E5B">
            <w:pPr>
              <w:jc w:val="center"/>
            </w:pPr>
            <w:r>
              <w:rPr>
                <w:rFonts w:ascii="宋体" w:hAnsi="宋体" w:eastAsia="宋体"/>
                <w:sz w:val="16"/>
              </w:rPr>
              <w:t>网信办2024年工作计划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B66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8C9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257A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22A1C">
            <w:pPr>
              <w:jc w:val="center"/>
            </w:pPr>
            <w:r>
              <w:rPr>
                <w:rFonts w:ascii="宋体" w:hAnsi="宋体" w:eastAsia="宋体"/>
                <w:sz w:val="16"/>
              </w:rPr>
              <w:t>20</w:t>
            </w:r>
          </w:p>
        </w:tc>
      </w:tr>
      <w:tr w14:paraId="51C079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B6E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434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2B181">
            <w:pPr>
              <w:jc w:val="center"/>
            </w:pPr>
            <w:r>
              <w:rPr>
                <w:rFonts w:ascii="宋体" w:hAnsi="宋体" w:eastAsia="宋体"/>
                <w:sz w:val="16"/>
              </w:rPr>
              <w:t>属地网站巡查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1927C">
            <w:pPr>
              <w:jc w:val="center"/>
            </w:pPr>
            <w:r>
              <w:rPr>
                <w:rFonts w:ascii="宋体" w:hAnsi="宋体" w:eastAsia="宋体"/>
                <w:sz w:val="16"/>
              </w:rPr>
              <w:t>&gt;=365次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1F1A5">
            <w:pPr>
              <w:jc w:val="center"/>
            </w:pPr>
            <w:r>
              <w:rPr>
                <w:rFonts w:ascii="宋体" w:hAnsi="宋体" w:eastAsia="宋体"/>
                <w:sz w:val="16"/>
              </w:rPr>
              <w:t>网信办2024年工作计划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E287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51739">
            <w:pPr>
              <w:jc w:val="center"/>
            </w:pPr>
            <w:r>
              <w:rPr>
                <w:rFonts w:ascii="宋体" w:hAnsi="宋体" w:eastAsia="宋体"/>
                <w:sz w:val="16"/>
              </w:rPr>
              <w:t>=365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76E80">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F63AA">
            <w:pPr>
              <w:jc w:val="center"/>
            </w:pPr>
            <w:r>
              <w:rPr>
                <w:rFonts w:ascii="宋体" w:hAnsi="宋体" w:eastAsia="宋体"/>
                <w:sz w:val="16"/>
              </w:rPr>
              <w:t>20</w:t>
            </w:r>
          </w:p>
        </w:tc>
      </w:tr>
      <w:tr w14:paraId="219889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2CA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3FDB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D0148">
            <w:pPr>
              <w:jc w:val="center"/>
            </w:pPr>
            <w:r>
              <w:rPr>
                <w:rFonts w:ascii="宋体" w:hAnsi="宋体" w:eastAsia="宋体"/>
                <w:sz w:val="16"/>
              </w:rPr>
              <w:t>开展相关主题宣传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95872">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423D4">
            <w:pPr>
              <w:jc w:val="center"/>
            </w:pPr>
            <w:r>
              <w:rPr>
                <w:rFonts w:ascii="宋体" w:hAnsi="宋体" w:eastAsia="宋体"/>
                <w:sz w:val="16"/>
              </w:rPr>
              <w:t>网信办2024年工作计划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ECF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AC9D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CFF7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5CFB">
            <w:pPr>
              <w:jc w:val="center"/>
            </w:pPr>
            <w:r>
              <w:rPr>
                <w:rFonts w:ascii="宋体" w:hAnsi="宋体" w:eastAsia="宋体"/>
                <w:sz w:val="16"/>
              </w:rPr>
              <w:t>20</w:t>
            </w:r>
          </w:p>
        </w:tc>
      </w:tr>
      <w:tr w14:paraId="1AE5A1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C7A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14C4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DA771">
            <w:pPr>
              <w:jc w:val="center"/>
            </w:pPr>
            <w:r>
              <w:rPr>
                <w:rFonts w:ascii="宋体" w:hAnsi="宋体" w:eastAsia="宋体"/>
                <w:sz w:val="16"/>
              </w:rPr>
              <w:t>开展网络主题活动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17176">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6F510">
            <w:pPr>
              <w:jc w:val="center"/>
            </w:pPr>
            <w:r>
              <w:rPr>
                <w:rFonts w:ascii="宋体" w:hAnsi="宋体" w:eastAsia="宋体"/>
                <w:sz w:val="16"/>
              </w:rPr>
              <w:t>网信办2024年工作计划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1DC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5238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7D17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E7958">
            <w:pPr>
              <w:jc w:val="center"/>
            </w:pPr>
            <w:r>
              <w:rPr>
                <w:rFonts w:ascii="宋体" w:hAnsi="宋体" w:eastAsia="宋体"/>
                <w:sz w:val="16"/>
              </w:rPr>
              <w:t>10</w:t>
            </w:r>
          </w:p>
        </w:tc>
      </w:tr>
    </w:tbl>
    <w:p w14:paraId="2ECDD3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3461095">
        <w:tblPrEx>
          <w:tblCellMar>
            <w:top w:w="0" w:type="dxa"/>
            <w:left w:w="108" w:type="dxa"/>
            <w:bottom w:w="0" w:type="dxa"/>
            <w:right w:w="108" w:type="dxa"/>
          </w:tblCellMar>
        </w:tblPrEx>
        <w:tc>
          <w:tcPr>
            <w:tcW w:w="8848" w:type="dxa"/>
            <w:gridSpan w:val="14"/>
            <w:vAlign w:val="center"/>
          </w:tcPr>
          <w:p w14:paraId="50D8FCA6">
            <w:pPr>
              <w:jc w:val="center"/>
            </w:pPr>
            <w:r>
              <w:rPr>
                <w:rFonts w:ascii="宋体" w:hAnsi="宋体" w:eastAsia="宋体"/>
                <w:sz w:val="24"/>
              </w:rPr>
              <w:t>项目支出绩效自评表</w:t>
            </w:r>
          </w:p>
        </w:tc>
      </w:tr>
      <w:tr w14:paraId="2814DBB0">
        <w:tblPrEx>
          <w:tblCellMar>
            <w:top w:w="0" w:type="dxa"/>
            <w:left w:w="108" w:type="dxa"/>
            <w:bottom w:w="0" w:type="dxa"/>
            <w:right w:w="108" w:type="dxa"/>
          </w:tblCellMar>
        </w:tblPrEx>
        <w:tc>
          <w:tcPr>
            <w:tcW w:w="8848" w:type="dxa"/>
            <w:gridSpan w:val="14"/>
            <w:vAlign w:val="center"/>
          </w:tcPr>
          <w:p w14:paraId="03F6E90B">
            <w:pPr>
              <w:jc w:val="center"/>
            </w:pPr>
            <w:r>
              <w:rPr>
                <w:rFonts w:ascii="宋体" w:hAnsi="宋体" w:eastAsia="宋体"/>
                <w:sz w:val="24"/>
              </w:rPr>
              <w:t>(2024年度)</w:t>
            </w:r>
          </w:p>
        </w:tc>
      </w:tr>
      <w:tr w14:paraId="7ABB7D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66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2E8231">
            <w:pPr>
              <w:jc w:val="center"/>
            </w:pPr>
            <w:r>
              <w:rPr>
                <w:rFonts w:ascii="宋体" w:hAnsi="宋体" w:eastAsia="宋体"/>
                <w:sz w:val="16"/>
              </w:rPr>
              <w:t>2024年为民办实事工作经费</w:t>
            </w:r>
          </w:p>
        </w:tc>
      </w:tr>
      <w:tr w14:paraId="25CA36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B7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111F4">
            <w:pPr>
              <w:jc w:val="center"/>
            </w:pPr>
            <w:r>
              <w:rPr>
                <w:rFonts w:ascii="宋体" w:hAnsi="宋体" w:eastAsia="宋体"/>
                <w:sz w:val="16"/>
              </w:rPr>
              <w:t>中共塔什库尔干塔吉克自治县委员会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97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F5FA39">
            <w:pPr>
              <w:jc w:val="center"/>
            </w:pPr>
            <w:r>
              <w:rPr>
                <w:rFonts w:ascii="宋体" w:hAnsi="宋体" w:eastAsia="宋体"/>
                <w:sz w:val="16"/>
              </w:rPr>
              <w:t>中共塔什库尔干塔吉克自治县委员会网络安全和信息化委员会办公室</w:t>
            </w:r>
          </w:p>
        </w:tc>
      </w:tr>
      <w:tr w14:paraId="496888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A7A7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CBF6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45F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214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B33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D22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EEA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C36B">
            <w:pPr>
              <w:jc w:val="center"/>
            </w:pPr>
            <w:r>
              <w:rPr>
                <w:rFonts w:ascii="宋体" w:hAnsi="宋体" w:eastAsia="宋体"/>
                <w:sz w:val="16"/>
              </w:rPr>
              <w:t>得分</w:t>
            </w:r>
          </w:p>
        </w:tc>
      </w:tr>
      <w:tr w14:paraId="763462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4767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C94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2894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38D6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3180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265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507B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3570">
            <w:pPr>
              <w:jc w:val="center"/>
            </w:pPr>
            <w:r>
              <w:rPr>
                <w:rFonts w:ascii="宋体" w:hAnsi="宋体" w:eastAsia="宋体"/>
                <w:sz w:val="16"/>
              </w:rPr>
              <w:t>10.00分</w:t>
            </w:r>
          </w:p>
        </w:tc>
      </w:tr>
      <w:tr w14:paraId="4B1E6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0BC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F58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F26D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7B7A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B872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9BB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EA7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EF50">
            <w:pPr>
              <w:jc w:val="center"/>
            </w:pPr>
            <w:r>
              <w:rPr>
                <w:rFonts w:ascii="宋体" w:hAnsi="宋体" w:eastAsia="宋体"/>
                <w:sz w:val="16"/>
              </w:rPr>
              <w:t>—</w:t>
            </w:r>
          </w:p>
        </w:tc>
      </w:tr>
      <w:tr w14:paraId="56115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DE0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4D2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6AE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235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13A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D16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FA5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7860">
            <w:pPr>
              <w:jc w:val="center"/>
            </w:pPr>
            <w:r>
              <w:rPr>
                <w:rFonts w:ascii="宋体" w:hAnsi="宋体" w:eastAsia="宋体"/>
                <w:sz w:val="16"/>
              </w:rPr>
              <w:t>—</w:t>
            </w:r>
          </w:p>
        </w:tc>
      </w:tr>
      <w:tr w14:paraId="2BEC7A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FEF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B515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CD5A27">
            <w:pPr>
              <w:jc w:val="center"/>
            </w:pPr>
            <w:r>
              <w:rPr>
                <w:rFonts w:ascii="宋体" w:hAnsi="宋体" w:eastAsia="宋体"/>
                <w:sz w:val="16"/>
              </w:rPr>
              <w:t>实际完成情况</w:t>
            </w:r>
          </w:p>
        </w:tc>
      </w:tr>
      <w:tr w14:paraId="29F4F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46A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1B85CE">
            <w:pPr>
              <w:jc w:val="both"/>
            </w:pPr>
            <w:r>
              <w:rPr>
                <w:rFonts w:ascii="宋体" w:hAnsi="宋体" w:eastAsia="宋体"/>
                <w:sz w:val="16"/>
              </w:rPr>
              <w:t>2024年为民办实事工作经费用于访贫问苦、改善民生、支持村级产业发展、开展农牧民就业培训、补充村级组织工作经费等。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4EB8CD">
            <w:pPr>
              <w:jc w:val="both"/>
            </w:pPr>
            <w:r>
              <w:rPr>
                <w:rFonts w:ascii="宋体" w:hAnsi="宋体" w:eastAsia="宋体"/>
                <w:sz w:val="16"/>
              </w:rPr>
              <w:t>2024年为民办实事工作经费用于访贫问苦、改善民生、支持村级产业发展、开展农牧民就业培训、补充村级组织工作经费等，2024年已执行资金7万元，其中第一书记为民办实事经费2万元，村级为民办实事经费5万元。该项目年度目标已实现，整体完成情况较好。</w:t>
            </w:r>
            <w:r>
              <w:rPr>
                <w:rFonts w:ascii="宋体" w:hAnsi="宋体" w:eastAsia="宋体"/>
                <w:sz w:val="16"/>
              </w:rPr>
              <w:br w:type="textWrapping"/>
            </w:r>
            <w:r>
              <w:rPr>
                <w:rFonts w:ascii="宋体" w:hAnsi="宋体" w:eastAsia="宋体"/>
                <w:sz w:val="16"/>
              </w:rPr>
              <w:t>1、2024年冬季采暖电费15000元，其中从为民办实事经费中支出10000元，第一书记为民办实事经费中支出5000元。</w:t>
            </w:r>
            <w:r>
              <w:rPr>
                <w:rFonts w:ascii="宋体" w:hAnsi="宋体" w:eastAsia="宋体"/>
                <w:sz w:val="16"/>
              </w:rPr>
              <w:br w:type="textWrapping"/>
            </w:r>
            <w:r>
              <w:rPr>
                <w:rFonts w:ascii="宋体" w:hAnsi="宋体" w:eastAsia="宋体"/>
                <w:sz w:val="16"/>
              </w:rPr>
              <w:t>取得的效益：为保障村级正常办公及工作队宿舍供暖，投入了2024年冬季采暖电费。这一举措确保了村级工作在寒冷季节不受影响，维持了办公环境的舒适度，让村干部与</w:t>
            </w:r>
            <w:r>
              <w:rPr>
                <w:rFonts w:hint="eastAsia" w:ascii="宋体" w:hAnsi="宋体"/>
                <w:sz w:val="16"/>
                <w:lang w:eastAsia="zh-CN"/>
              </w:rPr>
              <w:t>为民办实事</w:t>
            </w:r>
            <w:r>
              <w:rPr>
                <w:rFonts w:ascii="宋体" w:hAnsi="宋体" w:eastAsia="宋体"/>
                <w:sz w:val="16"/>
              </w:rPr>
              <w:t>工作队能全身心投入工作，提升了工作效率。村委会日常办公得以顺利开展，村民前来办理事务也不会因为供暖问题而受到阻碍，保障了基层治理的稳定运行。</w:t>
            </w:r>
            <w:r>
              <w:rPr>
                <w:rFonts w:ascii="宋体" w:hAnsi="宋体" w:eastAsia="宋体"/>
                <w:sz w:val="16"/>
              </w:rPr>
              <w:br w:type="textWrapping"/>
            </w:r>
            <w:r>
              <w:rPr>
                <w:rFonts w:ascii="宋体" w:hAnsi="宋体" w:eastAsia="宋体"/>
                <w:sz w:val="16"/>
              </w:rPr>
              <w:t>2、采购一批物品共计10002元，从第一书记为民办实事经费中支出。</w:t>
            </w:r>
            <w:r>
              <w:rPr>
                <w:rFonts w:ascii="宋体" w:hAnsi="宋体" w:eastAsia="宋体"/>
                <w:sz w:val="16"/>
              </w:rPr>
              <w:br w:type="textWrapping"/>
            </w:r>
            <w:r>
              <w:rPr>
                <w:rFonts w:ascii="宋体" w:hAnsi="宋体" w:eastAsia="宋体"/>
                <w:sz w:val="16"/>
              </w:rPr>
              <w:t>取得的效益：通过采购一批物品用于“积分制”超市，有效落实</w:t>
            </w:r>
            <w:r>
              <w:rPr>
                <w:rFonts w:hint="eastAsia" w:ascii="宋体" w:hAnsi="宋体"/>
                <w:sz w:val="16"/>
                <w:lang w:eastAsia="zh-CN"/>
              </w:rPr>
              <w:t>为民办实事</w:t>
            </w:r>
            <w:r>
              <w:rPr>
                <w:rFonts w:ascii="宋体" w:hAnsi="宋体" w:eastAsia="宋体"/>
                <w:sz w:val="16"/>
              </w:rPr>
              <w:t>“四项”重点工作。“积分制”超市作为桥梁纽带，激发了村民参与村级事务的积极性。村民通过参与志愿服务、环境卫生整治、遵守村规民约等活动获取积分，兑换生活用品 ，增强了村民的集体荣誉感和责任感。</w:t>
            </w:r>
            <w:r>
              <w:rPr>
                <w:rFonts w:hint="eastAsia" w:ascii="宋体" w:hAnsi="宋体"/>
                <w:sz w:val="16"/>
                <w:lang w:eastAsia="zh-CN"/>
              </w:rPr>
              <w:t>村“两委”</w:t>
            </w:r>
            <w:r>
              <w:rPr>
                <w:rFonts w:ascii="宋体" w:hAnsi="宋体" w:eastAsia="宋体"/>
                <w:sz w:val="16"/>
              </w:rPr>
              <w:t>在村级治理中的号召力显著增强，村民主动参与到和美乡村建设中来，村庄的环境卫生、邻里关系等方面都得到明显改善，为实现村级治理现代化奠定了坚实基础。</w:t>
            </w:r>
            <w:r>
              <w:rPr>
                <w:rFonts w:ascii="宋体" w:hAnsi="宋体" w:eastAsia="宋体"/>
                <w:sz w:val="16"/>
              </w:rPr>
              <w:br w:type="textWrapping"/>
            </w:r>
            <w:r>
              <w:rPr>
                <w:rFonts w:ascii="宋体" w:hAnsi="宋体" w:eastAsia="宋体"/>
                <w:sz w:val="16"/>
              </w:rPr>
              <w:t>3、购买一批办公用品共计11528元，从为民办实事经费中支出。</w:t>
            </w:r>
            <w:r>
              <w:rPr>
                <w:rFonts w:ascii="宋体" w:hAnsi="宋体" w:eastAsia="宋体"/>
                <w:sz w:val="16"/>
              </w:rPr>
              <w:br w:type="textWrapping"/>
            </w:r>
            <w:r>
              <w:rPr>
                <w:rFonts w:ascii="宋体" w:hAnsi="宋体" w:eastAsia="宋体"/>
                <w:sz w:val="16"/>
              </w:rPr>
              <w:t>取得的效益：</w:t>
            </w:r>
            <w:r>
              <w:rPr>
                <w:rFonts w:hint="eastAsia" w:ascii="宋体" w:hAnsi="宋体"/>
                <w:sz w:val="16"/>
                <w:lang w:eastAsia="zh-CN"/>
              </w:rPr>
              <w:t>购买</w:t>
            </w:r>
            <w:r>
              <w:rPr>
                <w:rFonts w:ascii="宋体" w:hAnsi="宋体" w:eastAsia="宋体"/>
                <w:sz w:val="16"/>
              </w:rPr>
              <w:t>一批办公用品，改善了办公条件。老旧、损坏的办公用品得到更新，办公设备的齐全与先进使得文件处理、资料整理、信息传递等工作更加高效。村干部能更便捷地开展工作，减少因办公设备问题导致的时间浪费，提高了服务村民的质量和效率，增强了村民对</w:t>
            </w:r>
            <w:r>
              <w:rPr>
                <w:rFonts w:hint="eastAsia" w:ascii="宋体" w:hAnsi="宋体"/>
                <w:sz w:val="16"/>
                <w:lang w:eastAsia="zh-CN"/>
              </w:rPr>
              <w:t>村“两委”</w:t>
            </w:r>
            <w:r>
              <w:rPr>
                <w:rFonts w:ascii="宋体" w:hAnsi="宋体" w:eastAsia="宋体"/>
                <w:sz w:val="16"/>
              </w:rPr>
              <w:t>工作的满意度。</w:t>
            </w:r>
            <w:r>
              <w:rPr>
                <w:rFonts w:ascii="宋体" w:hAnsi="宋体" w:eastAsia="宋体"/>
                <w:sz w:val="16"/>
              </w:rPr>
              <w:br w:type="textWrapping"/>
            </w:r>
            <w:r>
              <w:rPr>
                <w:rFonts w:ascii="宋体" w:hAnsi="宋体" w:eastAsia="宋体"/>
                <w:sz w:val="16"/>
              </w:rPr>
              <w:t>4、制作展板8块，共计4100元，从为民办实事经费中支出。</w:t>
            </w:r>
            <w:r>
              <w:rPr>
                <w:rFonts w:ascii="宋体" w:hAnsi="宋体" w:eastAsia="宋体"/>
                <w:sz w:val="16"/>
              </w:rPr>
              <w:br w:type="textWrapping"/>
            </w:r>
            <w:r>
              <w:rPr>
                <w:rFonts w:ascii="宋体" w:hAnsi="宋体" w:eastAsia="宋体"/>
                <w:sz w:val="16"/>
              </w:rPr>
              <w:t>取得的效益：制作8块展板用于宣传铸牢中华民族共同体意识，宣传</w:t>
            </w:r>
            <w:r>
              <w:rPr>
                <w:rFonts w:hint="eastAsia" w:ascii="宋体" w:hAnsi="宋体"/>
                <w:sz w:val="16"/>
                <w:lang w:eastAsia="zh-CN"/>
              </w:rPr>
              <w:t>党的二十届三中全会</w:t>
            </w:r>
            <w:r>
              <w:rPr>
                <w:rFonts w:ascii="宋体" w:hAnsi="宋体" w:eastAsia="宋体"/>
                <w:sz w:val="16"/>
              </w:rPr>
              <w:t>精神、乡村振兴惠民政策以及推广普通话等工作。这些展板放置在村庄显眼位置，成为村民了解国家政策、学习知识的重要窗口。村民对国家政策的知晓度大幅提升，普通话的推广也促进了村民之间的交流，加强了民族团结，营造了良好的精神文明氛围，助力乡村文化振兴。</w:t>
            </w:r>
            <w:r>
              <w:rPr>
                <w:rFonts w:ascii="宋体" w:hAnsi="宋体" w:eastAsia="宋体"/>
                <w:sz w:val="16"/>
              </w:rPr>
              <w:br w:type="textWrapping"/>
            </w:r>
            <w:r>
              <w:rPr>
                <w:rFonts w:ascii="宋体" w:hAnsi="宋体" w:eastAsia="宋体"/>
                <w:sz w:val="16"/>
              </w:rPr>
              <w:t>5、为该村发展特色林果业采购果树刷白工具材料款8200元，从为民办实事经费中支出。</w:t>
            </w:r>
            <w:r>
              <w:rPr>
                <w:rFonts w:ascii="宋体" w:hAnsi="宋体" w:eastAsia="宋体"/>
                <w:sz w:val="16"/>
              </w:rPr>
              <w:br w:type="textWrapping"/>
            </w:r>
            <w:r>
              <w:rPr>
                <w:rFonts w:ascii="宋体" w:hAnsi="宋体" w:eastAsia="宋体"/>
                <w:sz w:val="16"/>
              </w:rPr>
              <w:t>取得的效益：为该村发展特色林果业采购果树刷白工具材料，这对果树起到了重要的保护作用。刷白可以防止病虫害侵袭、减轻冻害，提高果树的存活率和产量。特色林果业是当地的重要产业，果树的良好生长为村民带来了经济收益，增加了村民收入，推动了乡村产业发展，助力乡村振兴战略实施。</w:t>
            </w:r>
            <w:r>
              <w:rPr>
                <w:rFonts w:ascii="宋体" w:hAnsi="宋体" w:eastAsia="宋体"/>
                <w:sz w:val="16"/>
              </w:rPr>
              <w:br w:type="textWrapping"/>
            </w:r>
            <w:r>
              <w:rPr>
                <w:rFonts w:ascii="宋体" w:hAnsi="宋体" w:eastAsia="宋体"/>
                <w:sz w:val="16"/>
              </w:rPr>
              <w:t>6、采购一批慰问品，共计8130元，其中从为民办实事经费中支出3132元，第一书记为民办实事经费中支出4998元。</w:t>
            </w:r>
            <w:r>
              <w:rPr>
                <w:rFonts w:ascii="宋体" w:hAnsi="宋体" w:eastAsia="宋体"/>
                <w:sz w:val="16"/>
              </w:rPr>
              <w:br w:type="textWrapping"/>
            </w:r>
            <w:r>
              <w:rPr>
                <w:rFonts w:ascii="宋体" w:hAnsi="宋体" w:eastAsia="宋体"/>
                <w:sz w:val="16"/>
              </w:rPr>
              <w:t>取得的效益：采购一批慰问品，帮助困难群众，送去党和政府的温暖。在重要节日或特殊时期，将慰问品发放到困难群众手中，解决他们生活中的实际困难，让他们感受到社会的关爱。同时，丰富群众文化生活，拉近了党和群众的距离，增强了群众的幸福感和获得感，促进了社会和谐稳定。</w:t>
            </w:r>
            <w:r>
              <w:rPr>
                <w:rFonts w:ascii="宋体" w:hAnsi="宋体" w:eastAsia="宋体"/>
                <w:sz w:val="16"/>
              </w:rPr>
              <w:br w:type="textWrapping"/>
            </w:r>
            <w:r>
              <w:rPr>
                <w:rFonts w:ascii="宋体" w:hAnsi="宋体" w:eastAsia="宋体"/>
                <w:sz w:val="16"/>
              </w:rPr>
              <w:t>7、采购一批发展特色产业及改厕服务队物资共计13040元，从为民办实事经费中支出。</w:t>
            </w:r>
            <w:r>
              <w:rPr>
                <w:rFonts w:ascii="宋体" w:hAnsi="宋体" w:eastAsia="宋体"/>
                <w:sz w:val="16"/>
              </w:rPr>
              <w:br w:type="textWrapping"/>
            </w:r>
            <w:r>
              <w:rPr>
                <w:rFonts w:ascii="宋体" w:hAnsi="宋体" w:eastAsia="宋体"/>
                <w:sz w:val="16"/>
              </w:rPr>
              <w:t>取得的效益：采购发展特色产业及改厕服务队物资，为特色产业发展提供了支持，助力产业规模化、专业化发展，进一步提升产业竞争力，带动更多村民增收致富。改厕服务队物资的配备，保障了改厕工作的顺利进行，改善了农村卫生环境，提高了村民的生活质量，推动了农村人居环境整治工作，为建设美丽乡村创造了有利条件。</w:t>
            </w:r>
            <w:r>
              <w:rPr>
                <w:rFonts w:ascii="宋体" w:hAnsi="宋体" w:eastAsia="宋体"/>
                <w:sz w:val="16"/>
              </w:rPr>
              <w:br w:type="textWrapping"/>
            </w:r>
            <w:r>
              <w:rPr>
                <w:rFonts w:ascii="宋体" w:hAnsi="宋体" w:eastAsia="宋体"/>
                <w:sz w:val="16"/>
              </w:rPr>
              <w:t>为民办实事工作经费的投入，在保障村级运转、推动乡村治理、促进产业发展、加强精神文明建设、改善民生等多方面都取得了显著效益，为乡村的全面发展做出了积极贡献 。在未来的工作中，我们将继续合理规划经费，持续为民办实事，不断提升乡村发展水平和群众生活品质。</w:t>
            </w:r>
          </w:p>
        </w:tc>
      </w:tr>
      <w:tr w14:paraId="66CDAC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79FE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E8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97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9B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4F2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25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16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36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8E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2E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4F7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6A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B9664">
            <w:pPr>
              <w:jc w:val="center"/>
            </w:pPr>
            <w:r>
              <w:rPr>
                <w:rFonts w:ascii="宋体" w:hAnsi="宋体" w:eastAsia="宋体"/>
                <w:sz w:val="16"/>
              </w:rPr>
              <w:t>偏差原因分析及改进措施</w:t>
            </w:r>
          </w:p>
        </w:tc>
      </w:tr>
      <w:tr w14:paraId="7B929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59D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E114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41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7E93">
            <w:pPr>
              <w:jc w:val="center"/>
            </w:pPr>
            <w:r>
              <w:rPr>
                <w:rFonts w:ascii="宋体" w:hAnsi="宋体" w:eastAsia="宋体"/>
                <w:sz w:val="16"/>
              </w:rPr>
              <w:t>包联行政村数（个）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153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599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FD66">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EE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0D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19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009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70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C6A94">
            <w:pPr>
              <w:jc w:val="center"/>
            </w:pPr>
          </w:p>
        </w:tc>
      </w:tr>
      <w:tr w14:paraId="6B3B1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3A8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9B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E8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29CC">
            <w:pPr>
              <w:jc w:val="center"/>
            </w:pPr>
            <w:r>
              <w:rPr>
                <w:rFonts w:ascii="宋体" w:hAnsi="宋体" w:eastAsia="宋体"/>
                <w:sz w:val="16"/>
              </w:rPr>
              <w:t>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4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744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9762">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05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87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D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0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61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AAC45">
            <w:pPr>
              <w:jc w:val="center"/>
            </w:pPr>
          </w:p>
        </w:tc>
      </w:tr>
      <w:tr w14:paraId="6EEC2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30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D07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47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6910">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E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60C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AACD">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77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13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F2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C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12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137A6">
            <w:pPr>
              <w:jc w:val="center"/>
            </w:pPr>
          </w:p>
        </w:tc>
      </w:tr>
      <w:tr w14:paraId="33F4F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3BB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84539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E00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07A4">
            <w:pPr>
              <w:jc w:val="center"/>
            </w:pPr>
            <w:r>
              <w:rPr>
                <w:rFonts w:ascii="宋体" w:hAnsi="宋体" w:eastAsia="宋体"/>
                <w:sz w:val="16"/>
              </w:rPr>
              <w:t>行政村为民办实事经费数（万元）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CBB5">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05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8CBD">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BD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E8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7A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555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BA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FF299">
            <w:pPr>
              <w:jc w:val="center"/>
            </w:pPr>
          </w:p>
        </w:tc>
      </w:tr>
      <w:tr w14:paraId="7C9B5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02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D12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EE3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8BFC">
            <w:pPr>
              <w:jc w:val="center"/>
            </w:pPr>
            <w:r>
              <w:rPr>
                <w:rFonts w:ascii="宋体" w:hAnsi="宋体" w:eastAsia="宋体"/>
                <w:sz w:val="16"/>
              </w:rPr>
              <w:t>深度贫困村第一书记为民办实事经费数（万元）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AB0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67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F888">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55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D0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74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132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F0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86FB1">
            <w:pPr>
              <w:jc w:val="center"/>
            </w:pPr>
          </w:p>
        </w:tc>
      </w:tr>
      <w:tr w14:paraId="209C87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A35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25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DD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47B0">
            <w:pPr>
              <w:jc w:val="center"/>
            </w:pPr>
            <w:r>
              <w:rPr>
                <w:rFonts w:ascii="宋体" w:hAnsi="宋体" w:eastAsia="宋体"/>
                <w:sz w:val="16"/>
              </w:rPr>
              <w:t>基层办公环境得到有效改善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6AD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1F7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1ABD">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20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86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75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87D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240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3F8B2">
            <w:pPr>
              <w:jc w:val="center"/>
            </w:pPr>
          </w:p>
        </w:tc>
      </w:tr>
      <w:tr w14:paraId="7D80E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3AF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97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C2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0D9C">
            <w:pPr>
              <w:jc w:val="center"/>
            </w:pPr>
            <w:r>
              <w:rPr>
                <w:rFonts w:hint="eastAsia" w:ascii="宋体" w:hAnsi="宋体"/>
                <w:sz w:val="16"/>
                <w:lang w:eastAsia="zh-CN"/>
              </w:rPr>
              <w:t>为民办实事</w:t>
            </w:r>
            <w:r>
              <w:rPr>
                <w:rFonts w:ascii="宋体" w:hAnsi="宋体" w:eastAsia="宋体"/>
                <w:sz w:val="16"/>
              </w:rPr>
              <w:t>工作队人员满意度（%）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529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43D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3167">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66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DD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B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5F5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99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8D798">
            <w:pPr>
              <w:jc w:val="center"/>
            </w:pPr>
          </w:p>
        </w:tc>
      </w:tr>
      <w:tr w14:paraId="5C0B1D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FF7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AFE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C72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994020">
            <w:pPr>
              <w:jc w:val="center"/>
            </w:pPr>
            <w:r>
              <w:rPr>
                <w:rFonts w:ascii="宋体" w:hAnsi="宋体" w:eastAsia="宋体"/>
                <w:sz w:val="16"/>
              </w:rPr>
              <w:t>100分</w:t>
            </w:r>
          </w:p>
        </w:tc>
      </w:tr>
    </w:tbl>
    <w:p w14:paraId="43E4C588">
      <w:r>
        <w:br w:type="page"/>
      </w:r>
    </w:p>
    <w:p w14:paraId="0B38A03C">
      <w:pPr>
        <w:spacing w:line="640" w:lineRule="exact"/>
        <w:ind w:firstLine="640"/>
        <w:jc w:val="both"/>
        <w:outlineLvl w:val="2"/>
      </w:pPr>
      <w:r>
        <w:rPr>
          <w:rFonts w:ascii="黑体" w:hAnsi="黑体" w:eastAsia="黑体"/>
          <w:sz w:val="32"/>
        </w:rPr>
        <w:t>十二、其他需说明的事项</w:t>
      </w:r>
    </w:p>
    <w:p w14:paraId="280AE5E4">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220C72F2">
      <w:r>
        <w:br w:type="page"/>
      </w:r>
    </w:p>
    <w:p w14:paraId="21EF94EB">
      <w:pPr>
        <w:spacing w:line="240" w:lineRule="auto"/>
        <w:jc w:val="center"/>
        <w:outlineLvl w:val="1"/>
      </w:pPr>
      <w:r>
        <w:rPr>
          <w:rFonts w:ascii="黑体" w:hAnsi="黑体" w:eastAsia="黑体"/>
          <w:sz w:val="32"/>
        </w:rPr>
        <w:t>第三部分 专业名词解释</w:t>
      </w:r>
    </w:p>
    <w:p w14:paraId="4CA3D0A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3D4D7E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5631AD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0A7D13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5D115E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057F8E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F7919A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A35537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20D82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7C4370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9FD96D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D4C85F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66E813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01912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40DE8DE">
      <w:r>
        <w:br w:type="page"/>
      </w:r>
    </w:p>
    <w:p w14:paraId="6614A927">
      <w:pPr>
        <w:spacing w:line="240" w:lineRule="auto"/>
        <w:jc w:val="center"/>
        <w:outlineLvl w:val="1"/>
      </w:pPr>
      <w:r>
        <w:rPr>
          <w:rFonts w:ascii="黑体" w:hAnsi="黑体" w:eastAsia="黑体"/>
          <w:sz w:val="32"/>
        </w:rPr>
        <w:t>第四部分 部门决算报表（见附表）</w:t>
      </w:r>
    </w:p>
    <w:p w14:paraId="27B22E70">
      <w:pPr>
        <w:spacing w:line="240" w:lineRule="auto"/>
        <w:ind w:firstLine="640"/>
        <w:jc w:val="both"/>
      </w:pPr>
      <w:r>
        <w:rPr>
          <w:rFonts w:ascii="仿宋_GB2312" w:hAnsi="仿宋_GB2312" w:eastAsia="仿宋_GB2312"/>
          <w:b w:val="0"/>
          <w:sz w:val="32"/>
        </w:rPr>
        <w:t>一、《收入支出决算总表》</w:t>
      </w:r>
    </w:p>
    <w:p w14:paraId="479ABB4C">
      <w:pPr>
        <w:spacing w:line="240" w:lineRule="auto"/>
        <w:ind w:firstLine="640"/>
        <w:jc w:val="both"/>
      </w:pPr>
      <w:r>
        <w:rPr>
          <w:rFonts w:ascii="仿宋_GB2312" w:hAnsi="仿宋_GB2312" w:eastAsia="仿宋_GB2312"/>
          <w:b w:val="0"/>
          <w:sz w:val="32"/>
        </w:rPr>
        <w:t>二、《收入决算表》</w:t>
      </w:r>
    </w:p>
    <w:p w14:paraId="6C996CAC">
      <w:pPr>
        <w:spacing w:line="240" w:lineRule="auto"/>
        <w:ind w:firstLine="640"/>
        <w:jc w:val="both"/>
      </w:pPr>
      <w:r>
        <w:rPr>
          <w:rFonts w:ascii="仿宋_GB2312" w:hAnsi="仿宋_GB2312" w:eastAsia="仿宋_GB2312"/>
          <w:b w:val="0"/>
          <w:sz w:val="32"/>
        </w:rPr>
        <w:t>三、《支出决算表》</w:t>
      </w:r>
    </w:p>
    <w:p w14:paraId="27906385">
      <w:pPr>
        <w:spacing w:line="240" w:lineRule="auto"/>
        <w:ind w:firstLine="640"/>
        <w:jc w:val="both"/>
      </w:pPr>
      <w:r>
        <w:rPr>
          <w:rFonts w:ascii="仿宋_GB2312" w:hAnsi="仿宋_GB2312" w:eastAsia="仿宋_GB2312"/>
          <w:b w:val="0"/>
          <w:sz w:val="32"/>
        </w:rPr>
        <w:t>四、《财政拨款收入支出决算总表》</w:t>
      </w:r>
    </w:p>
    <w:p w14:paraId="329B5D1B">
      <w:pPr>
        <w:spacing w:line="240" w:lineRule="auto"/>
        <w:ind w:firstLine="640"/>
        <w:jc w:val="both"/>
      </w:pPr>
      <w:r>
        <w:rPr>
          <w:rFonts w:ascii="仿宋_GB2312" w:hAnsi="仿宋_GB2312" w:eastAsia="仿宋_GB2312"/>
          <w:b w:val="0"/>
          <w:sz w:val="32"/>
        </w:rPr>
        <w:t>五、《一般公共预算财政拨款支出决算表》</w:t>
      </w:r>
    </w:p>
    <w:p w14:paraId="7FDC064E">
      <w:pPr>
        <w:spacing w:line="240" w:lineRule="auto"/>
        <w:ind w:firstLine="640"/>
        <w:jc w:val="both"/>
      </w:pPr>
      <w:r>
        <w:rPr>
          <w:rFonts w:ascii="仿宋_GB2312" w:hAnsi="仿宋_GB2312" w:eastAsia="仿宋_GB2312"/>
          <w:b w:val="0"/>
          <w:sz w:val="32"/>
        </w:rPr>
        <w:t>六、《一般公共预算财政拨款基本支出决算表》</w:t>
      </w:r>
    </w:p>
    <w:p w14:paraId="23EDB062">
      <w:pPr>
        <w:spacing w:line="240" w:lineRule="auto"/>
        <w:ind w:firstLine="640"/>
        <w:jc w:val="both"/>
      </w:pPr>
      <w:r>
        <w:rPr>
          <w:rFonts w:ascii="仿宋_GB2312" w:hAnsi="仿宋_GB2312" w:eastAsia="仿宋_GB2312"/>
          <w:b w:val="0"/>
          <w:sz w:val="32"/>
        </w:rPr>
        <w:t>七、《政府性基金预算财政拨款收入支出决算表》</w:t>
      </w:r>
    </w:p>
    <w:p w14:paraId="5E0693C0">
      <w:pPr>
        <w:spacing w:line="240" w:lineRule="auto"/>
        <w:ind w:firstLine="640"/>
        <w:jc w:val="both"/>
      </w:pPr>
      <w:r>
        <w:rPr>
          <w:rFonts w:ascii="仿宋_GB2312" w:hAnsi="仿宋_GB2312" w:eastAsia="仿宋_GB2312"/>
          <w:b w:val="0"/>
          <w:sz w:val="32"/>
        </w:rPr>
        <w:t>八、《国有资本经营预算财政拨款收入支出决算表》</w:t>
      </w:r>
    </w:p>
    <w:p w14:paraId="4B8EBFE1">
      <w:pPr>
        <w:spacing w:line="240" w:lineRule="auto"/>
        <w:ind w:firstLine="640"/>
        <w:jc w:val="both"/>
      </w:pPr>
      <w:r>
        <w:rPr>
          <w:rFonts w:ascii="仿宋_GB2312" w:hAnsi="仿宋_GB2312" w:eastAsia="仿宋_GB2312"/>
          <w:b w:val="0"/>
          <w:sz w:val="32"/>
        </w:rPr>
        <w:t>九、《财政拨款“三公”经费支出决算表》</w:t>
      </w:r>
    </w:p>
    <w:p w14:paraId="59A7389B">
      <w:pPr>
        <w:spacing w:line="240" w:lineRule="auto"/>
        <w:ind w:firstLine="640"/>
        <w:jc w:val="both"/>
      </w:pPr>
    </w:p>
    <w:p w14:paraId="7B1C9321">
      <w:pPr>
        <w:spacing w:line="240" w:lineRule="auto"/>
        <w:ind w:firstLine="640"/>
        <w:jc w:val="both"/>
      </w:pPr>
    </w:p>
    <w:p w14:paraId="3255A7ED">
      <w:pPr>
        <w:spacing w:line="240" w:lineRule="auto"/>
        <w:ind w:firstLine="640"/>
        <w:jc w:val="both"/>
      </w:pPr>
    </w:p>
    <w:p w14:paraId="7D4215DC">
      <w:pPr>
        <w:spacing w:line="240" w:lineRule="auto"/>
        <w:ind w:firstLine="640"/>
        <w:jc w:val="both"/>
      </w:pPr>
    </w:p>
    <w:p w14:paraId="65E8F15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F0614B"/>
    <w:rsid w:val="09A729D8"/>
    <w:rsid w:val="0A3C58E8"/>
    <w:rsid w:val="0A7B4867"/>
    <w:rsid w:val="0B8C3ECC"/>
    <w:rsid w:val="0C3613A3"/>
    <w:rsid w:val="0C7227A7"/>
    <w:rsid w:val="0DCA6EF7"/>
    <w:rsid w:val="0E4B1576"/>
    <w:rsid w:val="0EA04331"/>
    <w:rsid w:val="0F9811B3"/>
    <w:rsid w:val="11E15093"/>
    <w:rsid w:val="120E0809"/>
    <w:rsid w:val="125547B9"/>
    <w:rsid w:val="16F36928"/>
    <w:rsid w:val="19071D6C"/>
    <w:rsid w:val="19B5554D"/>
    <w:rsid w:val="1B8F2D19"/>
    <w:rsid w:val="1C317E4F"/>
    <w:rsid w:val="1C472464"/>
    <w:rsid w:val="1D6918EE"/>
    <w:rsid w:val="1DAF458D"/>
    <w:rsid w:val="1E086ACE"/>
    <w:rsid w:val="1E4B5CA5"/>
    <w:rsid w:val="1EAA4A5F"/>
    <w:rsid w:val="1F587A0B"/>
    <w:rsid w:val="2064678E"/>
    <w:rsid w:val="20BC0B75"/>
    <w:rsid w:val="20DD6197"/>
    <w:rsid w:val="21F317F2"/>
    <w:rsid w:val="2241392C"/>
    <w:rsid w:val="22971F75"/>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6A09D2"/>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802EE9"/>
    <w:rsid w:val="67D111AB"/>
    <w:rsid w:val="68DB0208"/>
    <w:rsid w:val="68DF36D5"/>
    <w:rsid w:val="69846A0E"/>
    <w:rsid w:val="69AD798C"/>
    <w:rsid w:val="6ACD284A"/>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4767</Words>
  <Characters>5448</Characters>
  <Lines>0</Lines>
  <Paragraphs>0</Paragraphs>
  <TotalTime>7</TotalTime>
  <ScaleCrop>false</ScaleCrop>
  <LinksUpToDate>false</LinksUpToDate>
  <CharactersWithSpaces>5456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