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76FF96">
      <w:r>
        <w:br w:type="page"/>
      </w:r>
    </w:p>
    <w:p w14:paraId="091094F1">
      <w:pPr>
        <w:spacing w:line="640" w:lineRule="exact"/>
        <w:jc w:val="center"/>
        <w:outlineLvl w:val="1"/>
      </w:pPr>
      <w:r>
        <w:rPr>
          <w:rFonts w:ascii="黑体" w:hAnsi="黑体" w:eastAsia="黑体"/>
          <w:sz w:val="32"/>
        </w:rPr>
        <w:t>第一部分 单位概况</w:t>
      </w:r>
    </w:p>
    <w:p w14:paraId="6840E74C">
      <w:pPr>
        <w:spacing w:line="640" w:lineRule="exact"/>
        <w:ind w:firstLine="640"/>
        <w:jc w:val="both"/>
        <w:outlineLvl w:val="2"/>
      </w:pPr>
      <w:r>
        <w:rPr>
          <w:rFonts w:ascii="黑体" w:hAnsi="黑体" w:eastAsia="黑体"/>
          <w:sz w:val="32"/>
        </w:rPr>
        <w:t>一、主要职能</w:t>
      </w:r>
    </w:p>
    <w:p w14:paraId="30C92DC0">
      <w:pPr>
        <w:spacing w:line="580" w:lineRule="exact"/>
        <w:ind w:firstLine="640"/>
        <w:jc w:val="both"/>
      </w:pPr>
      <w:r>
        <w:rPr>
          <w:rFonts w:ascii="仿宋_GB2312" w:hAnsi="仿宋_GB2312" w:eastAsia="仿宋_GB2312"/>
          <w:sz w:val="32"/>
        </w:rPr>
        <w:t>（一)组织领导和协调全县统计工作。宣传、贯彻国家和自治区</w:t>
      </w:r>
      <w:r>
        <w:rPr>
          <w:rFonts w:hint="eastAsia" w:ascii="仿宋_GB2312" w:hAnsi="仿宋_GB2312" w:eastAsia="仿宋_GB2312"/>
          <w:sz w:val="32"/>
          <w:lang w:eastAsia="zh-CN"/>
        </w:rPr>
        <w:t>颁布实施</w:t>
      </w:r>
      <w:r>
        <w:rPr>
          <w:rFonts w:ascii="仿宋_GB2312" w:hAnsi="仿宋_GB2312" w:eastAsia="仿宋_GB2312"/>
          <w:sz w:val="32"/>
        </w:rPr>
        <w:t>的统计法规、统计工作规章制度和统计现代化建设规划;监督、检查行政区域内各企事业单位和机关团体对统计法律、法规的</w:t>
      </w:r>
      <w:r>
        <w:rPr>
          <w:rFonts w:hint="eastAsia" w:ascii="仿宋_GB2312" w:hAnsi="仿宋_GB2312" w:eastAsia="仿宋_GB2312"/>
          <w:sz w:val="32"/>
          <w:lang w:eastAsia="zh-CN"/>
        </w:rPr>
        <w:t>执行</w:t>
      </w:r>
      <w:r>
        <w:rPr>
          <w:rFonts w:ascii="仿宋_GB2312" w:hAnsi="仿宋_GB2312" w:eastAsia="仿宋_GB2312"/>
          <w:sz w:val="32"/>
        </w:rPr>
        <w:t>情况。完成自治区、地区下达的统计调查任务。</w:t>
      </w:r>
    </w:p>
    <w:p w14:paraId="030DC3A9">
      <w:pPr>
        <w:spacing w:line="580" w:lineRule="exact"/>
        <w:ind w:firstLine="640"/>
        <w:jc w:val="both"/>
      </w:pPr>
      <w:r>
        <w:rPr>
          <w:rFonts w:ascii="仿宋_GB2312" w:hAnsi="仿宋_GB2312" w:eastAsia="仿宋_GB2312"/>
          <w:sz w:val="32"/>
        </w:rPr>
        <w:t>（二)组织领导全县国民经济核算工作,贯彻执行国家国民经济核算体系,组织实施国民经济核算制度和全县投入产出调查,参与</w:t>
      </w:r>
      <w:r>
        <w:rPr>
          <w:rFonts w:hint="eastAsia" w:ascii="仿宋_GB2312" w:hAnsi="仿宋_GB2312" w:eastAsia="仿宋_GB2312"/>
          <w:sz w:val="32"/>
          <w:lang w:eastAsia="zh-CN"/>
        </w:rPr>
        <w:t>核算</w:t>
      </w:r>
      <w:r>
        <w:rPr>
          <w:rFonts w:ascii="仿宋_GB2312" w:hAnsi="仿宋_GB2312" w:eastAsia="仿宋_GB2312"/>
          <w:sz w:val="32"/>
        </w:rPr>
        <w:t>全县地区生产总值。开展新产业、新业态、新商业模式调查。整理汇编提供国民经济核算资料。</w:t>
      </w:r>
    </w:p>
    <w:p w14:paraId="6C879BD6">
      <w:pPr>
        <w:spacing w:line="580" w:lineRule="exact"/>
        <w:ind w:firstLine="640"/>
        <w:jc w:val="both"/>
      </w:pPr>
      <w:r>
        <w:rPr>
          <w:rFonts w:ascii="仿宋_GB2312" w:hAnsi="仿宋_GB2312" w:eastAsia="仿宋_GB2312"/>
          <w:sz w:val="32"/>
        </w:rPr>
        <w:t>（三)会同有关部门拟订本县重大国情国力普查计划、方案,组织实施全县人口、经济、农业等重大的国情国力普查;汇总、整理、提供和开发有关国情国力方面的统计数据。</w:t>
      </w:r>
    </w:p>
    <w:p w14:paraId="0B8B46C1">
      <w:pPr>
        <w:spacing w:line="580" w:lineRule="exact"/>
        <w:ind w:firstLine="640"/>
        <w:jc w:val="both"/>
      </w:pPr>
      <w:r>
        <w:rPr>
          <w:rFonts w:ascii="仿宋_GB2312" w:hAnsi="仿宋_GB2312" w:eastAsia="仿宋_GB2312"/>
          <w:sz w:val="32"/>
        </w:rPr>
        <w:t>（四)组织实施国家统计调查制度,采集、审核、汇总、整理和提供全县农业、工业、商贸、建筑业、房地产、服务业、固定资产投资以及人口、劳动工资、能源、科技、文化等统计调查数据。综合整理和提供全县各部门的基本统计资料。</w:t>
      </w:r>
    </w:p>
    <w:p w14:paraId="7517D24C">
      <w:pPr>
        <w:spacing w:line="580" w:lineRule="exact"/>
        <w:ind w:firstLine="640"/>
        <w:jc w:val="both"/>
      </w:pPr>
      <w:r>
        <w:rPr>
          <w:rFonts w:ascii="仿宋_GB2312" w:hAnsi="仿宋_GB2312" w:eastAsia="仿宋_GB2312"/>
          <w:sz w:val="32"/>
        </w:rPr>
        <w:t>（五)组织各部门对国民经济、社会发展和科技进步等情况进行统计分析、预测和监督,统一核定、管理、公布、出版全县性统计资料,定期发布全县国民经济和社会发展情况统计公报;整理缟印全县统计年鉴。建立健全各部门统计信息共享制度，统计信息</w:t>
      </w:r>
      <w:r>
        <w:rPr>
          <w:rFonts w:hint="eastAsia" w:ascii="仿宋_GB2312" w:hAnsi="仿宋_GB2312" w:eastAsia="仿宋_GB2312"/>
          <w:sz w:val="32"/>
          <w:lang w:eastAsia="zh-CN"/>
        </w:rPr>
        <w:t>及时发</w:t>
      </w:r>
      <w:r>
        <w:rPr>
          <w:rFonts w:ascii="仿宋_GB2312" w:hAnsi="仿宋_GB2312" w:eastAsia="仿宋_GB2312"/>
          <w:sz w:val="32"/>
        </w:rPr>
        <w:t>布。</w:t>
      </w:r>
    </w:p>
    <w:p w14:paraId="5D5086C9">
      <w:pPr>
        <w:spacing w:line="580" w:lineRule="exact"/>
        <w:ind w:firstLine="640"/>
        <w:jc w:val="both"/>
      </w:pPr>
      <w:r>
        <w:rPr>
          <w:rFonts w:ascii="仿宋_GB2312" w:hAnsi="仿宋_GB2312" w:eastAsia="仿宋_GB2312"/>
          <w:sz w:val="32"/>
        </w:rPr>
        <w:t>（六）对经济社会发展等情况进行统计分析、统计预测和统计监督，为社会公众提供高效优质的统计服务，向县委、县政府提供统计信息和咨询建议。</w:t>
      </w:r>
    </w:p>
    <w:p w14:paraId="143B55ED">
      <w:pPr>
        <w:spacing w:line="580" w:lineRule="exact"/>
        <w:ind w:firstLine="640"/>
        <w:jc w:val="both"/>
      </w:pPr>
      <w:r>
        <w:rPr>
          <w:rFonts w:ascii="仿宋_GB2312" w:hAnsi="仿宋_GB2312" w:eastAsia="仿宋_GB2312"/>
          <w:sz w:val="32"/>
        </w:rPr>
        <w:t>（七）建立健全统计数据质量审核、监控制度，开展对重要统计数据的审核、监控，建立统计数据定期抽查制度。</w:t>
      </w:r>
    </w:p>
    <w:p w14:paraId="1075E3F5">
      <w:pPr>
        <w:spacing w:line="580" w:lineRule="exact"/>
        <w:ind w:firstLine="640"/>
        <w:jc w:val="both"/>
      </w:pPr>
      <w:r>
        <w:rPr>
          <w:rFonts w:ascii="仿宋_GB2312" w:hAnsi="仿宋_GB2312" w:eastAsia="仿宋_GB2312"/>
          <w:sz w:val="32"/>
        </w:rPr>
        <w:t>（八）组织实施对全县统计工作的监督检查，组织实施防范和惩治统计造假、弄虚作假督查工作，监督检查各乡镇、各部门对统计法、国家统计规则、国家统计政令、国家统计标准以及国家统计调查制度的执行情况，组织统计法律法规的宣传贯彻，受理统计违法举报，查处违反统计法规的行为，建立健全统计信用体系。</w:t>
      </w:r>
    </w:p>
    <w:p w14:paraId="45F229C0">
      <w:pPr>
        <w:spacing w:line="580" w:lineRule="exact"/>
        <w:ind w:firstLine="640"/>
        <w:jc w:val="both"/>
      </w:pPr>
      <w:r>
        <w:rPr>
          <w:rFonts w:ascii="仿宋_GB2312" w:hAnsi="仿宋_GB2312" w:eastAsia="仿宋_GB2312"/>
          <w:sz w:val="32"/>
        </w:rPr>
        <w:t>（九）推进统计信息化建设，指导全县统计信息自动化建设，建立健全和管理全县统计数据体系，负责基层统计数据网络的建设。</w:t>
      </w:r>
    </w:p>
    <w:p w14:paraId="60EC8B09">
      <w:pPr>
        <w:spacing w:line="580" w:lineRule="exact"/>
        <w:ind w:firstLine="640"/>
        <w:jc w:val="both"/>
      </w:pPr>
      <w:r>
        <w:rPr>
          <w:rFonts w:ascii="仿宋_GB2312" w:hAnsi="仿宋_GB2312" w:eastAsia="仿宋_GB2312"/>
          <w:sz w:val="32"/>
        </w:rPr>
        <w:t>（十）收集、整理全区各县（市）及全县各部门统计资料，开展分析、对比工作。</w:t>
      </w:r>
    </w:p>
    <w:p w14:paraId="380B06CE">
      <w:pPr>
        <w:spacing w:line="580" w:lineRule="exact"/>
        <w:ind w:firstLine="640"/>
        <w:jc w:val="both"/>
      </w:pPr>
      <w:r>
        <w:rPr>
          <w:rFonts w:ascii="仿宋_GB2312" w:hAnsi="仿宋_GB2312" w:eastAsia="仿宋_GB2312"/>
          <w:sz w:val="32"/>
        </w:rPr>
        <w:t>（十一）完成</w:t>
      </w:r>
      <w:r>
        <w:rPr>
          <w:rFonts w:hint="eastAsia" w:ascii="仿宋_GB2312" w:hAnsi="仿宋_GB2312" w:eastAsia="仿宋_GB2312"/>
          <w:sz w:val="32"/>
          <w:lang w:eastAsia="zh-CN"/>
        </w:rPr>
        <w:t>县委、县政府</w:t>
      </w:r>
      <w:r>
        <w:rPr>
          <w:rFonts w:ascii="仿宋_GB2312" w:hAnsi="仿宋_GB2312" w:eastAsia="仿宋_GB2312"/>
          <w:sz w:val="32"/>
        </w:rPr>
        <w:t>交办的其他任务。</w:t>
      </w:r>
    </w:p>
    <w:p w14:paraId="3766B81E">
      <w:pPr>
        <w:spacing w:line="640" w:lineRule="exact"/>
        <w:ind w:firstLine="640"/>
        <w:jc w:val="both"/>
        <w:outlineLvl w:val="2"/>
      </w:pPr>
      <w:r>
        <w:rPr>
          <w:rFonts w:ascii="黑体" w:hAnsi="黑体" w:eastAsia="黑体"/>
          <w:sz w:val="32"/>
        </w:rPr>
        <w:t>二、机构设置及人员情况</w:t>
      </w:r>
    </w:p>
    <w:p w14:paraId="6F39CF6B">
      <w:pPr>
        <w:spacing w:line="580" w:lineRule="exact"/>
        <w:ind w:firstLine="640"/>
        <w:jc w:val="both"/>
      </w:pPr>
      <w:r>
        <w:rPr>
          <w:rFonts w:ascii="仿宋_GB2312" w:hAnsi="仿宋_GB2312" w:eastAsia="仿宋_GB2312"/>
          <w:sz w:val="32"/>
        </w:rPr>
        <w:t>塔什库尔干塔吉克自治县统计局2024年度，实有人数10人，其中：在职人员8人，增加0人；离休人员0人，增加0人；退休人员2人,增加0人。</w:t>
      </w:r>
    </w:p>
    <w:p w14:paraId="1BE35960">
      <w:pPr>
        <w:spacing w:line="580" w:lineRule="exact"/>
        <w:ind w:firstLine="640"/>
        <w:jc w:val="both"/>
      </w:pPr>
      <w:r>
        <w:rPr>
          <w:rFonts w:ascii="仿宋_GB2312" w:hAnsi="仿宋_GB2312" w:eastAsia="仿宋_GB2312"/>
          <w:sz w:val="32"/>
        </w:rPr>
        <w:t>单位无下属预算单位，下设3个科室，分别是：办公室、财务室、普查办。</w:t>
      </w:r>
    </w:p>
    <w:p w14:paraId="12278A11">
      <w:r>
        <w:br w:type="page"/>
      </w:r>
    </w:p>
    <w:p w14:paraId="62C10EB9">
      <w:pPr>
        <w:spacing w:line="240" w:lineRule="auto"/>
        <w:jc w:val="center"/>
        <w:outlineLvl w:val="1"/>
      </w:pPr>
      <w:r>
        <w:rPr>
          <w:rFonts w:ascii="黑体" w:hAnsi="黑体" w:eastAsia="黑体"/>
          <w:sz w:val="32"/>
        </w:rPr>
        <w:t>第二部分 部门决算情况说明</w:t>
      </w:r>
    </w:p>
    <w:p w14:paraId="5EE9A8D2">
      <w:pPr>
        <w:spacing w:line="640" w:lineRule="exact"/>
        <w:ind w:firstLine="640"/>
        <w:jc w:val="both"/>
        <w:outlineLvl w:val="2"/>
      </w:pPr>
      <w:r>
        <w:rPr>
          <w:rFonts w:ascii="黑体" w:hAnsi="黑体" w:eastAsia="黑体"/>
          <w:sz w:val="32"/>
        </w:rPr>
        <w:t>一、收入支出决算总体情况说明</w:t>
      </w:r>
    </w:p>
    <w:p w14:paraId="7D9F8BF6">
      <w:pPr>
        <w:spacing w:line="580" w:lineRule="exact"/>
        <w:ind w:firstLine="640"/>
        <w:jc w:val="both"/>
      </w:pPr>
      <w:r>
        <w:rPr>
          <w:rFonts w:ascii="仿宋_GB2312" w:hAnsi="仿宋_GB2312" w:eastAsia="仿宋_GB2312"/>
          <w:b/>
          <w:sz w:val="32"/>
        </w:rPr>
        <w:t>2024年度收入总计237.49万元，</w:t>
      </w:r>
      <w:r>
        <w:rPr>
          <w:rFonts w:ascii="仿宋_GB2312" w:hAnsi="仿宋_GB2312" w:eastAsia="仿宋_GB2312"/>
          <w:b w:val="0"/>
          <w:sz w:val="32"/>
        </w:rPr>
        <w:t>其中：本年收入合计237.49万元，使用非财政拨款结余（含专用结余）0.00万元，年初结转和结余0.00万元。</w:t>
      </w:r>
    </w:p>
    <w:p w14:paraId="0F160971">
      <w:pPr>
        <w:spacing w:line="580" w:lineRule="exact"/>
        <w:ind w:firstLine="640"/>
        <w:jc w:val="both"/>
      </w:pPr>
      <w:r>
        <w:rPr>
          <w:rFonts w:ascii="仿宋_GB2312" w:hAnsi="仿宋_GB2312" w:eastAsia="仿宋_GB2312"/>
          <w:b/>
          <w:sz w:val="32"/>
        </w:rPr>
        <w:t>2024年度支出总计237.49万元，</w:t>
      </w:r>
      <w:r>
        <w:rPr>
          <w:rFonts w:ascii="仿宋_GB2312" w:hAnsi="仿宋_GB2312" w:eastAsia="仿宋_GB2312"/>
          <w:b w:val="0"/>
          <w:sz w:val="32"/>
        </w:rPr>
        <w:t>其中：本年支出合计237.49万元，结余分配0.00万元，年末结转和结余0.00万元。</w:t>
      </w:r>
    </w:p>
    <w:p w14:paraId="08EE0AC2">
      <w:pPr>
        <w:spacing w:line="580" w:lineRule="exact"/>
        <w:ind w:firstLine="640"/>
        <w:jc w:val="both"/>
      </w:pPr>
      <w:r>
        <w:rPr>
          <w:rFonts w:ascii="仿宋_GB2312" w:hAnsi="仿宋_GB2312" w:eastAsia="仿宋_GB2312"/>
          <w:b w:val="0"/>
          <w:sz w:val="32"/>
        </w:rPr>
        <w:t>收入支出总体与上年相比，减少14.45万元，下降5.74%，主要原因是：本年在职人员调入调出，人员职级不同，工资基数不同，导致人员经费较上年减少。本年减少2023年城乡居民住户调查下半年工作经费及塔县2023年度城乡住户调查工作经费。</w:t>
      </w:r>
    </w:p>
    <w:p w14:paraId="77212FFC">
      <w:pPr>
        <w:spacing w:line="640" w:lineRule="exact"/>
        <w:ind w:firstLine="640"/>
        <w:jc w:val="both"/>
        <w:outlineLvl w:val="2"/>
      </w:pPr>
      <w:r>
        <w:rPr>
          <w:rFonts w:ascii="黑体" w:hAnsi="黑体" w:eastAsia="黑体"/>
          <w:sz w:val="32"/>
        </w:rPr>
        <w:t>二、收入决算情况说明</w:t>
      </w:r>
    </w:p>
    <w:p w14:paraId="580375DA">
      <w:pPr>
        <w:spacing w:line="580" w:lineRule="exact"/>
        <w:ind w:firstLine="640"/>
        <w:jc w:val="both"/>
      </w:pPr>
      <w:r>
        <w:rPr>
          <w:rFonts w:ascii="仿宋_GB2312" w:hAnsi="仿宋_GB2312" w:eastAsia="仿宋_GB2312"/>
          <w:b/>
          <w:sz w:val="32"/>
        </w:rPr>
        <w:t>本年收入237.49万元，</w:t>
      </w:r>
      <w:r>
        <w:rPr>
          <w:rFonts w:ascii="仿宋_GB2312" w:hAnsi="仿宋_GB2312" w:eastAsia="仿宋_GB2312"/>
          <w:b w:val="0"/>
          <w:sz w:val="32"/>
        </w:rPr>
        <w:t>其中：财政拨款收入237.48万元，占100.00%；上级补助收入0.00万元，占0.00%；事业收入0.00万元，占0.00%；经营收入0.00万元，占0.00%；附属单位上缴收入0.00万元，占0.00%；其他收入0.01万元，占0.004%。</w:t>
      </w:r>
    </w:p>
    <w:p w14:paraId="7C5A791A">
      <w:pPr>
        <w:spacing w:line="640" w:lineRule="exact"/>
        <w:ind w:firstLine="640"/>
        <w:jc w:val="both"/>
        <w:outlineLvl w:val="2"/>
      </w:pPr>
      <w:r>
        <w:rPr>
          <w:rFonts w:ascii="黑体" w:hAnsi="黑体" w:eastAsia="黑体"/>
          <w:sz w:val="32"/>
        </w:rPr>
        <w:t>三、支出决算情况说明</w:t>
      </w:r>
    </w:p>
    <w:p w14:paraId="432A9118">
      <w:pPr>
        <w:spacing w:line="580" w:lineRule="exact"/>
        <w:ind w:firstLine="640"/>
        <w:jc w:val="both"/>
      </w:pPr>
      <w:r>
        <w:rPr>
          <w:rFonts w:ascii="仿宋_GB2312" w:hAnsi="仿宋_GB2312" w:eastAsia="仿宋_GB2312"/>
          <w:b/>
          <w:sz w:val="32"/>
        </w:rPr>
        <w:t>本年支出237.49万元，</w:t>
      </w:r>
      <w:r>
        <w:rPr>
          <w:rFonts w:ascii="仿宋_GB2312" w:hAnsi="仿宋_GB2312" w:eastAsia="仿宋_GB2312"/>
          <w:b w:val="0"/>
          <w:sz w:val="32"/>
        </w:rPr>
        <w:t>其中：基本支出178.61万元，占75.21%；项目支出58.88万元，占24.79%；上缴上级支出0.00万元，占0.00%；经营支出0.00万元，占0.00%；对附属单位补助支出0.00万元，占0.00%。</w:t>
      </w:r>
    </w:p>
    <w:p w14:paraId="17BB9DC4">
      <w:pPr>
        <w:spacing w:line="640" w:lineRule="exact"/>
        <w:ind w:firstLine="640"/>
        <w:jc w:val="both"/>
        <w:outlineLvl w:val="2"/>
      </w:pPr>
      <w:r>
        <w:rPr>
          <w:rFonts w:ascii="黑体" w:hAnsi="黑体" w:eastAsia="黑体"/>
          <w:sz w:val="32"/>
        </w:rPr>
        <w:t>四、财政拨款收入支出决算总体情况说明</w:t>
      </w:r>
    </w:p>
    <w:p w14:paraId="170FD1BD">
      <w:pPr>
        <w:spacing w:line="580" w:lineRule="exact"/>
        <w:ind w:firstLine="640"/>
        <w:jc w:val="both"/>
      </w:pPr>
      <w:r>
        <w:rPr>
          <w:rFonts w:ascii="仿宋_GB2312" w:hAnsi="仿宋_GB2312" w:eastAsia="仿宋_GB2312"/>
          <w:b/>
          <w:sz w:val="32"/>
        </w:rPr>
        <w:t>2024年度财政拨款收入总计237.48万元，</w:t>
      </w:r>
      <w:r>
        <w:rPr>
          <w:rFonts w:ascii="仿宋_GB2312" w:hAnsi="仿宋_GB2312" w:eastAsia="仿宋_GB2312"/>
          <w:b w:val="0"/>
          <w:sz w:val="32"/>
        </w:rPr>
        <w:t>其中：年初财政拨款结转和结余0.00万元，本年财政拨款收入237.48万元。</w:t>
      </w:r>
      <w:r>
        <w:rPr>
          <w:rFonts w:ascii="仿宋_GB2312" w:hAnsi="仿宋_GB2312" w:eastAsia="仿宋_GB2312"/>
          <w:b/>
          <w:sz w:val="32"/>
        </w:rPr>
        <w:t>财政拨款支出总计237.48万元，</w:t>
      </w:r>
      <w:r>
        <w:rPr>
          <w:rFonts w:ascii="仿宋_GB2312" w:hAnsi="仿宋_GB2312" w:eastAsia="仿宋_GB2312"/>
          <w:b w:val="0"/>
          <w:sz w:val="32"/>
        </w:rPr>
        <w:t>其中：年末财政拨款结转和结余0.00万元，本年财政拨款支出237.48万元。</w:t>
      </w:r>
    </w:p>
    <w:p w14:paraId="4C49EF6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减少14.46万元，下降5.74%，主要原因是：本年在职人员调入调出，人员职级不同，工资基数不同，导致人员经费较上年减少。本年减少2023年城乡居民住户调查下半年工作经费及塔县2023年度城乡住户调查工作经费。</w:t>
      </w:r>
      <w:r>
        <w:rPr>
          <w:rFonts w:ascii="仿宋_GB2312" w:hAnsi="仿宋_GB2312" w:eastAsia="仿宋_GB2312"/>
          <w:b/>
          <w:sz w:val="32"/>
        </w:rPr>
        <w:t>与年初预算相比，</w:t>
      </w:r>
      <w:r>
        <w:rPr>
          <w:rFonts w:ascii="仿宋_GB2312" w:hAnsi="仿宋_GB2312" w:eastAsia="仿宋_GB2312"/>
          <w:b w:val="0"/>
          <w:sz w:val="32"/>
        </w:rPr>
        <w:t>年初预算数217.75万元，决算数237.48万元，预决算差异率9.06%，主要原因是：年中追加人员工资、社保、公积金基数调增部分资金，导致预决算存在差异。</w:t>
      </w:r>
    </w:p>
    <w:p w14:paraId="1BCC3560">
      <w:pPr>
        <w:spacing w:line="640" w:lineRule="exact"/>
        <w:ind w:firstLine="640"/>
        <w:jc w:val="both"/>
        <w:outlineLvl w:val="2"/>
      </w:pPr>
      <w:r>
        <w:rPr>
          <w:rFonts w:ascii="黑体" w:hAnsi="黑体" w:eastAsia="黑体"/>
          <w:sz w:val="32"/>
        </w:rPr>
        <w:t>五、一般公共预算财政拨款支出决算情况说明</w:t>
      </w:r>
    </w:p>
    <w:p w14:paraId="443337F9">
      <w:pPr>
        <w:spacing w:line="640" w:lineRule="exact"/>
        <w:ind w:firstLine="640"/>
        <w:jc w:val="both"/>
        <w:outlineLvl w:val="3"/>
      </w:pPr>
      <w:r>
        <w:rPr>
          <w:rFonts w:ascii="楷体_GB2312" w:hAnsi="楷体_GB2312" w:eastAsia="楷体_GB2312"/>
          <w:b/>
          <w:sz w:val="32"/>
        </w:rPr>
        <w:t>（一）一般公共预算财政拨款支出决算总体情况</w:t>
      </w:r>
    </w:p>
    <w:p w14:paraId="1C6AE768">
      <w:pPr>
        <w:spacing w:line="580" w:lineRule="exact"/>
        <w:ind w:firstLine="640"/>
        <w:jc w:val="both"/>
      </w:pPr>
      <w:r>
        <w:rPr>
          <w:rFonts w:ascii="仿宋_GB2312" w:hAnsi="仿宋_GB2312" w:eastAsia="仿宋_GB2312"/>
          <w:b/>
          <w:sz w:val="32"/>
        </w:rPr>
        <w:t>2024年度一般公共预算财政拨款支出237.48万元，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减少14.46万元，下降5.74%，主要原因是：本年在职人员调入调出，人员职级不同，工资基数不同，导致人员经费较上年减少。本年减少2023年城乡居民住户调查下半年工作经费及塔县2023年度城乡住户调查工作经费。</w:t>
      </w:r>
      <w:r>
        <w:rPr>
          <w:rFonts w:ascii="仿宋_GB2312" w:hAnsi="仿宋_GB2312" w:eastAsia="仿宋_GB2312"/>
          <w:b/>
          <w:sz w:val="32"/>
        </w:rPr>
        <w:t>与年初预算相比,</w:t>
      </w:r>
      <w:r>
        <w:rPr>
          <w:rFonts w:ascii="仿宋_GB2312" w:hAnsi="仿宋_GB2312" w:eastAsia="仿宋_GB2312"/>
          <w:b w:val="0"/>
          <w:sz w:val="32"/>
        </w:rPr>
        <w:t>年初预算数217.75万元，决算数237.48万元，预决算差异率9.06%，主要原因是：年中追加人员工资、社保、公积金基数调增部分资金，导致预决算存在差异。</w:t>
      </w:r>
    </w:p>
    <w:p w14:paraId="09476D67">
      <w:pPr>
        <w:spacing w:line="640" w:lineRule="exact"/>
        <w:ind w:firstLine="640"/>
        <w:jc w:val="both"/>
        <w:outlineLvl w:val="3"/>
      </w:pPr>
      <w:r>
        <w:rPr>
          <w:rFonts w:ascii="楷体_GB2312" w:hAnsi="楷体_GB2312" w:eastAsia="楷体_GB2312"/>
          <w:b/>
          <w:sz w:val="32"/>
        </w:rPr>
        <w:t>（二）一般公共预算财政拨款支出决算结构情况</w:t>
      </w:r>
    </w:p>
    <w:p w14:paraId="7F1902EA">
      <w:pPr>
        <w:spacing w:line="580" w:lineRule="exact"/>
        <w:ind w:firstLine="640"/>
        <w:jc w:val="both"/>
      </w:pPr>
      <w:r>
        <w:rPr>
          <w:rFonts w:ascii="仿宋_GB2312" w:hAnsi="仿宋_GB2312" w:eastAsia="仿宋_GB2312"/>
          <w:b w:val="0"/>
          <w:sz w:val="32"/>
        </w:rPr>
        <w:t>1.一般公共服务支出(类)165.61万元,占69.74%。</w:t>
      </w:r>
    </w:p>
    <w:p w14:paraId="157F9EC6">
      <w:pPr>
        <w:spacing w:line="580" w:lineRule="exact"/>
        <w:ind w:firstLine="640"/>
        <w:jc w:val="both"/>
      </w:pPr>
      <w:r>
        <w:rPr>
          <w:rFonts w:ascii="仿宋_GB2312" w:hAnsi="仿宋_GB2312" w:eastAsia="仿宋_GB2312"/>
          <w:b w:val="0"/>
          <w:sz w:val="32"/>
        </w:rPr>
        <w:t>2.社会保障和就业支出(类)20.56万元,占8.66%。</w:t>
      </w:r>
    </w:p>
    <w:p w14:paraId="60FB9229">
      <w:pPr>
        <w:spacing w:line="580" w:lineRule="exact"/>
        <w:ind w:firstLine="640"/>
        <w:jc w:val="both"/>
      </w:pPr>
      <w:r>
        <w:rPr>
          <w:rFonts w:ascii="仿宋_GB2312" w:hAnsi="仿宋_GB2312" w:eastAsia="仿宋_GB2312"/>
          <w:b w:val="0"/>
          <w:sz w:val="32"/>
        </w:rPr>
        <w:t>3.卫生健康支出(类)8.55万元,占3.60%。</w:t>
      </w:r>
    </w:p>
    <w:p w14:paraId="09568ACA">
      <w:pPr>
        <w:spacing w:line="580" w:lineRule="exact"/>
        <w:ind w:firstLine="640"/>
        <w:jc w:val="both"/>
      </w:pPr>
      <w:r>
        <w:rPr>
          <w:rFonts w:ascii="仿宋_GB2312" w:hAnsi="仿宋_GB2312" w:eastAsia="仿宋_GB2312"/>
          <w:b w:val="0"/>
          <w:sz w:val="32"/>
        </w:rPr>
        <w:t>4.住房保障支出(类)15.17万元,占6.39%。</w:t>
      </w:r>
    </w:p>
    <w:p w14:paraId="411514EB">
      <w:pPr>
        <w:spacing w:line="580" w:lineRule="exact"/>
        <w:ind w:firstLine="640"/>
        <w:jc w:val="both"/>
      </w:pPr>
      <w:r>
        <w:rPr>
          <w:rFonts w:ascii="仿宋_GB2312" w:hAnsi="仿宋_GB2312" w:eastAsia="仿宋_GB2312"/>
          <w:b w:val="0"/>
          <w:sz w:val="32"/>
        </w:rPr>
        <w:t>5.其他支出(类)27.59万元,占11.62%。</w:t>
      </w:r>
    </w:p>
    <w:p w14:paraId="7A975B04">
      <w:pPr>
        <w:spacing w:line="640" w:lineRule="exact"/>
        <w:ind w:firstLine="640"/>
        <w:jc w:val="both"/>
        <w:outlineLvl w:val="3"/>
      </w:pPr>
      <w:r>
        <w:rPr>
          <w:rFonts w:ascii="楷体_GB2312" w:hAnsi="楷体_GB2312" w:eastAsia="楷体_GB2312"/>
          <w:b/>
          <w:sz w:val="32"/>
        </w:rPr>
        <w:t>（三）一般公共预算财政拨款支出决算具体情况</w:t>
      </w:r>
    </w:p>
    <w:p w14:paraId="5F165296">
      <w:pPr>
        <w:spacing w:line="580" w:lineRule="exact"/>
        <w:ind w:firstLine="640"/>
        <w:jc w:val="both"/>
      </w:pPr>
      <w:r>
        <w:rPr>
          <w:rFonts w:ascii="仿宋_GB2312" w:hAnsi="仿宋_GB2312" w:eastAsia="仿宋_GB2312"/>
          <w:b w:val="0"/>
          <w:sz w:val="32"/>
        </w:rPr>
        <w:t>1.一般公共服务支出(类)统计信息事务(款)行政运行(项):支出决算数为55.56万元，比上年决算减少4.40万元，下降7.34%,主要原因是：本年在职人员调入调出，人员职级不同，工资基数不同，导致人员经费较上年减少。</w:t>
      </w:r>
    </w:p>
    <w:p w14:paraId="3FBBE494">
      <w:pPr>
        <w:spacing w:line="580" w:lineRule="exact"/>
        <w:ind w:firstLine="640"/>
        <w:jc w:val="both"/>
      </w:pPr>
      <w:r>
        <w:rPr>
          <w:rFonts w:ascii="仿宋_GB2312" w:hAnsi="仿宋_GB2312" w:eastAsia="仿宋_GB2312"/>
          <w:b w:val="0"/>
          <w:sz w:val="32"/>
        </w:rPr>
        <w:t>2.一般公共服务支出(类)统计信息事务(款)专项普查活动(项):支出决算数为15.36万元，比上年决算增加6.31万元，增长69.72%,主要原因是：本年增加自治区第五次全国经济普查经费。</w:t>
      </w:r>
    </w:p>
    <w:p w14:paraId="2F26C97B">
      <w:pPr>
        <w:spacing w:line="580" w:lineRule="exact"/>
        <w:ind w:firstLine="640"/>
        <w:jc w:val="both"/>
      </w:pPr>
      <w:r>
        <w:rPr>
          <w:rFonts w:ascii="仿宋_GB2312" w:hAnsi="仿宋_GB2312" w:eastAsia="仿宋_GB2312"/>
          <w:b w:val="0"/>
          <w:sz w:val="32"/>
        </w:rPr>
        <w:t>3.一般公共服务支出(类)统计信息事务(款)统计抽样调查(项):支出决算数为15.93万元，比上年决算减少19.67万元，下降55.25%,主要原因是：本年减少2023年城乡居民住户调查下半年工作经费及塔县2023年度城乡住户调查工作经费。</w:t>
      </w:r>
    </w:p>
    <w:p w14:paraId="46EEA208">
      <w:pPr>
        <w:spacing w:line="580" w:lineRule="exact"/>
        <w:ind w:firstLine="640"/>
        <w:jc w:val="both"/>
      </w:pPr>
      <w:r>
        <w:rPr>
          <w:rFonts w:ascii="仿宋_GB2312" w:hAnsi="仿宋_GB2312" w:eastAsia="仿宋_GB2312"/>
          <w:b w:val="0"/>
          <w:sz w:val="32"/>
        </w:rPr>
        <w:t>4.一般公共服务支出(类)统计信息事务(款)事业运行(项):支出决算数为78.77万元，比上年决算减少5.78万元，下降6.84%,主要原因是：本年在职人员调入调出，人员职级不同，工资基数不同，导致人员经费较上年减少。</w:t>
      </w:r>
    </w:p>
    <w:p w14:paraId="037C0DA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5.社会保障和就业支出(类)行政事业单位养老支出(款)行政单位离退休(项):支出决算数为2.60万元，比上年决算增加0.99万元，增长61.49%,主要原因是：本年增加退休人员基础绩效奖，退休费支出增加。</w:t>
      </w:r>
    </w:p>
    <w:p w14:paraId="659F3BF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17.96万元，比上年决算增加1.80万元，增长11.14%,主要原因是：本年在职人员工资基数调增，养老缴费基数上涨，相应支出增加。</w:t>
      </w:r>
    </w:p>
    <w:p w14:paraId="207F578F">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7.社会保障和就业支出(类)抚恤(款)死亡抚恤(项):支出决算数为0.00万元，比上年决算减少24.77万元，下降100.00%,主要原因是：本年无新增死亡人员，死亡抚恤支出较上年减少。</w:t>
      </w:r>
    </w:p>
    <w:p w14:paraId="10F71E81">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0.00万元，比上年决算减少0.43万元，下降100.00%,主要原因是：本年在职人员调入调出，人员职级不同，缴费基数不同，导致失业险和工伤险等缴费较上年减少。</w:t>
      </w:r>
    </w:p>
    <w:p w14:paraId="767A9628">
      <w:pPr>
        <w:spacing w:line="580" w:lineRule="exact"/>
        <w:ind w:firstLine="640"/>
        <w:jc w:val="both"/>
      </w:pPr>
      <w:r>
        <w:rPr>
          <w:rFonts w:ascii="仿宋_GB2312" w:hAnsi="仿宋_GB2312" w:eastAsia="仿宋_GB2312"/>
          <w:b w:val="0"/>
          <w:sz w:val="32"/>
        </w:rPr>
        <w:t>9.卫生健康支出(类)行政事业单位医疗(款)行政单位医疗(项):支出决算数为7.63万元，比上年决算增加2.21万元，增长40.77%,主要原因是：本年在职人员工资基数调增，医疗缴费基数上涨，相应支出增加。</w:t>
      </w:r>
    </w:p>
    <w:p w14:paraId="423683CC">
      <w:pPr>
        <w:spacing w:line="580" w:lineRule="exact"/>
        <w:ind w:firstLine="640"/>
        <w:jc w:val="both"/>
      </w:pPr>
      <w:r>
        <w:rPr>
          <w:rFonts w:ascii="仿宋_GB2312" w:hAnsi="仿宋_GB2312" w:eastAsia="仿宋_GB2312"/>
          <w:b w:val="0"/>
          <w:sz w:val="32"/>
        </w:rPr>
        <w:t>10.卫生健康支出(类)行政事业单位医疗(款)公务员医疗补助(项):支出决算数为0.92万元，比上年决算减少0.16万元，下降14.81%,主要原因是：本年在职人员调入调出，人员职级不同，缴费基数不同，导致公务员医疗补助较上年减少。</w:t>
      </w:r>
    </w:p>
    <w:p w14:paraId="0487102E">
      <w:pPr>
        <w:spacing w:line="580" w:lineRule="exact"/>
        <w:ind w:firstLine="640"/>
        <w:jc w:val="both"/>
      </w:pPr>
      <w:r>
        <w:rPr>
          <w:rFonts w:ascii="仿宋_GB2312" w:hAnsi="仿宋_GB2312" w:eastAsia="仿宋_GB2312"/>
          <w:b w:val="0"/>
          <w:sz w:val="32"/>
        </w:rPr>
        <w:t>11.住房保障支出(类)住房改革支出(款)住房公积金(项):支出决算数为15.17万元，比上年决算增加1.86万元，增长13.97%,主要原因是：本年在职人员工资基数调增，公积金缴费基数上涨，相应支出增加。</w:t>
      </w:r>
    </w:p>
    <w:p w14:paraId="3674BE5A">
      <w:pPr>
        <w:spacing w:line="580" w:lineRule="exact"/>
        <w:ind w:firstLine="640"/>
        <w:jc w:val="both"/>
      </w:pPr>
      <w:r>
        <w:rPr>
          <w:rFonts w:ascii="仿宋_GB2312" w:hAnsi="仿宋_GB2312" w:eastAsia="仿宋_GB2312"/>
          <w:b w:val="0"/>
          <w:sz w:val="32"/>
        </w:rPr>
        <w:t>12.其他支出(类)其他支出(款)其他支出(项):支出决算数为27.59万元，比上年决算增加27.59万元，增长100.00%,主要原因是：本年增加城乡住户调查工作经费、2024年为民办实事工作经费。</w:t>
      </w:r>
    </w:p>
    <w:p w14:paraId="19A06F79">
      <w:pPr>
        <w:spacing w:line="640" w:lineRule="exact"/>
        <w:ind w:firstLine="640"/>
        <w:jc w:val="both"/>
        <w:outlineLvl w:val="2"/>
      </w:pPr>
      <w:r>
        <w:rPr>
          <w:rFonts w:ascii="黑体" w:hAnsi="黑体" w:eastAsia="黑体"/>
          <w:sz w:val="32"/>
        </w:rPr>
        <w:t>六、一般公共预算财政拨款基本支出决算情况说明</w:t>
      </w:r>
    </w:p>
    <w:p w14:paraId="3C74C14C">
      <w:pPr>
        <w:spacing w:line="580" w:lineRule="exact"/>
        <w:ind w:firstLine="640"/>
        <w:jc w:val="both"/>
      </w:pPr>
      <w:r>
        <w:rPr>
          <w:rFonts w:ascii="仿宋_GB2312" w:hAnsi="仿宋_GB2312" w:eastAsia="仿宋_GB2312"/>
          <w:b w:val="0"/>
          <w:sz w:val="32"/>
        </w:rPr>
        <w:t>2024年度一般公共预算财政拨款基本支出178.61万元，其中：</w:t>
      </w:r>
      <w:r>
        <w:rPr>
          <w:rFonts w:ascii="仿宋_GB2312" w:hAnsi="仿宋_GB2312" w:eastAsia="仿宋_GB2312"/>
          <w:b/>
          <w:sz w:val="32"/>
        </w:rPr>
        <w:t>人员经费175.28万元，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B725C74">
      <w:pPr>
        <w:spacing w:line="580" w:lineRule="exact"/>
        <w:ind w:firstLine="640"/>
        <w:jc w:val="both"/>
      </w:pPr>
      <w:r>
        <w:rPr>
          <w:rFonts w:ascii="仿宋_GB2312" w:hAnsi="仿宋_GB2312" w:eastAsia="仿宋_GB2312"/>
          <w:b/>
          <w:sz w:val="32"/>
        </w:rPr>
        <w:t>公用经费3.33万元，</w:t>
      </w:r>
      <w:r>
        <w:rPr>
          <w:rFonts w:ascii="仿宋_GB2312" w:hAnsi="仿宋_GB2312" w:eastAsia="仿宋_GB2312"/>
          <w:b w:val="0"/>
          <w:sz w:val="32"/>
        </w:rPr>
        <w:t>包括：办公费、水费、邮电费、取暖费、差旅费、公务用车运行维护费。</w:t>
      </w:r>
    </w:p>
    <w:p w14:paraId="7887858B">
      <w:pPr>
        <w:spacing w:line="640" w:lineRule="exact"/>
        <w:ind w:firstLine="640"/>
        <w:jc w:val="both"/>
        <w:outlineLvl w:val="2"/>
      </w:pPr>
      <w:r>
        <w:rPr>
          <w:rFonts w:ascii="黑体" w:hAnsi="黑体" w:eastAsia="黑体"/>
          <w:sz w:val="32"/>
        </w:rPr>
        <w:t>七、政府性基金预算财政拨款收入支出决算情况说明</w:t>
      </w:r>
    </w:p>
    <w:p w14:paraId="28AA86C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3AFF1E">
      <w:pPr>
        <w:spacing w:line="640" w:lineRule="exact"/>
        <w:ind w:firstLine="640"/>
        <w:jc w:val="both"/>
        <w:outlineLvl w:val="2"/>
      </w:pPr>
      <w:r>
        <w:rPr>
          <w:rFonts w:ascii="黑体" w:hAnsi="黑体" w:eastAsia="黑体"/>
          <w:sz w:val="32"/>
        </w:rPr>
        <w:t>八、国有资本经营预算财政拨款收入支出决算情况说明</w:t>
      </w:r>
    </w:p>
    <w:p w14:paraId="4963DB3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D265712">
      <w:pPr>
        <w:spacing w:line="640" w:lineRule="exact"/>
        <w:ind w:firstLine="640"/>
        <w:jc w:val="both"/>
        <w:outlineLvl w:val="2"/>
      </w:pPr>
      <w:r>
        <w:rPr>
          <w:rFonts w:ascii="黑体" w:hAnsi="黑体" w:eastAsia="黑体"/>
          <w:sz w:val="32"/>
        </w:rPr>
        <w:t>九、财政拨款“三公”经费支出决算情况说明</w:t>
      </w:r>
    </w:p>
    <w:p w14:paraId="4D1E5BCE">
      <w:pPr>
        <w:spacing w:line="580" w:lineRule="exact"/>
        <w:ind w:firstLine="640"/>
        <w:jc w:val="both"/>
      </w:pPr>
      <w:r>
        <w:rPr>
          <w:rFonts w:ascii="仿宋_GB2312" w:hAnsi="仿宋_GB2312" w:eastAsia="仿宋_GB2312"/>
          <w:b/>
          <w:sz w:val="32"/>
        </w:rPr>
        <w:t>2024年度财政拨款“三公”经费支出1.48万元，</w:t>
      </w:r>
      <w:r>
        <w:rPr>
          <w:rFonts w:ascii="仿宋_GB2312" w:hAnsi="仿宋_GB2312" w:eastAsia="仿宋_GB2312"/>
          <w:b w:val="0"/>
          <w:sz w:val="32"/>
        </w:rPr>
        <w:t>比上年增加0.25万元，增长20.33%，主要原因是：（1）本单位公务用车日渐老化，维修维护成本增加，导致公务用车运行维护费较上年增加。（2）本年因业务需求，用车次数增加，燃油费增加，导致公务用车运行维护费较上年增加。（3）本年支付以前年度公务用车维修费和油费。其中：因公出国（境）费支出0.00万元，占0.00%，比上年增加0.00万元，增长0.00%，主要原因是：2023年与2024年均未安排因公出国（境）费支出。公务用车购置及运行维护费支出1.48万元，占100.00%，比上年增加0.25万元，增长20.33%，主要原因是：（1）本单位公务用车日渐老化，维修维护成本增加，导致公务用车运行维护费较上年增加。（2）本年因业务需求，用车次数增加，燃油费增加，导致公务用车运行维护费较上年增加。（3）本年支付以前年度公务用车维修费和油费。公务接待费支出0.00万元，占0.00%，比上年增加0.00万元，增长0.00%，主要原因是：2023年与2024年均未安排公务接待费支出。</w:t>
      </w:r>
    </w:p>
    <w:p w14:paraId="5C4267F3">
      <w:pPr>
        <w:spacing w:line="580" w:lineRule="exact"/>
        <w:ind w:firstLine="640"/>
        <w:jc w:val="both"/>
      </w:pPr>
      <w:r>
        <w:rPr>
          <w:rFonts w:ascii="仿宋_GB2312" w:hAnsi="仿宋_GB2312" w:eastAsia="仿宋_GB2312"/>
          <w:b/>
          <w:sz w:val="32"/>
        </w:rPr>
        <w:t>具体情况如下：</w:t>
      </w:r>
    </w:p>
    <w:p w14:paraId="344A42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08E90E">
      <w:pPr>
        <w:spacing w:line="580" w:lineRule="exact"/>
        <w:ind w:firstLine="640"/>
        <w:jc w:val="both"/>
      </w:pPr>
      <w:r>
        <w:rPr>
          <w:rFonts w:ascii="仿宋_GB2312" w:hAnsi="仿宋_GB2312" w:eastAsia="仿宋_GB2312"/>
          <w:b w:val="0"/>
          <w:sz w:val="32"/>
        </w:rPr>
        <w:t>公务用车购置及运行维护费1.48万元，其中：公务用车购置费0.00万元，公务用车运行维护费1.48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7EC8EE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AABF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1.48万元，决算数1.48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1.48万元，决算数1.48万元，预决算差异率0.00%，主要原因是：严格按照预算执行，预决算无差异。公务接待费全年预算数0.00万元，决算数0.00万元，预决算差异率0.00%，主要原因是：本单位无公务接待费。</w:t>
      </w:r>
    </w:p>
    <w:p w14:paraId="31F5FB5D">
      <w:pPr>
        <w:spacing w:line="640" w:lineRule="exact"/>
        <w:ind w:firstLine="640"/>
        <w:jc w:val="both"/>
        <w:outlineLvl w:val="2"/>
      </w:pPr>
      <w:r>
        <w:rPr>
          <w:rFonts w:ascii="黑体" w:hAnsi="黑体" w:eastAsia="黑体"/>
          <w:sz w:val="32"/>
        </w:rPr>
        <w:t>十、其他重要事项的情况说明</w:t>
      </w:r>
    </w:p>
    <w:p w14:paraId="271FDA89">
      <w:pPr>
        <w:spacing w:line="640" w:lineRule="exact"/>
        <w:ind w:firstLine="640"/>
        <w:jc w:val="both"/>
        <w:outlineLvl w:val="3"/>
      </w:pPr>
      <w:r>
        <w:rPr>
          <w:rFonts w:ascii="楷体_GB2312" w:hAnsi="楷体_GB2312" w:eastAsia="楷体_GB2312"/>
          <w:b/>
          <w:sz w:val="32"/>
        </w:rPr>
        <w:t>（一）机关运行经费及公用经费支出情况</w:t>
      </w:r>
    </w:p>
    <w:p w14:paraId="661D5A0D">
      <w:pPr>
        <w:spacing w:line="580" w:lineRule="exact"/>
        <w:ind w:firstLine="640"/>
        <w:jc w:val="both"/>
      </w:pPr>
      <w:r>
        <w:rPr>
          <w:rFonts w:ascii="仿宋_GB2312" w:hAnsi="仿宋_GB2312" w:eastAsia="仿宋_GB2312"/>
          <w:b w:val="0"/>
          <w:sz w:val="32"/>
        </w:rPr>
        <w:t>2024年度塔什库尔干塔吉克自治县统计局（行政单位和参照公务员法管理事业单位）机关运行经费支出3.33万元，比上年增加0.03万元，增长0.91%，主要原因是：本年业务量增加，公用经费增加</w:t>
      </w:r>
      <w:r>
        <w:rPr>
          <w:rFonts w:hint="eastAsia" w:ascii="仿宋_GB2312" w:hAnsi="仿宋_GB2312" w:eastAsia="仿宋_GB2312"/>
          <w:b w:val="0"/>
          <w:sz w:val="32"/>
          <w:lang w:eastAsia="zh-CN"/>
        </w:rPr>
        <w:t>。</w:t>
      </w:r>
    </w:p>
    <w:p w14:paraId="0FBCFB75">
      <w:pPr>
        <w:spacing w:line="640" w:lineRule="exact"/>
        <w:ind w:firstLine="640"/>
        <w:jc w:val="both"/>
        <w:outlineLvl w:val="3"/>
      </w:pPr>
      <w:r>
        <w:rPr>
          <w:rFonts w:ascii="楷体_GB2312" w:hAnsi="楷体_GB2312" w:eastAsia="楷体_GB2312"/>
          <w:b/>
          <w:sz w:val="32"/>
        </w:rPr>
        <w:t>（二）政府采购情况</w:t>
      </w:r>
    </w:p>
    <w:p w14:paraId="5F5EC4DB">
      <w:pPr>
        <w:spacing w:line="580" w:lineRule="exact"/>
        <w:ind w:firstLine="640"/>
        <w:jc w:val="both"/>
      </w:pPr>
      <w:r>
        <w:rPr>
          <w:rFonts w:ascii="仿宋_GB2312" w:hAnsi="仿宋_GB2312" w:eastAsia="仿宋_GB2312"/>
          <w:b w:val="0"/>
          <w:sz w:val="32"/>
        </w:rPr>
        <w:t>2024年度政府采购支出总额13.66万元，其中：政府采购货物支出11.85万元、政府采购工程支出0.00万元、政府采购服务支出1.80万元。</w:t>
      </w:r>
    </w:p>
    <w:p w14:paraId="70D7C185">
      <w:pPr>
        <w:spacing w:line="580" w:lineRule="exact"/>
        <w:ind w:firstLine="640"/>
        <w:jc w:val="both"/>
      </w:pPr>
      <w:r>
        <w:rPr>
          <w:rFonts w:ascii="仿宋_GB2312" w:hAnsi="仿宋_GB2312" w:eastAsia="仿宋_GB2312"/>
          <w:b w:val="0"/>
          <w:sz w:val="32"/>
        </w:rPr>
        <w:t>授予中小企业合同金额13.66万元，占政府采购支出总额的100.00%，其中：授予小微企业合同金额13.66万元，占政府采购支出总额的100.00%。</w:t>
      </w:r>
    </w:p>
    <w:p w14:paraId="36AD4490">
      <w:pPr>
        <w:spacing w:line="640" w:lineRule="exact"/>
        <w:ind w:firstLine="640"/>
        <w:jc w:val="both"/>
        <w:outlineLvl w:val="3"/>
      </w:pPr>
      <w:r>
        <w:rPr>
          <w:rFonts w:ascii="楷体_GB2312" w:hAnsi="楷体_GB2312" w:eastAsia="楷体_GB2312"/>
          <w:b/>
          <w:sz w:val="32"/>
        </w:rPr>
        <w:t>（三）国有资产占用情况说明</w:t>
      </w:r>
    </w:p>
    <w:p w14:paraId="40E4ED66">
      <w:pPr>
        <w:spacing w:line="580" w:lineRule="exact"/>
        <w:ind w:firstLine="640"/>
        <w:jc w:val="both"/>
      </w:pPr>
      <w:r>
        <w:rPr>
          <w:rFonts w:ascii="仿宋_GB2312" w:hAnsi="仿宋_GB2312" w:eastAsia="仿宋_GB2312"/>
          <w:b w:val="0"/>
          <w:sz w:val="32"/>
        </w:rPr>
        <w:t>截至2024年12月31日，房屋216.00平方米，价值28.34万元。车辆2辆，价值36.55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0B3EB83">
      <w:pPr>
        <w:spacing w:line="640" w:lineRule="exact"/>
        <w:ind w:firstLine="640"/>
        <w:jc w:val="both"/>
        <w:outlineLvl w:val="2"/>
      </w:pPr>
      <w:r>
        <w:rPr>
          <w:rFonts w:ascii="黑体" w:hAnsi="黑体" w:eastAsia="黑体"/>
          <w:sz w:val="32"/>
        </w:rPr>
        <w:t>十一、预算绩效的情况说明</w:t>
      </w:r>
    </w:p>
    <w:p w14:paraId="177ECCF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237.49万元，实际执行总额237.49万元；预算绩效评价项目5个，全年预算数61.48万元，全年执行数58.88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4EF5815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290969">
        <w:tblPrEx>
          <w:tblCellMar>
            <w:top w:w="0" w:type="dxa"/>
            <w:left w:w="108" w:type="dxa"/>
            <w:bottom w:w="0" w:type="dxa"/>
            <w:right w:w="108" w:type="dxa"/>
          </w:tblCellMar>
        </w:tblPrEx>
        <w:tc>
          <w:tcPr>
            <w:tcW w:w="8847" w:type="dxa"/>
            <w:gridSpan w:val="9"/>
            <w:vAlign w:val="center"/>
          </w:tcPr>
          <w:p w14:paraId="3E97B892">
            <w:pPr>
              <w:jc w:val="center"/>
            </w:pPr>
            <w:r>
              <w:rPr>
                <w:rFonts w:ascii="宋体" w:hAnsi="宋体" w:eastAsia="宋体"/>
                <w:sz w:val="24"/>
              </w:rPr>
              <w:t>单位整体支出绩效自评表</w:t>
            </w:r>
          </w:p>
        </w:tc>
      </w:tr>
      <w:tr w14:paraId="207C7DC8">
        <w:tblPrEx>
          <w:tblCellMar>
            <w:top w:w="0" w:type="dxa"/>
            <w:left w:w="108" w:type="dxa"/>
            <w:bottom w:w="0" w:type="dxa"/>
            <w:right w:w="108" w:type="dxa"/>
          </w:tblCellMar>
        </w:tblPrEx>
        <w:tc>
          <w:tcPr>
            <w:tcW w:w="8847" w:type="dxa"/>
            <w:gridSpan w:val="9"/>
            <w:vAlign w:val="center"/>
          </w:tcPr>
          <w:p w14:paraId="791EBD8C">
            <w:pPr>
              <w:jc w:val="center"/>
            </w:pPr>
            <w:r>
              <w:rPr>
                <w:rFonts w:ascii="宋体" w:hAnsi="宋体" w:eastAsia="宋体"/>
                <w:sz w:val="24"/>
              </w:rPr>
              <w:t>（2024年度）</w:t>
            </w:r>
          </w:p>
        </w:tc>
      </w:tr>
      <w:tr w14:paraId="0EE797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431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041DBE">
            <w:pPr>
              <w:jc w:val="center"/>
            </w:pPr>
            <w:r>
              <w:rPr>
                <w:rFonts w:ascii="宋体" w:hAnsi="宋体" w:eastAsia="宋体"/>
                <w:sz w:val="16"/>
              </w:rPr>
              <w:t>塔什库尔干塔吉克自治县统计局</w:t>
            </w:r>
          </w:p>
        </w:tc>
      </w:tr>
      <w:tr w14:paraId="6291E7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13BE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46E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3B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DA7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64F0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DC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8903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F0C1">
            <w:pPr>
              <w:jc w:val="center"/>
            </w:pPr>
            <w:r>
              <w:rPr>
                <w:rFonts w:ascii="宋体" w:hAnsi="宋体" w:eastAsia="宋体"/>
                <w:sz w:val="16"/>
              </w:rPr>
              <w:t>得分</w:t>
            </w:r>
          </w:p>
        </w:tc>
      </w:tr>
      <w:tr w14:paraId="0A5E08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7A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B99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B52DF">
            <w:pPr>
              <w:jc w:val="center"/>
            </w:pPr>
            <w:r>
              <w:rPr>
                <w:rFonts w:ascii="宋体" w:hAnsi="宋体" w:eastAsia="宋体"/>
                <w:sz w:val="16"/>
              </w:rPr>
              <w:t>217.74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556C">
            <w:pPr>
              <w:jc w:val="center"/>
            </w:pPr>
            <w:r>
              <w:rPr>
                <w:rFonts w:ascii="宋体" w:hAnsi="宋体" w:eastAsia="宋体"/>
                <w:sz w:val="16"/>
              </w:rPr>
              <w:t>237.49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3142">
            <w:pPr>
              <w:jc w:val="center"/>
            </w:pPr>
            <w:r>
              <w:rPr>
                <w:rFonts w:ascii="宋体" w:hAnsi="宋体" w:eastAsia="宋体"/>
                <w:sz w:val="16"/>
              </w:rPr>
              <w:t>237.49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ED8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C21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C71C6">
            <w:pPr>
              <w:jc w:val="center"/>
            </w:pPr>
            <w:r>
              <w:rPr>
                <w:rFonts w:ascii="宋体" w:hAnsi="宋体" w:eastAsia="宋体"/>
                <w:sz w:val="16"/>
              </w:rPr>
              <w:t>10</w:t>
            </w:r>
          </w:p>
        </w:tc>
      </w:tr>
      <w:tr w14:paraId="0CEFE3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88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C20D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A8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CE36">
            <w:pPr>
              <w:jc w:val="center"/>
            </w:pPr>
            <w:r>
              <w:rPr>
                <w:rFonts w:ascii="宋体" w:hAnsi="宋体" w:eastAsia="宋体"/>
                <w:sz w:val="16"/>
              </w:rPr>
              <w:t>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319B6">
            <w:pPr>
              <w:jc w:val="center"/>
            </w:pPr>
            <w:r>
              <w:rPr>
                <w:rFonts w:ascii="宋体" w:hAnsi="宋体" w:eastAsia="宋体"/>
                <w:sz w:val="16"/>
              </w:rPr>
              <w:t>20.96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FBB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DB46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31B1">
            <w:pPr>
              <w:jc w:val="center"/>
            </w:pPr>
            <w:r>
              <w:rPr>
                <w:rFonts w:ascii="宋体" w:hAnsi="宋体" w:eastAsia="宋体"/>
                <w:sz w:val="16"/>
              </w:rPr>
              <w:t>—</w:t>
            </w:r>
          </w:p>
        </w:tc>
      </w:tr>
      <w:tr w14:paraId="40001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1C9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5E8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BDF3">
            <w:pPr>
              <w:jc w:val="center"/>
            </w:pPr>
            <w:r>
              <w:rPr>
                <w:rFonts w:ascii="宋体" w:hAnsi="宋体" w:eastAsia="宋体"/>
                <w:sz w:val="16"/>
              </w:rPr>
              <w:t>217.74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2BA1">
            <w:pPr>
              <w:jc w:val="center"/>
            </w:pPr>
            <w:r>
              <w:rPr>
                <w:rFonts w:ascii="宋体" w:hAnsi="宋体" w:eastAsia="宋体"/>
                <w:sz w:val="16"/>
              </w:rPr>
              <w:t>216.53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66BD4">
            <w:pPr>
              <w:jc w:val="center"/>
            </w:pPr>
            <w:r>
              <w:rPr>
                <w:rFonts w:ascii="宋体" w:hAnsi="宋体" w:eastAsia="宋体"/>
                <w:sz w:val="16"/>
              </w:rPr>
              <w:t>216.53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97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5A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662BA">
            <w:pPr>
              <w:jc w:val="center"/>
            </w:pPr>
            <w:r>
              <w:rPr>
                <w:rFonts w:ascii="宋体" w:hAnsi="宋体" w:eastAsia="宋体"/>
                <w:sz w:val="16"/>
              </w:rPr>
              <w:t>—</w:t>
            </w:r>
          </w:p>
        </w:tc>
      </w:tr>
      <w:tr w14:paraId="0815A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21A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9C2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46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5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C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5E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56B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FC1FF">
            <w:pPr>
              <w:jc w:val="center"/>
            </w:pPr>
            <w:r>
              <w:rPr>
                <w:rFonts w:ascii="宋体" w:hAnsi="宋体" w:eastAsia="宋体"/>
                <w:sz w:val="16"/>
              </w:rPr>
              <w:t>—</w:t>
            </w:r>
          </w:p>
        </w:tc>
      </w:tr>
      <w:tr w14:paraId="7D2268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97C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E0A38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FF4B99">
            <w:pPr>
              <w:jc w:val="center"/>
            </w:pPr>
            <w:r>
              <w:rPr>
                <w:rFonts w:ascii="宋体" w:hAnsi="宋体" w:eastAsia="宋体"/>
                <w:sz w:val="16"/>
              </w:rPr>
              <w:t>实际完成目标</w:t>
            </w:r>
          </w:p>
        </w:tc>
      </w:tr>
      <w:tr w14:paraId="634F2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2587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2E0FCD">
            <w:pPr>
              <w:jc w:val="both"/>
            </w:pPr>
            <w:r>
              <w:rPr>
                <w:rFonts w:ascii="宋体" w:hAnsi="宋体" w:eastAsia="宋体"/>
                <w:sz w:val="16"/>
              </w:rPr>
              <w:t>一是坚持以习近平新时代中国特色社会主义思想为指导，深入学习</w:t>
            </w:r>
            <w:r>
              <w:rPr>
                <w:rFonts w:hint="eastAsia" w:ascii="宋体" w:hAnsi="宋体"/>
                <w:sz w:val="16"/>
                <w:lang w:eastAsia="zh-CN"/>
              </w:rPr>
              <w:t>贯彻党的二十大</w:t>
            </w:r>
            <w:r>
              <w:rPr>
                <w:rFonts w:ascii="宋体" w:hAnsi="宋体" w:eastAsia="宋体"/>
                <w:sz w:val="16"/>
              </w:rPr>
              <w:t>精神，积极践行新时代统计人初心使命。二是严格落实党风廉政建设“一岗双责”要求，加强统计行风建设，坚持依法统计，杜绝统计造假弄虚作假行为。不断强化统计服务意识，提升统计服务水平。三是持续推进统计队伍建设。坚持党建与业务工作深度融合，进一步强化干部队伍作风建设，增强服务意识，提升业务工作能力水平，为抓好各项工作打下坚实基础。</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F060D">
            <w:pPr>
              <w:jc w:val="both"/>
            </w:pPr>
            <w:r>
              <w:rPr>
                <w:rFonts w:ascii="宋体" w:hAnsi="宋体" w:eastAsia="宋体"/>
                <w:sz w:val="16"/>
              </w:rPr>
              <w:t>一是坚持以习近平新时代中国特色社会主义思想为指导，深入学习</w:t>
            </w:r>
            <w:r>
              <w:rPr>
                <w:rFonts w:hint="eastAsia" w:ascii="宋体" w:hAnsi="宋体"/>
                <w:sz w:val="16"/>
                <w:lang w:eastAsia="zh-CN"/>
              </w:rPr>
              <w:t>贯彻党的二十大</w:t>
            </w:r>
            <w:r>
              <w:rPr>
                <w:rFonts w:ascii="宋体" w:hAnsi="宋体" w:eastAsia="宋体"/>
                <w:sz w:val="16"/>
              </w:rPr>
              <w:t>精神，积极践行新时代统计人初心使命。二是严格落实党风廉政建设“一岗双责”要求，加强统计行风建设，坚持依法统计，杜绝统计造假弄虚作假行为。不断强化统计服务意识，提升统计服务水平。三是持续推进统计队伍建设。坚持党建与业务工作深度融合，进一步强化干部队伍作风建设，增强服务意识，提升业务工作能力水平，为抓好各项工作打下坚实基础。2024年具体完成的重要工作有：完成了12篇《塔县经济运行情况分析报告》撰写 ，完成了4次“统计法进党校”集中辅导培训，完成了2024年第五次全国经济普查工作，开展了4次乡镇统计人员业务培训活动，完成了100户样本调查户问卷入户填报工作。</w:t>
            </w:r>
          </w:p>
        </w:tc>
      </w:tr>
      <w:tr w14:paraId="3C8DF2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1B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1E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376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517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BFC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52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60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B46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9262">
            <w:pPr>
              <w:jc w:val="center"/>
            </w:pPr>
            <w:r>
              <w:rPr>
                <w:rFonts w:ascii="宋体" w:hAnsi="宋体" w:eastAsia="宋体"/>
                <w:sz w:val="16"/>
              </w:rPr>
              <w:t>得分</w:t>
            </w:r>
          </w:p>
        </w:tc>
      </w:tr>
      <w:tr w14:paraId="40E575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511D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FF1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D1B3">
            <w:pPr>
              <w:jc w:val="center"/>
            </w:pPr>
            <w:r>
              <w:rPr>
                <w:rFonts w:ascii="宋体" w:hAnsi="宋体" w:eastAsia="宋体"/>
                <w:sz w:val="16"/>
              </w:rPr>
              <w:t>撰写《塔县经济运行情况分析报告》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C3D7">
            <w:pPr>
              <w:jc w:val="center"/>
            </w:pPr>
            <w:r>
              <w:rPr>
                <w:rFonts w:ascii="宋体" w:hAnsi="宋体" w:eastAsia="宋体"/>
                <w:sz w:val="16"/>
              </w:rPr>
              <w:t>&gt;=12篇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6FF6">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912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0599">
            <w:pPr>
              <w:jc w:val="center"/>
            </w:pPr>
            <w:r>
              <w:rPr>
                <w:rFonts w:ascii="宋体" w:hAnsi="宋体" w:eastAsia="宋体"/>
                <w:sz w:val="16"/>
              </w:rPr>
              <w:t>12篇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A79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4B0A9">
            <w:pPr>
              <w:jc w:val="center"/>
            </w:pPr>
            <w:r>
              <w:rPr>
                <w:rFonts w:ascii="宋体" w:hAnsi="宋体" w:eastAsia="宋体"/>
                <w:sz w:val="16"/>
              </w:rPr>
              <w:t>20</w:t>
            </w:r>
          </w:p>
        </w:tc>
      </w:tr>
      <w:tr w14:paraId="56A79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CA7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A7D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BF4C">
            <w:pPr>
              <w:jc w:val="center"/>
            </w:pPr>
            <w:r>
              <w:rPr>
                <w:rFonts w:ascii="宋体" w:hAnsi="宋体" w:eastAsia="宋体"/>
                <w:sz w:val="16"/>
              </w:rPr>
              <w:t>“统计法进党校”集中辅导培训次数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8CE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66F1A">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1B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AF2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E4C6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F6347">
            <w:pPr>
              <w:jc w:val="center"/>
            </w:pPr>
            <w:r>
              <w:rPr>
                <w:rFonts w:ascii="宋体" w:hAnsi="宋体" w:eastAsia="宋体"/>
                <w:sz w:val="16"/>
              </w:rPr>
              <w:t>20</w:t>
            </w:r>
          </w:p>
        </w:tc>
      </w:tr>
      <w:tr w14:paraId="3E9207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A8B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546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F16F">
            <w:pPr>
              <w:jc w:val="center"/>
            </w:pPr>
            <w:r>
              <w:rPr>
                <w:rFonts w:ascii="宋体" w:hAnsi="宋体" w:eastAsia="宋体"/>
                <w:sz w:val="16"/>
              </w:rPr>
              <w:t>开展2024年第五次全国经济普查工作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756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FA9D">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D7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FC1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BBC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9E1CC">
            <w:pPr>
              <w:jc w:val="center"/>
            </w:pPr>
            <w:r>
              <w:rPr>
                <w:rFonts w:ascii="宋体" w:hAnsi="宋体" w:eastAsia="宋体"/>
                <w:sz w:val="16"/>
              </w:rPr>
              <w:t>20</w:t>
            </w:r>
          </w:p>
        </w:tc>
      </w:tr>
      <w:tr w14:paraId="04DFE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F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D7D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659AD">
            <w:pPr>
              <w:jc w:val="center"/>
            </w:pPr>
            <w:r>
              <w:rPr>
                <w:rFonts w:ascii="宋体" w:hAnsi="宋体" w:eastAsia="宋体"/>
                <w:sz w:val="16"/>
              </w:rPr>
              <w:t>举办乡镇统计人员业务培训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CB4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76FC">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3A3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9BA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E71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6E8FD">
            <w:pPr>
              <w:jc w:val="center"/>
            </w:pPr>
            <w:r>
              <w:rPr>
                <w:rFonts w:ascii="宋体" w:hAnsi="宋体" w:eastAsia="宋体"/>
                <w:sz w:val="16"/>
              </w:rPr>
              <w:t>20</w:t>
            </w:r>
          </w:p>
        </w:tc>
      </w:tr>
      <w:tr w14:paraId="3ED2E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933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0D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81D2">
            <w:pPr>
              <w:jc w:val="center"/>
            </w:pPr>
            <w:r>
              <w:rPr>
                <w:rFonts w:ascii="宋体" w:hAnsi="宋体" w:eastAsia="宋体"/>
                <w:sz w:val="16"/>
              </w:rPr>
              <w:t>样本调查户问卷入户填报数量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2AB97">
            <w:pPr>
              <w:jc w:val="center"/>
            </w:pPr>
            <w:r>
              <w:rPr>
                <w:rFonts w:ascii="宋体" w:hAnsi="宋体" w:eastAsia="宋体"/>
                <w:sz w:val="16"/>
              </w:rPr>
              <w:t>&gt;=100户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4E8D">
            <w:pPr>
              <w:jc w:val="center"/>
            </w:pPr>
            <w:r>
              <w:rPr>
                <w:rFonts w:ascii="宋体" w:hAnsi="宋体" w:eastAsia="宋体"/>
                <w:sz w:val="16"/>
              </w:rPr>
              <w:t>统计局2024年工作计划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AE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F76E">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4B7F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FC05">
            <w:pPr>
              <w:jc w:val="center"/>
            </w:pPr>
            <w:r>
              <w:rPr>
                <w:rFonts w:ascii="宋体" w:hAnsi="宋体" w:eastAsia="宋体"/>
                <w:sz w:val="16"/>
              </w:rPr>
              <w:t>10</w:t>
            </w:r>
          </w:p>
        </w:tc>
      </w:tr>
    </w:tbl>
    <w:p w14:paraId="4F70E5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AC9AA6">
        <w:tblPrEx>
          <w:tblCellMar>
            <w:top w:w="0" w:type="dxa"/>
            <w:left w:w="108" w:type="dxa"/>
            <w:bottom w:w="0" w:type="dxa"/>
            <w:right w:w="108" w:type="dxa"/>
          </w:tblCellMar>
        </w:tblPrEx>
        <w:tc>
          <w:tcPr>
            <w:tcW w:w="8848" w:type="dxa"/>
            <w:gridSpan w:val="14"/>
            <w:vAlign w:val="center"/>
          </w:tcPr>
          <w:p w14:paraId="2C3D7ACF">
            <w:pPr>
              <w:jc w:val="center"/>
            </w:pPr>
            <w:r>
              <w:rPr>
                <w:rFonts w:ascii="宋体" w:hAnsi="宋体" w:eastAsia="宋体"/>
                <w:sz w:val="24"/>
              </w:rPr>
              <w:t>项目支出绩效自评表</w:t>
            </w:r>
          </w:p>
        </w:tc>
      </w:tr>
      <w:tr w14:paraId="67A763E8">
        <w:tblPrEx>
          <w:tblCellMar>
            <w:top w:w="0" w:type="dxa"/>
            <w:left w:w="108" w:type="dxa"/>
            <w:bottom w:w="0" w:type="dxa"/>
            <w:right w:w="108" w:type="dxa"/>
          </w:tblCellMar>
        </w:tblPrEx>
        <w:tc>
          <w:tcPr>
            <w:tcW w:w="8848" w:type="dxa"/>
            <w:gridSpan w:val="14"/>
            <w:vAlign w:val="center"/>
          </w:tcPr>
          <w:p w14:paraId="4294901A">
            <w:pPr>
              <w:jc w:val="center"/>
            </w:pPr>
            <w:r>
              <w:rPr>
                <w:rFonts w:ascii="宋体" w:hAnsi="宋体" w:eastAsia="宋体"/>
                <w:sz w:val="24"/>
              </w:rPr>
              <w:t>(2024年度)</w:t>
            </w:r>
          </w:p>
        </w:tc>
      </w:tr>
      <w:tr w14:paraId="2A290F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2A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BA4D9A">
            <w:pPr>
              <w:jc w:val="center"/>
            </w:pPr>
            <w:r>
              <w:rPr>
                <w:rFonts w:ascii="宋体" w:hAnsi="宋体" w:eastAsia="宋体"/>
                <w:sz w:val="16"/>
              </w:rPr>
              <w:t>2024年为民办实事工作经费</w:t>
            </w:r>
          </w:p>
        </w:tc>
      </w:tr>
      <w:tr w14:paraId="54581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D4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EBD91">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41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4F56A">
            <w:pPr>
              <w:jc w:val="center"/>
            </w:pPr>
            <w:r>
              <w:rPr>
                <w:rFonts w:ascii="宋体" w:hAnsi="宋体" w:eastAsia="宋体"/>
                <w:sz w:val="16"/>
              </w:rPr>
              <w:t>塔什库尔干塔吉克自治县统计局</w:t>
            </w:r>
          </w:p>
        </w:tc>
      </w:tr>
      <w:tr w14:paraId="50ED6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798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AA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4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8F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EC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29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01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80BD">
            <w:pPr>
              <w:jc w:val="center"/>
            </w:pPr>
            <w:r>
              <w:rPr>
                <w:rFonts w:ascii="宋体" w:hAnsi="宋体" w:eastAsia="宋体"/>
                <w:sz w:val="16"/>
              </w:rPr>
              <w:t>得分</w:t>
            </w:r>
          </w:p>
        </w:tc>
      </w:tr>
      <w:tr w14:paraId="682764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CFA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C85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0560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144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C06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8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C8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3D86">
            <w:pPr>
              <w:jc w:val="center"/>
            </w:pPr>
            <w:r>
              <w:rPr>
                <w:rFonts w:ascii="宋体" w:hAnsi="宋体" w:eastAsia="宋体"/>
                <w:sz w:val="16"/>
              </w:rPr>
              <w:t>10.00分</w:t>
            </w:r>
          </w:p>
        </w:tc>
      </w:tr>
      <w:tr w14:paraId="648CA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8B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99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C795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C92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E42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62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F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F0D0">
            <w:pPr>
              <w:jc w:val="center"/>
            </w:pPr>
            <w:r>
              <w:rPr>
                <w:rFonts w:ascii="宋体" w:hAnsi="宋体" w:eastAsia="宋体"/>
                <w:sz w:val="16"/>
              </w:rPr>
              <w:t>—</w:t>
            </w:r>
          </w:p>
        </w:tc>
      </w:tr>
      <w:tr w14:paraId="12BD4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63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F3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52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E2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E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7F6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9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01D1">
            <w:pPr>
              <w:jc w:val="center"/>
            </w:pPr>
            <w:r>
              <w:rPr>
                <w:rFonts w:ascii="宋体" w:hAnsi="宋体" w:eastAsia="宋体"/>
                <w:sz w:val="16"/>
              </w:rPr>
              <w:t>—</w:t>
            </w:r>
          </w:p>
        </w:tc>
      </w:tr>
      <w:tr w14:paraId="70993E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A4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8ED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ACDB2">
            <w:pPr>
              <w:jc w:val="center"/>
            </w:pPr>
            <w:r>
              <w:rPr>
                <w:rFonts w:ascii="宋体" w:hAnsi="宋体" w:eastAsia="宋体"/>
                <w:sz w:val="16"/>
              </w:rPr>
              <w:t>实际完成情况</w:t>
            </w:r>
          </w:p>
        </w:tc>
      </w:tr>
      <w:tr w14:paraId="7F8E0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A25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74CC4">
            <w:pPr>
              <w:jc w:val="both"/>
            </w:pPr>
            <w:r>
              <w:rPr>
                <w:rFonts w:ascii="宋体" w:hAnsi="宋体" w:eastAsia="宋体"/>
                <w:sz w:val="16"/>
              </w:rPr>
              <w:t>为抓好2024年为民办实事经费落实，切实解决群众反映集中的重点，难点，焦点问题增进民生福祉，不断满足人民群众对美好生活的新期待，心向往，使群众获得</w:t>
            </w:r>
            <w:r>
              <w:rPr>
                <w:rFonts w:hint="eastAsia" w:ascii="宋体" w:hAnsi="宋体"/>
                <w:sz w:val="16"/>
                <w:lang w:eastAsia="zh-CN"/>
              </w:rPr>
              <w:t>感</w:t>
            </w:r>
            <w:r>
              <w:rPr>
                <w:rFonts w:ascii="宋体" w:hAnsi="宋体" w:eastAsia="宋体"/>
                <w:sz w:val="16"/>
              </w:rPr>
              <w:t>，幸福感，安全感</w:t>
            </w:r>
            <w:r>
              <w:rPr>
                <w:rFonts w:hint="eastAsia" w:ascii="宋体" w:hAnsi="宋体"/>
                <w:sz w:val="16"/>
                <w:lang w:eastAsia="zh-CN"/>
              </w:rPr>
              <w:t>等</w:t>
            </w:r>
            <w:r>
              <w:rPr>
                <w:rFonts w:ascii="宋体" w:hAnsi="宋体" w:eastAsia="宋体"/>
                <w:sz w:val="16"/>
              </w:rPr>
              <w:t>充实，更有保障，更可持续。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23276">
            <w:pPr>
              <w:jc w:val="both"/>
            </w:pPr>
            <w:r>
              <w:rPr>
                <w:rFonts w:ascii="宋体" w:hAnsi="宋体" w:eastAsia="宋体"/>
                <w:sz w:val="16"/>
              </w:rPr>
              <w:t>项目实际支出7万元，主要用于支付塔什库尔干塔吉克自治县统计局包联的瓦恰乡库尕丹村的</w:t>
            </w:r>
            <w:r>
              <w:rPr>
                <w:rFonts w:hint="eastAsia" w:ascii="宋体" w:hAnsi="宋体"/>
                <w:sz w:val="16"/>
                <w:lang w:eastAsia="zh-CN"/>
              </w:rPr>
              <w:t>为民办实事</w:t>
            </w:r>
            <w:r>
              <w:rPr>
                <w:rFonts w:ascii="宋体" w:hAnsi="宋体" w:eastAsia="宋体"/>
                <w:sz w:val="16"/>
              </w:rPr>
              <w:t>工作队的为民办实事费用，其中；节日慰问困难群众经费1.25万元，更新村“两委”办公设施经费2.50万元，村级组织工作经费1.25万元，采购铁丝围栏2万元。完成了为民办实事7次，经费保障率达100%，资金及时拨付率达100%，项目的实施切实解决了群众反映集中的重点、难点、焦点问题，</w:t>
            </w:r>
            <w:r>
              <w:rPr>
                <w:rFonts w:hint="eastAsia" w:ascii="宋体" w:hAnsi="宋体"/>
                <w:sz w:val="16"/>
                <w:lang w:eastAsia="zh-CN"/>
              </w:rPr>
              <w:t>增进民生福祉</w:t>
            </w:r>
            <w:r>
              <w:rPr>
                <w:rFonts w:ascii="宋体" w:hAnsi="宋体" w:eastAsia="宋体"/>
                <w:sz w:val="16"/>
              </w:rPr>
              <w:t>，不断满足了人民群众对美好生活的新期待，新向往，提高了群众获得感、幸福感、安全感，使服务对象满意度达到了100%。</w:t>
            </w:r>
          </w:p>
        </w:tc>
      </w:tr>
      <w:tr w14:paraId="73546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245F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24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FA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5F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E3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87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E0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BC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CF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13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2B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DD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B77D">
            <w:pPr>
              <w:jc w:val="center"/>
            </w:pPr>
            <w:r>
              <w:rPr>
                <w:rFonts w:ascii="宋体" w:hAnsi="宋体" w:eastAsia="宋体"/>
                <w:sz w:val="16"/>
              </w:rPr>
              <w:t>偏差原因分析及改进措施</w:t>
            </w:r>
          </w:p>
        </w:tc>
      </w:tr>
      <w:tr w14:paraId="48D07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4CA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33D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A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944F">
            <w:pPr>
              <w:jc w:val="center"/>
            </w:pPr>
            <w:r>
              <w:rPr>
                <w:rFonts w:ascii="宋体" w:hAnsi="宋体" w:eastAsia="宋体"/>
                <w:sz w:val="16"/>
              </w:rPr>
              <w:t>保障经费数量（个）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363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A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9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B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72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D3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565C">
            <w:pPr>
              <w:jc w:val="center"/>
            </w:pPr>
          </w:p>
        </w:tc>
      </w:tr>
      <w:tr w14:paraId="6CDCC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C4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75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B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EF87">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3BBD">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7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E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8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D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7D5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FF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C616">
            <w:pPr>
              <w:jc w:val="center"/>
            </w:pPr>
          </w:p>
        </w:tc>
      </w:tr>
      <w:tr w14:paraId="4F068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6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C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50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A75C">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8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2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4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3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B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2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7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D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F2842">
            <w:pPr>
              <w:jc w:val="center"/>
            </w:pPr>
          </w:p>
        </w:tc>
      </w:tr>
      <w:tr w14:paraId="544C3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E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0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8A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505F">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2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0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D4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9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7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1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8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3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3F3B">
            <w:pPr>
              <w:jc w:val="center"/>
            </w:pPr>
          </w:p>
        </w:tc>
      </w:tr>
      <w:tr w14:paraId="57B9F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DB8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2B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CC0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6A06">
            <w:pPr>
              <w:jc w:val="center"/>
            </w:pPr>
            <w:r>
              <w:rPr>
                <w:rFonts w:ascii="宋体" w:hAnsi="宋体" w:eastAsia="宋体"/>
                <w:sz w:val="16"/>
              </w:rPr>
              <w:t>节日慰问困难群众经费（万元）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ABB9">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3C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1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B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B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8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EF8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5C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72AA">
            <w:pPr>
              <w:jc w:val="center"/>
            </w:pPr>
          </w:p>
        </w:tc>
      </w:tr>
      <w:tr w14:paraId="270DF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2B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E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D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5542">
            <w:pPr>
              <w:jc w:val="center"/>
            </w:pPr>
            <w:r>
              <w:rPr>
                <w:rFonts w:ascii="宋体" w:hAnsi="宋体" w:eastAsia="宋体"/>
                <w:sz w:val="16"/>
              </w:rPr>
              <w:t>更新村“两委”办公设施经费（万元）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B56B">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E1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8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8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6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71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743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C7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2CF0">
            <w:pPr>
              <w:jc w:val="center"/>
            </w:pPr>
          </w:p>
        </w:tc>
      </w:tr>
      <w:tr w14:paraId="30C2C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B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F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E0CE">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4362">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90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B4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CE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7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807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C3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DBD0">
            <w:pPr>
              <w:jc w:val="center"/>
            </w:pPr>
          </w:p>
        </w:tc>
      </w:tr>
      <w:tr w14:paraId="2EA6C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89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C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9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26B">
            <w:pPr>
              <w:jc w:val="center"/>
            </w:pPr>
            <w:r>
              <w:rPr>
                <w:rFonts w:ascii="宋体" w:hAnsi="宋体" w:eastAsia="宋体"/>
                <w:sz w:val="16"/>
              </w:rPr>
              <w:t>采购铁丝围栏（万元）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537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9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7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B2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6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6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131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1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0915">
            <w:pPr>
              <w:jc w:val="center"/>
            </w:pPr>
          </w:p>
        </w:tc>
      </w:tr>
      <w:tr w14:paraId="382EF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50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D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07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2EBD">
            <w:pPr>
              <w:jc w:val="center"/>
            </w:pPr>
            <w:r>
              <w:rPr>
                <w:rFonts w:ascii="宋体" w:hAnsi="宋体" w:eastAsia="宋体"/>
                <w:sz w:val="16"/>
              </w:rPr>
              <w:t>有效提高为民办实事工作积极性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3E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C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DF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A9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A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C7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39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5972">
            <w:pPr>
              <w:jc w:val="center"/>
            </w:pPr>
          </w:p>
        </w:tc>
      </w:tr>
      <w:tr w14:paraId="267A3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50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6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54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368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6B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D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6C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2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94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5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B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7AA8">
            <w:pPr>
              <w:jc w:val="center"/>
            </w:pPr>
            <w:r>
              <w:rPr>
                <w:rFonts w:ascii="宋体" w:hAnsi="宋体" w:eastAsia="宋体"/>
                <w:sz w:val="16"/>
              </w:rPr>
              <w:t>偏差原因分析：项目实施情况较好，服务对象满意度高于预期导致出现正偏差，改进措施：基于当前良好表现，重新审视绩效目标，在以后绩效目标设置时设置更具挑战性的目标，以推动业务持续发展。</w:t>
            </w:r>
          </w:p>
        </w:tc>
      </w:tr>
      <w:tr w14:paraId="4AB21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4D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84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C5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EFF14">
            <w:pPr>
              <w:jc w:val="center"/>
            </w:pPr>
            <w:r>
              <w:rPr>
                <w:rFonts w:ascii="宋体" w:hAnsi="宋体" w:eastAsia="宋体"/>
                <w:sz w:val="16"/>
              </w:rPr>
              <w:t>100分</w:t>
            </w:r>
          </w:p>
        </w:tc>
      </w:tr>
    </w:tbl>
    <w:p w14:paraId="64949C30">
      <w:r>
        <w:br w:type="page"/>
      </w:r>
    </w:p>
    <w:tbl>
      <w:tblPr>
        <w:tblStyle w:val="9"/>
        <w:tblW w:w="0" w:type="auto"/>
        <w:tblInd w:w="0" w:type="dxa"/>
        <w:tblLayout w:type="autofit"/>
        <w:tblCellMar>
          <w:top w:w="0" w:type="dxa"/>
          <w:left w:w="108" w:type="dxa"/>
          <w:bottom w:w="0" w:type="dxa"/>
          <w:right w:w="108" w:type="dxa"/>
        </w:tblCellMar>
      </w:tblPr>
      <w:tblGrid>
        <w:gridCol w:w="629"/>
        <w:gridCol w:w="627"/>
        <w:gridCol w:w="627"/>
        <w:gridCol w:w="696"/>
        <w:gridCol w:w="696"/>
        <w:gridCol w:w="627"/>
        <w:gridCol w:w="696"/>
        <w:gridCol w:w="627"/>
        <w:gridCol w:w="627"/>
        <w:gridCol w:w="627"/>
        <w:gridCol w:w="696"/>
        <w:gridCol w:w="632"/>
        <w:gridCol w:w="621"/>
        <w:gridCol w:w="632"/>
      </w:tblGrid>
      <w:tr w14:paraId="18BC11A1">
        <w:tblPrEx>
          <w:tblCellMar>
            <w:top w:w="0" w:type="dxa"/>
            <w:left w:w="108" w:type="dxa"/>
            <w:bottom w:w="0" w:type="dxa"/>
            <w:right w:w="108" w:type="dxa"/>
          </w:tblCellMar>
        </w:tblPrEx>
        <w:tc>
          <w:tcPr>
            <w:tcW w:w="8848" w:type="dxa"/>
            <w:gridSpan w:val="14"/>
            <w:vAlign w:val="center"/>
          </w:tcPr>
          <w:p w14:paraId="01D67E31">
            <w:pPr>
              <w:jc w:val="center"/>
            </w:pPr>
            <w:r>
              <w:rPr>
                <w:rFonts w:ascii="宋体" w:hAnsi="宋体" w:eastAsia="宋体"/>
                <w:sz w:val="24"/>
              </w:rPr>
              <w:t>项目支出绩效自评表</w:t>
            </w:r>
          </w:p>
        </w:tc>
      </w:tr>
      <w:tr w14:paraId="2076CD48">
        <w:tblPrEx>
          <w:tblCellMar>
            <w:top w:w="0" w:type="dxa"/>
            <w:left w:w="108" w:type="dxa"/>
            <w:bottom w:w="0" w:type="dxa"/>
            <w:right w:w="108" w:type="dxa"/>
          </w:tblCellMar>
        </w:tblPrEx>
        <w:tc>
          <w:tcPr>
            <w:tcW w:w="8848" w:type="dxa"/>
            <w:gridSpan w:val="14"/>
            <w:vAlign w:val="center"/>
          </w:tcPr>
          <w:p w14:paraId="7216BA15">
            <w:pPr>
              <w:jc w:val="center"/>
            </w:pPr>
            <w:r>
              <w:rPr>
                <w:rFonts w:ascii="宋体" w:hAnsi="宋体" w:eastAsia="宋体"/>
                <w:sz w:val="24"/>
              </w:rPr>
              <w:t>(2024年度)</w:t>
            </w:r>
          </w:p>
        </w:tc>
      </w:tr>
      <w:tr w14:paraId="7B5CA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11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F6A1C">
            <w:pPr>
              <w:jc w:val="center"/>
            </w:pPr>
            <w:r>
              <w:rPr>
                <w:rFonts w:ascii="宋体" w:hAnsi="宋体" w:eastAsia="宋体"/>
                <w:sz w:val="16"/>
              </w:rPr>
              <w:t>2024年人口抽样调查经费</w:t>
            </w:r>
          </w:p>
        </w:tc>
      </w:tr>
      <w:tr w14:paraId="29F7F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05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614F7">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0D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74A1A">
            <w:pPr>
              <w:jc w:val="center"/>
            </w:pPr>
            <w:r>
              <w:rPr>
                <w:rFonts w:ascii="宋体" w:hAnsi="宋体" w:eastAsia="宋体"/>
                <w:sz w:val="16"/>
              </w:rPr>
              <w:t>塔什库尔干塔吉克自治县统计局</w:t>
            </w:r>
          </w:p>
        </w:tc>
      </w:tr>
      <w:tr w14:paraId="405EB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51C2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560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7D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29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76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15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0D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5976">
            <w:pPr>
              <w:jc w:val="center"/>
            </w:pPr>
            <w:r>
              <w:rPr>
                <w:rFonts w:ascii="宋体" w:hAnsi="宋体" w:eastAsia="宋体"/>
                <w:sz w:val="16"/>
              </w:rPr>
              <w:t>得分</w:t>
            </w:r>
          </w:p>
        </w:tc>
      </w:tr>
      <w:tr w14:paraId="382941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342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93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B5E0">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B4F5">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AFC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C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4E8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BDC1">
            <w:pPr>
              <w:jc w:val="center"/>
            </w:pPr>
            <w:r>
              <w:rPr>
                <w:rFonts w:ascii="宋体" w:hAnsi="宋体" w:eastAsia="宋体"/>
                <w:sz w:val="16"/>
              </w:rPr>
              <w:t>10.00分</w:t>
            </w:r>
          </w:p>
        </w:tc>
      </w:tr>
      <w:tr w14:paraId="3AABB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AB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9C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662C8">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32F4">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1162">
            <w:pPr>
              <w:jc w:val="center"/>
            </w:pPr>
            <w:r>
              <w:rPr>
                <w:rFonts w:ascii="宋体" w:hAnsi="宋体" w:eastAsia="宋体"/>
                <w:sz w:val="16"/>
              </w:rPr>
              <w:t>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AD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CC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FAE5">
            <w:pPr>
              <w:jc w:val="center"/>
            </w:pPr>
            <w:r>
              <w:rPr>
                <w:rFonts w:ascii="宋体" w:hAnsi="宋体" w:eastAsia="宋体"/>
                <w:sz w:val="16"/>
              </w:rPr>
              <w:t>—</w:t>
            </w:r>
          </w:p>
        </w:tc>
      </w:tr>
      <w:tr w14:paraId="08116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D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26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F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72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E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36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FF7D">
            <w:pPr>
              <w:jc w:val="center"/>
            </w:pPr>
            <w:r>
              <w:rPr>
                <w:rFonts w:ascii="宋体" w:hAnsi="宋体" w:eastAsia="宋体"/>
                <w:sz w:val="16"/>
              </w:rPr>
              <w:t>—</w:t>
            </w:r>
          </w:p>
        </w:tc>
      </w:tr>
      <w:tr w14:paraId="291D6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B98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97B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1568D">
            <w:pPr>
              <w:jc w:val="center"/>
            </w:pPr>
            <w:r>
              <w:rPr>
                <w:rFonts w:ascii="宋体" w:hAnsi="宋体" w:eastAsia="宋体"/>
                <w:sz w:val="16"/>
              </w:rPr>
              <w:t>实际完成情况</w:t>
            </w:r>
          </w:p>
        </w:tc>
      </w:tr>
      <w:tr w14:paraId="347B9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09A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5A3A4">
            <w:pPr>
              <w:jc w:val="both"/>
            </w:pPr>
            <w:r>
              <w:rPr>
                <w:rFonts w:ascii="宋体" w:hAnsi="宋体" w:eastAsia="宋体"/>
                <w:sz w:val="16"/>
              </w:rPr>
              <w:t>为深入贯彻自治区，政府关于促进人口长期均衡发展和加强人口监测的决策部署，进一步加强和改进人口统计调查工作，更加准确，及时</w:t>
            </w:r>
            <w:r>
              <w:rPr>
                <w:rFonts w:hint="eastAsia" w:ascii="宋体" w:hAnsi="宋体"/>
                <w:sz w:val="16"/>
                <w:lang w:eastAsia="zh-CN"/>
              </w:rPr>
              <w:t>地</w:t>
            </w:r>
            <w:r>
              <w:rPr>
                <w:rFonts w:ascii="宋体" w:hAnsi="宋体" w:eastAsia="宋体"/>
                <w:sz w:val="16"/>
              </w:rPr>
              <w:t>掌握人口发展变化情况，服务好我区经济社会高质量发展。该项目资金用于参加2个村镇人口抽样调查的4名人口抽样调查员的调查补助发放。通过该项目的实施有效了解人口情况，及时</w:t>
            </w:r>
            <w:r>
              <w:rPr>
                <w:rFonts w:hint="eastAsia" w:ascii="宋体" w:hAnsi="宋体"/>
                <w:sz w:val="16"/>
                <w:lang w:eastAsia="zh-CN"/>
              </w:rPr>
              <w:t>地</w:t>
            </w:r>
            <w:r>
              <w:rPr>
                <w:rFonts w:ascii="宋体" w:hAnsi="宋体" w:eastAsia="宋体"/>
                <w:sz w:val="16"/>
              </w:rPr>
              <w:t>掌握人口发展变化情况。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78190">
            <w:pPr>
              <w:jc w:val="both"/>
            </w:pPr>
            <w:r>
              <w:rPr>
                <w:rFonts w:hint="eastAsia" w:ascii="宋体" w:hAnsi="宋体"/>
                <w:sz w:val="16"/>
                <w:lang w:eastAsia="zh-CN"/>
              </w:rPr>
              <w:t>截至</w:t>
            </w:r>
            <w:r>
              <w:rPr>
                <w:rFonts w:ascii="宋体" w:hAnsi="宋体" w:eastAsia="宋体"/>
                <w:sz w:val="16"/>
              </w:rPr>
              <w:t>2024年12月31日，该项目已实际支出0.64万元，用于对参与2个乡镇人口抽样调查的4名调查员发放补助，标准为1600元/人。资金使用合规率达100%，资金拨付及时率达100%，通过该项目的实施，为调查员提供了一定的经济支持，减轻了他们在服务期间的生活负担。使调查员能够全身心地投入到人口抽样调查工作中，不必过度担忧生活费用的问题。进一步提高了人口抽样调查的效率和数据的准确性，从而可以更好</w:t>
            </w:r>
            <w:r>
              <w:rPr>
                <w:rFonts w:hint="eastAsia" w:ascii="宋体" w:hAnsi="宋体"/>
                <w:sz w:val="16"/>
                <w:lang w:eastAsia="zh-CN"/>
              </w:rPr>
              <w:t>地</w:t>
            </w:r>
            <w:r>
              <w:rPr>
                <w:rFonts w:ascii="宋体" w:hAnsi="宋体" w:eastAsia="宋体"/>
                <w:sz w:val="16"/>
              </w:rPr>
              <w:t>掌握人口发展变化情况，服务好我县经济社会高质量发展，使调查人员满意达到了100%。</w:t>
            </w:r>
          </w:p>
        </w:tc>
      </w:tr>
      <w:tr w14:paraId="2E0CC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7A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11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1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A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95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E1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06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26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DE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A5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81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C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CABD">
            <w:pPr>
              <w:jc w:val="center"/>
            </w:pPr>
            <w:r>
              <w:rPr>
                <w:rFonts w:ascii="宋体" w:hAnsi="宋体" w:eastAsia="宋体"/>
                <w:sz w:val="16"/>
              </w:rPr>
              <w:t>偏差原因分析及改进措施</w:t>
            </w:r>
          </w:p>
        </w:tc>
      </w:tr>
      <w:tr w14:paraId="4357C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98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B9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08D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326">
            <w:pPr>
              <w:jc w:val="center"/>
            </w:pPr>
            <w:r>
              <w:rPr>
                <w:rFonts w:ascii="宋体" w:hAnsi="宋体" w:eastAsia="宋体"/>
                <w:sz w:val="16"/>
              </w:rPr>
              <w:t>保障参加调查人员数量（人）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543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B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59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5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A8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6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A08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B5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2850">
            <w:pPr>
              <w:jc w:val="center"/>
            </w:pPr>
          </w:p>
        </w:tc>
      </w:tr>
      <w:tr w14:paraId="214C8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9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81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B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9807">
            <w:pPr>
              <w:jc w:val="center"/>
            </w:pPr>
            <w:r>
              <w:rPr>
                <w:rFonts w:ascii="宋体" w:hAnsi="宋体" w:eastAsia="宋体"/>
                <w:sz w:val="16"/>
              </w:rPr>
              <w:t>调查抽样乡镇数量（个）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AE39">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9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569D">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D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3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0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7C72">
            <w:pPr>
              <w:jc w:val="center"/>
            </w:pPr>
            <w:r>
              <w:rPr>
                <w:rFonts w:ascii="宋体" w:hAnsi="宋体" w:eastAsia="宋体"/>
                <w:sz w:val="16"/>
              </w:rPr>
              <w:t>=2乡（镇）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6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3BA8">
            <w:pPr>
              <w:jc w:val="center"/>
            </w:pPr>
          </w:p>
        </w:tc>
      </w:tr>
      <w:tr w14:paraId="3E5F6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16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8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1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E2E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C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B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C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3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5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C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6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8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F6FB">
            <w:pPr>
              <w:jc w:val="center"/>
            </w:pPr>
          </w:p>
        </w:tc>
      </w:tr>
      <w:tr w14:paraId="7DAB2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A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AA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E4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588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F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0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7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C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3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B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7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61DB1">
            <w:pPr>
              <w:jc w:val="center"/>
            </w:pPr>
          </w:p>
        </w:tc>
      </w:tr>
      <w:tr w14:paraId="6B49F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B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0E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2C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9CE">
            <w:pPr>
              <w:jc w:val="center"/>
            </w:pPr>
            <w:r>
              <w:rPr>
                <w:rFonts w:ascii="宋体" w:hAnsi="宋体" w:eastAsia="宋体"/>
                <w:sz w:val="16"/>
              </w:rPr>
              <w:t>调查员补助标准（元/人）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074F">
            <w:pPr>
              <w:jc w:val="center"/>
            </w:pPr>
            <w:r>
              <w:rPr>
                <w:rFonts w:ascii="宋体" w:hAnsi="宋体" w:eastAsia="宋体"/>
                <w:sz w:val="16"/>
              </w:rPr>
              <w:t>&lt;=1600元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9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EB00">
            <w:pPr>
              <w:jc w:val="center"/>
            </w:pPr>
            <w:r>
              <w:rPr>
                <w:rFonts w:ascii="宋体" w:hAnsi="宋体" w:eastAsia="宋体"/>
                <w:sz w:val="16"/>
              </w:rPr>
              <w: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C0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3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F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9730">
            <w:pPr>
              <w:jc w:val="center"/>
            </w:pPr>
            <w:r>
              <w:rPr>
                <w:rFonts w:ascii="宋体" w:hAnsi="宋体" w:eastAsia="宋体"/>
                <w:sz w:val="16"/>
              </w:rPr>
              <w:t>=1600元/人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3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CC55">
            <w:pPr>
              <w:jc w:val="center"/>
            </w:pPr>
          </w:p>
        </w:tc>
      </w:tr>
      <w:tr w14:paraId="3E68F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2C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C5A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BCF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20A2">
            <w:pPr>
              <w:jc w:val="center"/>
            </w:pPr>
            <w:r>
              <w:rPr>
                <w:rFonts w:ascii="宋体" w:hAnsi="宋体" w:eastAsia="宋体"/>
                <w:sz w:val="16"/>
              </w:rPr>
              <w:t>有效提升了解人口情况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879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7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68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6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35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F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BC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F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CB22">
            <w:pPr>
              <w:jc w:val="center"/>
            </w:pPr>
          </w:p>
        </w:tc>
      </w:tr>
      <w:tr w14:paraId="0EDB0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D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E2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0F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4D6B">
            <w:pPr>
              <w:jc w:val="center"/>
            </w:pPr>
            <w:r>
              <w:rPr>
                <w:rFonts w:ascii="宋体" w:hAnsi="宋体" w:eastAsia="宋体"/>
                <w:sz w:val="16"/>
              </w:rPr>
              <w:t>及时</w:t>
            </w:r>
            <w:r>
              <w:rPr>
                <w:rFonts w:hint="eastAsia" w:ascii="宋体" w:hAnsi="宋体"/>
                <w:sz w:val="16"/>
                <w:lang w:eastAsia="zh-CN"/>
              </w:rPr>
              <w:t>地</w:t>
            </w:r>
            <w:r>
              <w:rPr>
                <w:rFonts w:ascii="宋体" w:hAnsi="宋体" w:eastAsia="宋体"/>
                <w:sz w:val="16"/>
              </w:rPr>
              <w:t>掌握人口发展变化情况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14D1">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1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E20">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7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66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6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44E3">
            <w:pPr>
              <w:jc w:val="center"/>
            </w:pPr>
            <w:r>
              <w:rPr>
                <w:rFonts w:ascii="宋体" w:hAnsi="宋体" w:eastAsia="宋体"/>
                <w:sz w:val="16"/>
              </w:rPr>
              <w:t>有效掌握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4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89B8">
            <w:pPr>
              <w:jc w:val="center"/>
            </w:pPr>
          </w:p>
        </w:tc>
      </w:tr>
      <w:tr w14:paraId="30604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3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D9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3A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3A8B">
            <w:pPr>
              <w:jc w:val="center"/>
            </w:pPr>
            <w:r>
              <w:rPr>
                <w:rFonts w:ascii="宋体" w:hAnsi="宋体" w:eastAsia="宋体"/>
                <w:sz w:val="16"/>
              </w:rPr>
              <w:t>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CB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A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EC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C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1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6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D4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3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CBCD">
            <w:pPr>
              <w:jc w:val="center"/>
            </w:pPr>
          </w:p>
        </w:tc>
      </w:tr>
      <w:tr w14:paraId="2519A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5C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A0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75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73FED">
            <w:pPr>
              <w:jc w:val="center"/>
            </w:pPr>
            <w:r>
              <w:rPr>
                <w:rFonts w:ascii="宋体" w:hAnsi="宋体" w:eastAsia="宋体"/>
                <w:sz w:val="16"/>
              </w:rPr>
              <w:t>100分</w:t>
            </w:r>
          </w:p>
        </w:tc>
      </w:tr>
    </w:tbl>
    <w:p w14:paraId="373C09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415"/>
        <w:gridCol w:w="217"/>
        <w:gridCol w:w="632"/>
        <w:gridCol w:w="632"/>
      </w:tblGrid>
      <w:tr w14:paraId="1247FAA3">
        <w:tblPrEx>
          <w:tblCellMar>
            <w:top w:w="0" w:type="dxa"/>
            <w:left w:w="108" w:type="dxa"/>
            <w:bottom w:w="0" w:type="dxa"/>
            <w:right w:w="108" w:type="dxa"/>
          </w:tblCellMar>
        </w:tblPrEx>
        <w:tc>
          <w:tcPr>
            <w:tcW w:w="8848" w:type="dxa"/>
            <w:gridSpan w:val="15"/>
            <w:vAlign w:val="center"/>
          </w:tcPr>
          <w:p w14:paraId="55512E18">
            <w:pPr>
              <w:jc w:val="center"/>
            </w:pPr>
            <w:r>
              <w:rPr>
                <w:rFonts w:ascii="宋体" w:hAnsi="宋体" w:eastAsia="宋体"/>
                <w:sz w:val="24"/>
              </w:rPr>
              <w:t>项目支出绩效自评表</w:t>
            </w:r>
          </w:p>
        </w:tc>
      </w:tr>
      <w:tr w14:paraId="7578075F">
        <w:tblPrEx>
          <w:tblCellMar>
            <w:top w:w="0" w:type="dxa"/>
            <w:left w:w="108" w:type="dxa"/>
            <w:bottom w:w="0" w:type="dxa"/>
            <w:right w:w="108" w:type="dxa"/>
          </w:tblCellMar>
        </w:tblPrEx>
        <w:tc>
          <w:tcPr>
            <w:tcW w:w="8848" w:type="dxa"/>
            <w:gridSpan w:val="15"/>
            <w:vAlign w:val="center"/>
          </w:tcPr>
          <w:p w14:paraId="4711DEA0">
            <w:pPr>
              <w:jc w:val="center"/>
            </w:pPr>
            <w:r>
              <w:rPr>
                <w:rFonts w:ascii="宋体" w:hAnsi="宋体" w:eastAsia="宋体"/>
                <w:sz w:val="24"/>
              </w:rPr>
              <w:t>(2024年度)</w:t>
            </w:r>
          </w:p>
        </w:tc>
      </w:tr>
      <w:tr w14:paraId="53E88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674D">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9CC549B">
            <w:pPr>
              <w:jc w:val="center"/>
            </w:pPr>
            <w:r>
              <w:rPr>
                <w:rFonts w:ascii="宋体" w:hAnsi="宋体" w:eastAsia="宋体"/>
                <w:sz w:val="16"/>
              </w:rPr>
              <w:t>城乡住户调查工作经费</w:t>
            </w:r>
          </w:p>
        </w:tc>
      </w:tr>
      <w:tr w14:paraId="36A3C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C1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6D2BF">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FE5A">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38279">
            <w:pPr>
              <w:jc w:val="center"/>
            </w:pPr>
            <w:r>
              <w:rPr>
                <w:rFonts w:ascii="宋体" w:hAnsi="宋体" w:eastAsia="宋体"/>
                <w:sz w:val="16"/>
              </w:rPr>
              <w:t>塔什库尔干塔吉克自治县统计局</w:t>
            </w:r>
          </w:p>
        </w:tc>
      </w:tr>
      <w:tr w14:paraId="2A1C2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770B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709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8E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4D2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DF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C897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530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B601">
            <w:pPr>
              <w:jc w:val="center"/>
            </w:pPr>
            <w:r>
              <w:rPr>
                <w:rFonts w:ascii="宋体" w:hAnsi="宋体" w:eastAsia="宋体"/>
                <w:sz w:val="16"/>
              </w:rPr>
              <w:t>得分</w:t>
            </w:r>
          </w:p>
        </w:tc>
      </w:tr>
      <w:tr w14:paraId="7F53DE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81E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A0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C84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9F6F">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5A5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8D32">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210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B644">
            <w:pPr>
              <w:jc w:val="center"/>
            </w:pPr>
            <w:r>
              <w:rPr>
                <w:rFonts w:ascii="宋体" w:hAnsi="宋体" w:eastAsia="宋体"/>
                <w:sz w:val="16"/>
              </w:rPr>
              <w:t>10.00分</w:t>
            </w:r>
          </w:p>
        </w:tc>
      </w:tr>
      <w:tr w14:paraId="1947F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AB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3D5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37D8">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2164">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76F5">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56AF4">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066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8445">
            <w:pPr>
              <w:jc w:val="center"/>
            </w:pPr>
            <w:r>
              <w:rPr>
                <w:rFonts w:ascii="宋体" w:hAnsi="宋体" w:eastAsia="宋体"/>
                <w:sz w:val="16"/>
              </w:rPr>
              <w:t>—</w:t>
            </w:r>
          </w:p>
        </w:tc>
      </w:tr>
      <w:tr w14:paraId="0ADDE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A1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DD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87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1B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0B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E916">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0E6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99D4">
            <w:pPr>
              <w:jc w:val="center"/>
            </w:pPr>
            <w:r>
              <w:rPr>
                <w:rFonts w:ascii="宋体" w:hAnsi="宋体" w:eastAsia="宋体"/>
                <w:sz w:val="16"/>
              </w:rPr>
              <w:t>—</w:t>
            </w:r>
          </w:p>
        </w:tc>
      </w:tr>
      <w:tr w14:paraId="7648F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16A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1F8E6">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C833C">
            <w:pPr>
              <w:jc w:val="center"/>
            </w:pPr>
            <w:r>
              <w:rPr>
                <w:rFonts w:ascii="宋体" w:hAnsi="宋体" w:eastAsia="宋体"/>
                <w:sz w:val="16"/>
              </w:rPr>
              <w:t>实际完成情况</w:t>
            </w:r>
          </w:p>
        </w:tc>
      </w:tr>
      <w:tr w14:paraId="55A96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B7C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29607">
            <w:pPr>
              <w:jc w:val="both"/>
            </w:pPr>
            <w:r>
              <w:rPr>
                <w:rFonts w:ascii="宋体" w:hAnsi="宋体" w:eastAsia="宋体"/>
                <w:sz w:val="16"/>
              </w:rPr>
              <w:t>2024年自治区确定我县统计部门负责的城乡居民人均可支配收入统计调查户100户，其中：城镇调查户40户、农村调查户60户。城镇居民调查点分布在：塔干镇布拉克尕勒社区、旭东社区、红旗社区、沙棘林社区，各10户；农村居民调查户分布：富民村、库孜滚村、达布达尔村002组、达布达尔村003组、提孜那甫村、瑙阿巴提村，各10户。通过该项目的实施确保农牧民合法享受农业政策和福利待遇，改善调查人员的生活质量，提升农民生活质量和幸福感。</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29B72">
            <w:pPr>
              <w:jc w:val="both"/>
            </w:pPr>
            <w:r>
              <w:rPr>
                <w:rFonts w:ascii="宋体" w:hAnsi="宋体" w:eastAsia="宋体"/>
                <w:sz w:val="16"/>
              </w:rPr>
              <w:t>截止至2024年12月31日，该项目已实际支出30.6万元。项目资金用于对国家统计局随机抽取的</w:t>
            </w:r>
            <w:r>
              <w:rPr>
                <w:rFonts w:hint="eastAsia" w:ascii="宋体" w:hAnsi="宋体"/>
                <w:sz w:val="16"/>
                <w:lang w:eastAsia="zh-CN"/>
              </w:rPr>
              <w:t>塔什库尔干塔吉克自治县</w:t>
            </w:r>
            <w:r>
              <w:rPr>
                <w:rFonts w:ascii="宋体" w:hAnsi="宋体" w:eastAsia="宋体"/>
                <w:sz w:val="16"/>
              </w:rPr>
              <w:t>100户住户（记账居民）进行居民收入调查。根据年初设定的计划，对记账居民给予记账补助，对10名辅助调查员给予补助，补助期限为12个月，补助标准为：记账居民200元每户每月、辅助调查员550元每人每月，通过该项目的实施进一步提高了我县城乡居民人均可支配收入统计调查工作质量，改善了受益补助人群生活质量，及时整改了当前存在的问题，确保了数据能够准确真实反映实际情况，使被调查人员满意度达到了100%。</w:t>
            </w:r>
          </w:p>
        </w:tc>
      </w:tr>
      <w:tr w14:paraId="2C9D9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10E3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7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89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E8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91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B8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C1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5F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AB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5F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F0E">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9D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AB4F1">
            <w:pPr>
              <w:jc w:val="center"/>
            </w:pPr>
            <w:r>
              <w:rPr>
                <w:rFonts w:ascii="宋体" w:hAnsi="宋体" w:eastAsia="宋体"/>
                <w:sz w:val="16"/>
              </w:rPr>
              <w:t>偏差原因分析及改进措施</w:t>
            </w:r>
          </w:p>
        </w:tc>
      </w:tr>
      <w:tr w14:paraId="06C2E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1F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812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7FD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43D0">
            <w:pPr>
              <w:jc w:val="center"/>
            </w:pPr>
            <w:r>
              <w:rPr>
                <w:rFonts w:ascii="宋体" w:hAnsi="宋体" w:eastAsia="宋体"/>
                <w:sz w:val="16"/>
              </w:rPr>
              <w:t>调查居民住户数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6483">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6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3C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75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C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7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D14A">
            <w:pPr>
              <w:jc w:val="center"/>
            </w:pPr>
            <w:r>
              <w:rPr>
                <w:rFonts w:ascii="宋体" w:hAnsi="宋体" w:eastAsia="宋体"/>
                <w:sz w:val="16"/>
              </w:rPr>
              <w:t>=100户</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C6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3FFC4">
            <w:pPr>
              <w:jc w:val="center"/>
            </w:pPr>
          </w:p>
        </w:tc>
      </w:tr>
      <w:tr w14:paraId="447AD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6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C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6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31F0">
            <w:pPr>
              <w:jc w:val="center"/>
            </w:pPr>
            <w:r>
              <w:rPr>
                <w:rFonts w:ascii="宋体" w:hAnsi="宋体" w:eastAsia="宋体"/>
                <w:sz w:val="16"/>
              </w:rPr>
              <w:t>辅助调查员人数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C05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9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F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8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A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5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46E9">
            <w:pPr>
              <w:jc w:val="center"/>
            </w:pPr>
            <w:r>
              <w:rPr>
                <w:rFonts w:ascii="宋体" w:hAnsi="宋体" w:eastAsia="宋体"/>
                <w:sz w:val="16"/>
              </w:rPr>
              <w:t>=10人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6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5857">
            <w:pPr>
              <w:jc w:val="center"/>
            </w:pPr>
          </w:p>
        </w:tc>
      </w:tr>
      <w:tr w14:paraId="7B40F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F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60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C0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3100">
            <w:pPr>
              <w:jc w:val="center"/>
            </w:pPr>
            <w:r>
              <w:rPr>
                <w:rFonts w:ascii="宋体" w:hAnsi="宋体" w:eastAsia="宋体"/>
                <w:sz w:val="16"/>
              </w:rPr>
              <w:t>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9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5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54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F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6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A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6C84">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1B7AAD85">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F1B57">
            <w:pPr>
              <w:jc w:val="center"/>
            </w:pPr>
          </w:p>
        </w:tc>
      </w:tr>
      <w:tr w14:paraId="4B20E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B9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43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B3D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314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F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2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6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8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1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4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DB66">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23FC110D">
            <w:pPr>
              <w:jc w:val="center"/>
            </w:pPr>
            <w:r>
              <w:rPr>
                <w:rFonts w:ascii="宋体" w:hAnsi="宋体" w:eastAsia="宋体"/>
                <w:sz w:val="16"/>
              </w:rPr>
              <w:t>5</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A41AA5">
            <w:pPr>
              <w:jc w:val="center"/>
            </w:pPr>
          </w:p>
        </w:tc>
      </w:tr>
      <w:tr w14:paraId="15269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7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B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F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8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31F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3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3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6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CF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3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9552">
            <w:pPr>
              <w:jc w:val="center"/>
            </w:pPr>
            <w:r>
              <w:rPr>
                <w:rFonts w:ascii="宋体" w:hAnsi="宋体" w:eastAsia="宋体"/>
                <w:sz w:val="16"/>
              </w:rPr>
              <w:t>=2024年12月25日</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046330AD">
            <w:pPr>
              <w:jc w:val="center"/>
            </w:pPr>
            <w:r>
              <w:rPr>
                <w:rFonts w:ascii="宋体" w:hAnsi="宋体" w:eastAsia="宋体"/>
                <w:sz w:val="16"/>
              </w:rPr>
              <w:t>5</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0026F2">
            <w:pPr>
              <w:jc w:val="center"/>
            </w:pPr>
          </w:p>
        </w:tc>
      </w:tr>
      <w:tr w14:paraId="4D232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BEB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9A1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9C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C974">
            <w:pPr>
              <w:jc w:val="center"/>
            </w:pPr>
            <w:r>
              <w:rPr>
                <w:rFonts w:ascii="宋体" w:hAnsi="宋体" w:eastAsia="宋体"/>
                <w:sz w:val="16"/>
              </w:rPr>
              <w:t>调查对象补助标准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C498">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E2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A9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B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A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6F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E50B">
            <w:pPr>
              <w:jc w:val="center"/>
            </w:pPr>
            <w:r>
              <w:rPr>
                <w:rFonts w:ascii="宋体" w:hAnsi="宋体" w:eastAsia="宋体"/>
                <w:sz w:val="16"/>
              </w:rPr>
              <w:t>=200元/人/月</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16DA9FFE">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4A2B7A">
            <w:pPr>
              <w:jc w:val="center"/>
            </w:pPr>
          </w:p>
        </w:tc>
      </w:tr>
      <w:tr w14:paraId="688E2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9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F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72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FE7A">
            <w:pPr>
              <w:jc w:val="center"/>
            </w:pPr>
            <w:r>
              <w:rPr>
                <w:rFonts w:ascii="宋体" w:hAnsi="宋体" w:eastAsia="宋体"/>
                <w:sz w:val="16"/>
              </w:rPr>
              <w:t>辅助调查员补助标准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7AE9">
            <w:pPr>
              <w:jc w:val="center"/>
            </w:pPr>
            <w:r>
              <w:rPr>
                <w:rFonts w:ascii="宋体" w:hAnsi="宋体" w:eastAsia="宋体"/>
                <w:sz w:val="16"/>
              </w:rPr>
              <w:t>&lt;=550元/人/月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DA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B4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D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9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EA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4EE2">
            <w:pPr>
              <w:jc w:val="center"/>
            </w:pPr>
            <w:r>
              <w:rPr>
                <w:rFonts w:ascii="宋体" w:hAnsi="宋体" w:eastAsia="宋体"/>
                <w:sz w:val="16"/>
              </w:rPr>
              <w:t>=550元/人/月</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52281FD1">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9DD0F">
            <w:pPr>
              <w:jc w:val="center"/>
            </w:pPr>
          </w:p>
        </w:tc>
      </w:tr>
      <w:tr w14:paraId="7B491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B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F1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22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608E">
            <w:pPr>
              <w:jc w:val="center"/>
            </w:pPr>
            <w:r>
              <w:rPr>
                <w:rFonts w:ascii="宋体" w:hAnsi="宋体" w:eastAsia="宋体"/>
                <w:sz w:val="16"/>
              </w:rPr>
              <w:t>改善补助人群生活状况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800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D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08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95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1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2C12">
            <w:pPr>
              <w:jc w:val="center"/>
            </w:pPr>
            <w:r>
              <w:rPr>
                <w:rFonts w:ascii="宋体" w:hAnsi="宋体" w:eastAsia="宋体"/>
                <w:sz w:val="16"/>
              </w:rPr>
              <w:t>改善</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7DE892AE">
            <w:pPr>
              <w:jc w:val="center"/>
            </w:pPr>
            <w:r>
              <w:rPr>
                <w:rFonts w:ascii="宋体" w:hAnsi="宋体" w:eastAsia="宋体"/>
                <w:sz w:val="16"/>
              </w:rPr>
              <w:t>20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CFFBEE">
            <w:pPr>
              <w:jc w:val="center"/>
            </w:pPr>
          </w:p>
        </w:tc>
      </w:tr>
      <w:tr w14:paraId="0862C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01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3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EB3D">
            <w:pPr>
              <w:jc w:val="center"/>
            </w:pPr>
            <w:r>
              <w:rPr>
                <w:rFonts w:ascii="宋体" w:hAnsi="宋体" w:eastAsia="宋体"/>
                <w:sz w:val="16"/>
              </w:rPr>
              <w:t>被调查人员满意度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C3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0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F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0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21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D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2188">
            <w:pPr>
              <w:jc w:val="center"/>
            </w:pPr>
            <w:r>
              <w:rPr>
                <w:rFonts w:ascii="宋体" w:hAnsi="宋体" w:eastAsia="宋体"/>
                <w:sz w:val="16"/>
              </w:rPr>
              <w:t>=100%</w:t>
            </w:r>
          </w:p>
        </w:tc>
        <w:tc>
          <w:tcPr>
            <w:tcW w:w="415" w:type="dxa"/>
            <w:tcBorders>
              <w:top w:val="single" w:color="auto" w:sz="10" w:space="0"/>
              <w:left w:val="single" w:color="auto" w:sz="10" w:space="0"/>
              <w:bottom w:val="single" w:color="auto" w:sz="10" w:space="0"/>
              <w:right w:val="single" w:color="auto" w:sz="10" w:space="0"/>
              <w:insideV w:val="single" w:sz="10" w:space="0"/>
            </w:tcBorders>
            <w:vAlign w:val="center"/>
          </w:tcPr>
          <w:p w14:paraId="7FDFE968">
            <w:pPr>
              <w:jc w:val="center"/>
            </w:pPr>
            <w:r>
              <w:rPr>
                <w:rFonts w:ascii="宋体" w:hAnsi="宋体" w:eastAsia="宋体"/>
                <w:sz w:val="16"/>
              </w:rPr>
              <w:t>10</w:t>
            </w:r>
          </w:p>
        </w:tc>
        <w:tc>
          <w:tcPr>
            <w:tcW w:w="148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8866E">
            <w:pPr>
              <w:jc w:val="center"/>
            </w:pPr>
            <w:r>
              <w:rPr>
                <w:rFonts w:ascii="宋体" w:hAnsi="宋体" w:eastAsia="宋体"/>
                <w:sz w:val="16"/>
              </w:rPr>
              <w:t>偏差原因：项目实施情况较好，被调查人员满意度高于预期，导致出现正偏差，改进措施：基于当前良好表现，重新审视绩效目标，在以后绩效目标设置时设置更具挑战性的目标，以推动业务持续发展。</w:t>
            </w:r>
          </w:p>
        </w:tc>
      </w:tr>
      <w:tr w14:paraId="605DB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8B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7E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4B9C">
            <w:pPr>
              <w:jc w:val="center"/>
            </w:pPr>
            <w:r>
              <w:rPr>
                <w:rFonts w:ascii="宋体" w:hAnsi="宋体" w:eastAsia="宋体"/>
                <w:sz w:val="16"/>
              </w:rPr>
              <w:t>得分</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A53354">
            <w:pPr>
              <w:jc w:val="center"/>
            </w:pPr>
            <w:r>
              <w:rPr>
                <w:rFonts w:ascii="宋体" w:hAnsi="宋体" w:eastAsia="宋体"/>
                <w:sz w:val="16"/>
              </w:rPr>
              <w:t>100分</w:t>
            </w:r>
          </w:p>
        </w:tc>
      </w:tr>
    </w:tbl>
    <w:p w14:paraId="449473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20EA54E">
        <w:tc>
          <w:tcPr>
            <w:tcW w:w="8848" w:type="dxa"/>
            <w:gridSpan w:val="14"/>
            <w:vAlign w:val="center"/>
          </w:tcPr>
          <w:p w14:paraId="0924E0F4">
            <w:pPr>
              <w:jc w:val="center"/>
            </w:pPr>
            <w:r>
              <w:rPr>
                <w:rFonts w:ascii="宋体" w:hAnsi="宋体" w:eastAsia="宋体"/>
                <w:sz w:val="24"/>
              </w:rPr>
              <w:t>项目支出绩效自评表</w:t>
            </w:r>
          </w:p>
        </w:tc>
      </w:tr>
      <w:tr w14:paraId="147C999C">
        <w:tblPrEx>
          <w:tblCellMar>
            <w:top w:w="0" w:type="dxa"/>
            <w:left w:w="108" w:type="dxa"/>
            <w:bottom w:w="0" w:type="dxa"/>
            <w:right w:w="108" w:type="dxa"/>
          </w:tblCellMar>
        </w:tblPrEx>
        <w:tc>
          <w:tcPr>
            <w:tcW w:w="8848" w:type="dxa"/>
            <w:gridSpan w:val="14"/>
            <w:vAlign w:val="center"/>
          </w:tcPr>
          <w:p w14:paraId="25D613D8">
            <w:pPr>
              <w:jc w:val="center"/>
            </w:pPr>
            <w:r>
              <w:rPr>
                <w:rFonts w:ascii="宋体" w:hAnsi="宋体" w:eastAsia="宋体"/>
                <w:sz w:val="24"/>
              </w:rPr>
              <w:t>(2024年度)</w:t>
            </w:r>
          </w:p>
        </w:tc>
      </w:tr>
      <w:tr w14:paraId="0999A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0C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CFDA81">
            <w:pPr>
              <w:jc w:val="center"/>
            </w:pPr>
            <w:r>
              <w:rPr>
                <w:rFonts w:ascii="宋体" w:hAnsi="宋体" w:eastAsia="宋体"/>
                <w:sz w:val="16"/>
              </w:rPr>
              <w:t>塔县2024年第五次全国经济普查经费</w:t>
            </w:r>
          </w:p>
        </w:tc>
      </w:tr>
      <w:tr w14:paraId="63FA7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F2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54DD2">
            <w:pPr>
              <w:jc w:val="center"/>
            </w:pPr>
            <w:r>
              <w:rPr>
                <w:rFonts w:ascii="宋体" w:hAnsi="宋体" w:eastAsia="宋体"/>
                <w:sz w:val="16"/>
              </w:rPr>
              <w:t>塔什库尔干塔吉克自治县统计局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4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7E483E">
            <w:pPr>
              <w:jc w:val="center"/>
            </w:pPr>
            <w:r>
              <w:rPr>
                <w:rFonts w:ascii="宋体" w:hAnsi="宋体" w:eastAsia="宋体"/>
                <w:sz w:val="16"/>
              </w:rPr>
              <w:t>塔什库尔干塔吉克自治县统计局</w:t>
            </w:r>
          </w:p>
        </w:tc>
      </w:tr>
      <w:tr w14:paraId="6E6C6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75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B5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DF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2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2D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34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BF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CA8E">
            <w:pPr>
              <w:jc w:val="center"/>
            </w:pPr>
            <w:r>
              <w:rPr>
                <w:rFonts w:ascii="宋体" w:hAnsi="宋体" w:eastAsia="宋体"/>
                <w:sz w:val="16"/>
              </w:rPr>
              <w:t>得分</w:t>
            </w:r>
          </w:p>
        </w:tc>
      </w:tr>
      <w:tr w14:paraId="6A01AB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DF7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2D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6F1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024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87FF">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8F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C98D">
            <w:pPr>
              <w:jc w:val="center"/>
            </w:pPr>
            <w:r>
              <w:rPr>
                <w:rFonts w:ascii="宋体" w:hAnsi="宋体" w:eastAsia="宋体"/>
                <w:sz w:val="16"/>
              </w:rPr>
              <w:t>84.7%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64C7">
            <w:pPr>
              <w:jc w:val="center"/>
            </w:pPr>
            <w:r>
              <w:rPr>
                <w:rFonts w:ascii="宋体" w:hAnsi="宋体" w:eastAsia="宋体"/>
                <w:sz w:val="16"/>
              </w:rPr>
              <w:t>6.18分</w:t>
            </w:r>
          </w:p>
        </w:tc>
      </w:tr>
      <w:tr w14:paraId="7195D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90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99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4A4F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B6F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49B1">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A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6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D5E">
            <w:pPr>
              <w:jc w:val="center"/>
            </w:pPr>
            <w:r>
              <w:rPr>
                <w:rFonts w:ascii="宋体" w:hAnsi="宋体" w:eastAsia="宋体"/>
                <w:sz w:val="16"/>
              </w:rPr>
              <w:t>—</w:t>
            </w:r>
          </w:p>
        </w:tc>
      </w:tr>
      <w:tr w14:paraId="26B3C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B3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71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90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1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72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289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B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2487">
            <w:pPr>
              <w:jc w:val="center"/>
            </w:pPr>
            <w:r>
              <w:rPr>
                <w:rFonts w:ascii="宋体" w:hAnsi="宋体" w:eastAsia="宋体"/>
                <w:sz w:val="16"/>
              </w:rPr>
              <w:t>—</w:t>
            </w:r>
          </w:p>
        </w:tc>
      </w:tr>
      <w:tr w14:paraId="51CB50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313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52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E533ED">
            <w:pPr>
              <w:jc w:val="center"/>
            </w:pPr>
            <w:r>
              <w:rPr>
                <w:rFonts w:ascii="宋体" w:hAnsi="宋体" w:eastAsia="宋体"/>
                <w:sz w:val="16"/>
              </w:rPr>
              <w:t>实际完成情况</w:t>
            </w:r>
          </w:p>
        </w:tc>
      </w:tr>
      <w:tr w14:paraId="54485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55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109DE">
            <w:pPr>
              <w:jc w:val="both"/>
            </w:pPr>
            <w:r>
              <w:rPr>
                <w:rFonts w:ascii="宋体" w:hAnsi="宋体" w:eastAsia="宋体"/>
                <w:sz w:val="16"/>
              </w:rPr>
              <w:t>项目预算安排资金17万元用于五经普办7名人员经常开展普查活动日常办公经费使用。通过该项目的实施可有效提升普查工作效率，了解普查对象的基本情况、组织结构、人员工资、生产能力、财务状况、生产经营、能源生产和消费研发活动、信息化建设和电子商务交易情况，以及投入结构产品使用去向和固定资产投资构成情况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E32DDE">
            <w:pPr>
              <w:jc w:val="both"/>
            </w:pPr>
            <w:r>
              <w:rPr>
                <w:rFonts w:ascii="宋体" w:hAnsi="宋体" w:eastAsia="宋体"/>
                <w:sz w:val="16"/>
              </w:rPr>
              <w:t>截止至2024年12月31日，项目实际下达资金17万元，该项目已实际支出14.4万元，资金用于保障7名普查人员完成塔县2024年第五次全国经济普查2024年的工作任务，主要用于支付其办公费、差旅费和宣传费，因第五次经济普查数据开发部分在2025年进行，因此剩余2.6万元在2025年继续使用。普查对象覆盖率达90%，资金使用合规率达100%，资金拨付及时率达100%，通过该项目的实施有效提升了普查工作效率，了解了普查对象的基本情况、组织结构、人员工资、生产能力、财务状况、生产经营、能源生产和消费研发活动、信息化建设和电子商务交易情况，以及投入结构产品使用去向和固定资产投资构成情况等，为后期管理者做出决策提供了可靠的数据参考依据。</w:t>
            </w:r>
          </w:p>
        </w:tc>
      </w:tr>
      <w:tr w14:paraId="1113A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404F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5C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E6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4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2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AD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CA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EC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9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02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31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64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8E40">
            <w:pPr>
              <w:jc w:val="center"/>
            </w:pPr>
            <w:r>
              <w:rPr>
                <w:rFonts w:ascii="宋体" w:hAnsi="宋体" w:eastAsia="宋体"/>
                <w:sz w:val="16"/>
              </w:rPr>
              <w:t>偏差原因分析及改进措施</w:t>
            </w:r>
          </w:p>
        </w:tc>
      </w:tr>
      <w:tr w14:paraId="4BFD4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31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1C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9F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0E73">
            <w:pPr>
              <w:jc w:val="center"/>
            </w:pPr>
            <w:r>
              <w:rPr>
                <w:rFonts w:ascii="宋体" w:hAnsi="宋体" w:eastAsia="宋体"/>
                <w:sz w:val="16"/>
              </w:rPr>
              <w:t>普查人员数量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005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2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8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F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6A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EF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3AB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C6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79B6">
            <w:pPr>
              <w:jc w:val="center"/>
            </w:pPr>
          </w:p>
        </w:tc>
      </w:tr>
      <w:tr w14:paraId="34531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7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7C9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544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4E5E">
            <w:pPr>
              <w:jc w:val="center"/>
            </w:pPr>
            <w:r>
              <w:rPr>
                <w:rFonts w:ascii="宋体" w:hAnsi="宋体" w:eastAsia="宋体"/>
                <w:sz w:val="16"/>
              </w:rPr>
              <w:t>普查对象覆盖率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9E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3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6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9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F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A2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D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2AA4">
            <w:pPr>
              <w:jc w:val="center"/>
            </w:pPr>
          </w:p>
        </w:tc>
      </w:tr>
      <w:tr w14:paraId="12CF0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24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D8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D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5AD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9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0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6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C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93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2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2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1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9AE1">
            <w:pPr>
              <w:jc w:val="center"/>
            </w:pPr>
          </w:p>
        </w:tc>
      </w:tr>
      <w:tr w14:paraId="264AF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B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1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A4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077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6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7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4C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6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5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2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1965">
            <w:pPr>
              <w:jc w:val="center"/>
            </w:pPr>
          </w:p>
        </w:tc>
      </w:tr>
      <w:tr w14:paraId="0AFAF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2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C9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79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D80C">
            <w:pPr>
              <w:jc w:val="center"/>
            </w:pPr>
            <w:r>
              <w:rPr>
                <w:rFonts w:ascii="宋体" w:hAnsi="宋体" w:eastAsia="宋体"/>
                <w:sz w:val="16"/>
              </w:rPr>
              <w:t>人均普查经费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1E4">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3A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7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A6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0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4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512B">
            <w:pPr>
              <w:jc w:val="center"/>
            </w:pPr>
            <w:r>
              <w:rPr>
                <w:rFonts w:ascii="宋体" w:hAnsi="宋体" w:eastAsia="宋体"/>
                <w:sz w:val="16"/>
              </w:rPr>
              <w:t>=2.06万元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028F">
            <w:pPr>
              <w:jc w:val="center"/>
            </w:pPr>
            <w:r>
              <w:rPr>
                <w:rFonts w:ascii="宋体" w:hAnsi="宋体" w:eastAsia="宋体"/>
                <w:sz w:val="16"/>
              </w:rPr>
              <w:t>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B8BC">
            <w:pPr>
              <w:jc w:val="center"/>
            </w:pPr>
            <w:r>
              <w:rPr>
                <w:rFonts w:ascii="宋体" w:hAnsi="宋体" w:eastAsia="宋体"/>
                <w:sz w:val="16"/>
              </w:rPr>
              <w:t>偏差原因分析：因第五次经济普查数据开发部分在2025年进行，因此2.6万元在2025年继续使用。改进措施：根据项目需求，后续合理设置绩效指标，合理规划和调配资金，保障工作按时按量进行，避免资金闲置，提高资金使用效率。</w:t>
            </w:r>
          </w:p>
        </w:tc>
      </w:tr>
      <w:tr w14:paraId="5D212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35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B8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DA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AF4B">
            <w:pPr>
              <w:jc w:val="center"/>
            </w:pPr>
            <w:r>
              <w:rPr>
                <w:rFonts w:ascii="宋体" w:hAnsi="宋体" w:eastAsia="宋体"/>
                <w:sz w:val="16"/>
              </w:rPr>
              <w:t>有效提升普查工作效率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F78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68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D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7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7B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9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D1E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34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8516">
            <w:pPr>
              <w:jc w:val="center"/>
            </w:pPr>
          </w:p>
        </w:tc>
      </w:tr>
      <w:tr w14:paraId="59FAA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6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ED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D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D94E">
            <w:pPr>
              <w:jc w:val="center"/>
            </w:pPr>
            <w:r>
              <w:rPr>
                <w:rFonts w:ascii="宋体" w:hAnsi="宋体" w:eastAsia="宋体"/>
                <w:sz w:val="16"/>
              </w:rPr>
              <w:t>普查人员满意度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24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5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1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79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1D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BB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FE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554B5">
            <w:pPr>
              <w:jc w:val="center"/>
            </w:pPr>
          </w:p>
        </w:tc>
      </w:tr>
      <w:tr w14:paraId="76384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72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7C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C5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CC030">
            <w:pPr>
              <w:jc w:val="center"/>
            </w:pPr>
            <w:r>
              <w:rPr>
                <w:rFonts w:ascii="宋体" w:hAnsi="宋体" w:eastAsia="宋体"/>
                <w:sz w:val="16"/>
              </w:rPr>
              <w:t>89.08分</w:t>
            </w:r>
          </w:p>
        </w:tc>
      </w:tr>
    </w:tbl>
    <w:p w14:paraId="4DDF1E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099622">
        <w:tblPrEx>
          <w:tblCellMar>
            <w:top w:w="0" w:type="dxa"/>
            <w:left w:w="108" w:type="dxa"/>
            <w:bottom w:w="0" w:type="dxa"/>
            <w:right w:w="108" w:type="dxa"/>
          </w:tblCellMar>
        </w:tblPrEx>
        <w:tc>
          <w:tcPr>
            <w:tcW w:w="8848" w:type="dxa"/>
            <w:gridSpan w:val="14"/>
            <w:vAlign w:val="center"/>
          </w:tcPr>
          <w:p w14:paraId="22E40828">
            <w:pPr>
              <w:jc w:val="center"/>
            </w:pPr>
            <w:r>
              <w:rPr>
                <w:rFonts w:ascii="宋体" w:hAnsi="宋体" w:eastAsia="宋体"/>
                <w:sz w:val="24"/>
              </w:rPr>
              <w:t>项目支出绩效自评表</w:t>
            </w:r>
          </w:p>
        </w:tc>
      </w:tr>
      <w:tr w14:paraId="46E90C75">
        <w:tblPrEx>
          <w:tblCellMar>
            <w:top w:w="0" w:type="dxa"/>
            <w:left w:w="108" w:type="dxa"/>
            <w:bottom w:w="0" w:type="dxa"/>
            <w:right w:w="108" w:type="dxa"/>
          </w:tblCellMar>
        </w:tblPrEx>
        <w:tc>
          <w:tcPr>
            <w:tcW w:w="8848" w:type="dxa"/>
            <w:gridSpan w:val="14"/>
            <w:vAlign w:val="center"/>
          </w:tcPr>
          <w:p w14:paraId="6ED8AF44">
            <w:pPr>
              <w:jc w:val="center"/>
            </w:pPr>
            <w:r>
              <w:rPr>
                <w:rFonts w:ascii="宋体" w:hAnsi="宋体" w:eastAsia="宋体"/>
                <w:sz w:val="24"/>
              </w:rPr>
              <w:t>(2024年度)</w:t>
            </w:r>
          </w:p>
        </w:tc>
      </w:tr>
      <w:tr w14:paraId="265BC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F7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3C9FF0">
            <w:pPr>
              <w:jc w:val="center"/>
            </w:pPr>
            <w:r>
              <w:rPr>
                <w:rFonts w:ascii="宋体" w:hAnsi="宋体" w:eastAsia="宋体"/>
                <w:sz w:val="16"/>
              </w:rPr>
              <w:t>自治区第五次全国经济普查经费</w:t>
            </w:r>
          </w:p>
        </w:tc>
      </w:tr>
      <w:tr w14:paraId="1D3681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2A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E964A">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A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37568">
            <w:pPr>
              <w:jc w:val="center"/>
            </w:pPr>
            <w:r>
              <w:rPr>
                <w:rFonts w:ascii="宋体" w:hAnsi="宋体" w:eastAsia="宋体"/>
                <w:sz w:val="16"/>
              </w:rPr>
              <w:t>塔什库尔干塔吉克自治县统计局</w:t>
            </w:r>
          </w:p>
        </w:tc>
      </w:tr>
      <w:tr w14:paraId="40FB0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B2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20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C7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E8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F8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84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DE1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4650">
            <w:pPr>
              <w:jc w:val="center"/>
            </w:pPr>
            <w:r>
              <w:rPr>
                <w:rFonts w:ascii="宋体" w:hAnsi="宋体" w:eastAsia="宋体"/>
                <w:sz w:val="16"/>
              </w:rPr>
              <w:t>得分</w:t>
            </w:r>
          </w:p>
        </w:tc>
      </w:tr>
      <w:tr w14:paraId="5F5D30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3C0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AF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6134">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03C7">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D8E01">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8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13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5EC6">
            <w:pPr>
              <w:jc w:val="center"/>
            </w:pPr>
            <w:r>
              <w:rPr>
                <w:rFonts w:ascii="宋体" w:hAnsi="宋体" w:eastAsia="宋体"/>
                <w:sz w:val="16"/>
              </w:rPr>
              <w:t>10.00分</w:t>
            </w:r>
          </w:p>
        </w:tc>
      </w:tr>
      <w:tr w14:paraId="2B3FE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29D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DD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C3B3">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9E5A">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C3E8">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3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4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C3F3">
            <w:pPr>
              <w:jc w:val="center"/>
            </w:pPr>
            <w:r>
              <w:rPr>
                <w:rFonts w:ascii="宋体" w:hAnsi="宋体" w:eastAsia="宋体"/>
                <w:sz w:val="16"/>
              </w:rPr>
              <w:t>—</w:t>
            </w:r>
          </w:p>
        </w:tc>
      </w:tr>
      <w:tr w14:paraId="623FD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DA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03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E1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8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A4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4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0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33FE">
            <w:pPr>
              <w:jc w:val="center"/>
            </w:pPr>
            <w:r>
              <w:rPr>
                <w:rFonts w:ascii="宋体" w:hAnsi="宋体" w:eastAsia="宋体"/>
                <w:sz w:val="16"/>
              </w:rPr>
              <w:t>—</w:t>
            </w:r>
          </w:p>
        </w:tc>
      </w:tr>
      <w:tr w14:paraId="00D9F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B98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8B0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EBC26">
            <w:pPr>
              <w:jc w:val="center"/>
            </w:pPr>
            <w:r>
              <w:rPr>
                <w:rFonts w:ascii="宋体" w:hAnsi="宋体" w:eastAsia="宋体"/>
                <w:sz w:val="16"/>
              </w:rPr>
              <w:t>实际完成情况</w:t>
            </w:r>
          </w:p>
        </w:tc>
      </w:tr>
      <w:tr w14:paraId="761EC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4D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93531">
            <w:pPr>
              <w:jc w:val="both"/>
            </w:pPr>
            <w:r>
              <w:rPr>
                <w:rFonts w:ascii="宋体" w:hAnsi="宋体" w:eastAsia="宋体"/>
                <w:sz w:val="16"/>
              </w:rPr>
              <w:t>2024年是第五次经济普查的正式登记阶段，主要目标是开展普查登记，数据审核验收，开展数据事后质量抽查和评估普查数据质量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45F44">
            <w:pPr>
              <w:jc w:val="both"/>
            </w:pPr>
            <w:r>
              <w:rPr>
                <w:rFonts w:ascii="宋体" w:hAnsi="宋体" w:eastAsia="宋体"/>
                <w:sz w:val="16"/>
              </w:rPr>
              <w:t>该项目实际支出6.24万元，用于为8名普查指导员和69名普查员发放第五次全国经济普查补助发放。补贴标准按《关于做好自治区第五次全国经济普查“两员”补助经费发放工作的通知》（新经普办字</w:t>
            </w:r>
            <w:r>
              <w:rPr>
                <w:rFonts w:hint="eastAsia" w:ascii="宋体" w:hAnsi="宋体"/>
                <w:sz w:val="16"/>
                <w:lang w:eastAsia="zh-CN"/>
              </w:rPr>
              <w:t>〔2024〕32号</w:t>
            </w:r>
            <w:r>
              <w:rPr>
                <w:rFonts w:ascii="宋体" w:hAnsi="宋体" w:eastAsia="宋体"/>
                <w:sz w:val="16"/>
              </w:rPr>
              <w:t>）文件执行，普查员及普查指导员普查数据登记率达100%，普查员及普查指导员补助发放准确率达100%，普查员及普查指导员补助发放及时率达100%，项目的实施，为普查指导员和普查员提供了一定的经济支持，减轻了他们在服务期间的生活负担。使普查指导员和普查员能够全身心地投入到经济普查工作中，从而提高了普查效率和普查数据的精准性，进一步提高了政府统计公信力。</w:t>
            </w:r>
          </w:p>
        </w:tc>
      </w:tr>
      <w:tr w14:paraId="38CDFB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6FC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D3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A5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BD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55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9F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B2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6A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50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F4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24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EA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A62C">
            <w:pPr>
              <w:jc w:val="center"/>
            </w:pPr>
            <w:r>
              <w:rPr>
                <w:rFonts w:ascii="宋体" w:hAnsi="宋体" w:eastAsia="宋体"/>
                <w:sz w:val="16"/>
              </w:rPr>
              <w:t>偏差原因分析及改进措施</w:t>
            </w:r>
          </w:p>
        </w:tc>
      </w:tr>
      <w:tr w14:paraId="3BDFA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1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A8A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1FB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F1ED">
            <w:pPr>
              <w:jc w:val="center"/>
            </w:pPr>
            <w:r>
              <w:rPr>
                <w:rFonts w:ascii="宋体" w:hAnsi="宋体" w:eastAsia="宋体"/>
                <w:sz w:val="16"/>
              </w:rPr>
              <w:t>普查员数量(人）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FB32">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B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B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4A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5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B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D76B">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3C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05E7">
            <w:pPr>
              <w:jc w:val="center"/>
            </w:pPr>
          </w:p>
        </w:tc>
      </w:tr>
      <w:tr w14:paraId="773CB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4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F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7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3D31">
            <w:pPr>
              <w:jc w:val="center"/>
            </w:pPr>
            <w:r>
              <w:rPr>
                <w:rFonts w:ascii="宋体" w:hAnsi="宋体" w:eastAsia="宋体"/>
                <w:sz w:val="16"/>
              </w:rPr>
              <w:t>普查指导员数量(人）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850C">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0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B3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E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2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D01A">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3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99D80">
            <w:pPr>
              <w:jc w:val="center"/>
            </w:pPr>
          </w:p>
        </w:tc>
      </w:tr>
      <w:tr w14:paraId="4FC6A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8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264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F57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1F3">
            <w:pPr>
              <w:jc w:val="center"/>
            </w:pPr>
            <w:r>
              <w:rPr>
                <w:rFonts w:ascii="宋体" w:hAnsi="宋体" w:eastAsia="宋体"/>
                <w:sz w:val="16"/>
              </w:rPr>
              <w:t>普查员及普查指导员工作量（月）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341C">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43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F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C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7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EF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CA76">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1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AC56D">
            <w:pPr>
              <w:jc w:val="center"/>
            </w:pPr>
          </w:p>
        </w:tc>
      </w:tr>
      <w:tr w14:paraId="5C9B0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8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A5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D1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B38">
            <w:pPr>
              <w:jc w:val="center"/>
            </w:pPr>
            <w:r>
              <w:rPr>
                <w:rFonts w:ascii="宋体" w:hAnsi="宋体" w:eastAsia="宋体"/>
                <w:sz w:val="16"/>
              </w:rPr>
              <w:t>普查员及普查指导员普查数据登记率（%）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0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91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7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4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8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5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B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62B5">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3C12">
            <w:pPr>
              <w:jc w:val="center"/>
            </w:pPr>
            <w:r>
              <w:rPr>
                <w:rFonts w:ascii="宋体" w:hAnsi="宋体" w:eastAsia="宋体"/>
                <w:sz w:val="16"/>
              </w:rPr>
              <w:t>偏差原因分析：项目实施情况较好，普查员及普查指导员普查数据登记率高于预期导致出现正偏差，改进措施：基于当前良好表现，重新审视绩效目标，在以后绩效目标设置时设置更具挑战性的目标，以推动业务持续发展。</w:t>
            </w:r>
          </w:p>
        </w:tc>
      </w:tr>
      <w:tr w14:paraId="7BD81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3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AF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4F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EC49">
            <w:pPr>
              <w:jc w:val="center"/>
            </w:pPr>
            <w:r>
              <w:rPr>
                <w:rFonts w:ascii="宋体" w:hAnsi="宋体" w:eastAsia="宋体"/>
                <w:sz w:val="16"/>
              </w:rPr>
              <w:t>普查员及普查指导员补助发放及时率（%）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C2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5F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E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6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E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D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E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561E">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B1EF">
            <w:pPr>
              <w:jc w:val="center"/>
            </w:pPr>
            <w:r>
              <w:rPr>
                <w:rFonts w:ascii="宋体" w:hAnsi="宋体" w:eastAsia="宋体"/>
                <w:sz w:val="16"/>
              </w:rPr>
              <w:t>偏差原因分析：项目实施情况较好，普查员及普查指导员补助发放及时率高于预期导致出现正偏差，改进措施：基于当前良好表现，重新审视绩效目标，在以后绩效目标设置时设置更具挑战性的目标，以推动业务持续发展。</w:t>
            </w:r>
          </w:p>
        </w:tc>
      </w:tr>
      <w:tr w14:paraId="3FCF3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A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FB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50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791A">
            <w:pPr>
              <w:jc w:val="center"/>
            </w:pPr>
            <w:r>
              <w:rPr>
                <w:rFonts w:ascii="宋体" w:hAnsi="宋体" w:eastAsia="宋体"/>
                <w:sz w:val="16"/>
              </w:rPr>
              <w:t>普查员及普查指导员补助经费（万元）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8F94">
            <w:pPr>
              <w:jc w:val="center"/>
            </w:pPr>
            <w:r>
              <w:rPr>
                <w:rFonts w:ascii="宋体" w:hAnsi="宋体" w:eastAsia="宋体"/>
                <w:sz w:val="16"/>
              </w:rPr>
              <w:t>&lt;=6.24万元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3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6D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B1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6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9E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3F6E">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0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8FA38">
            <w:pPr>
              <w:jc w:val="center"/>
            </w:pPr>
          </w:p>
        </w:tc>
      </w:tr>
      <w:tr w14:paraId="7F47A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E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2F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53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C2D1">
            <w:pPr>
              <w:jc w:val="center"/>
            </w:pPr>
            <w:r>
              <w:rPr>
                <w:rFonts w:ascii="宋体" w:hAnsi="宋体" w:eastAsia="宋体"/>
                <w:sz w:val="16"/>
              </w:rPr>
              <w:t>普查数据提高政府统计公信力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86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D3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A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3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B9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CB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F7D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1B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47FF">
            <w:pPr>
              <w:jc w:val="center"/>
            </w:pPr>
          </w:p>
        </w:tc>
      </w:tr>
      <w:tr w14:paraId="1836B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4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BE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D1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14BA">
            <w:pPr>
              <w:jc w:val="center"/>
            </w:pPr>
            <w:r>
              <w:rPr>
                <w:rFonts w:ascii="宋体" w:hAnsi="宋体" w:eastAsia="宋体"/>
                <w:sz w:val="16"/>
              </w:rPr>
              <w:t>普查员及普查指导员满意度（%）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8D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77C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4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9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6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D4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C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D85A">
            <w:pPr>
              <w:jc w:val="center"/>
            </w:pPr>
          </w:p>
        </w:tc>
      </w:tr>
      <w:tr w14:paraId="6A882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64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18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25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2C778">
            <w:pPr>
              <w:jc w:val="center"/>
            </w:pPr>
            <w:r>
              <w:rPr>
                <w:rFonts w:ascii="宋体" w:hAnsi="宋体" w:eastAsia="宋体"/>
                <w:sz w:val="16"/>
              </w:rPr>
              <w:t>97.78分</w:t>
            </w:r>
          </w:p>
        </w:tc>
      </w:tr>
    </w:tbl>
    <w:p w14:paraId="4CC7F060">
      <w:r>
        <w:br w:type="page"/>
      </w:r>
    </w:p>
    <w:p w14:paraId="6FBF4FA2">
      <w:pPr>
        <w:spacing w:line="640" w:lineRule="exact"/>
        <w:ind w:firstLine="640"/>
        <w:jc w:val="both"/>
        <w:outlineLvl w:val="2"/>
      </w:pPr>
      <w:r>
        <w:rPr>
          <w:rFonts w:ascii="黑体" w:hAnsi="黑体" w:eastAsia="黑体"/>
          <w:sz w:val="32"/>
        </w:rPr>
        <w:t>十二、其他需说明的事项</w:t>
      </w:r>
    </w:p>
    <w:p w14:paraId="112DA83E">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B33F787">
      <w:r>
        <w:br w:type="page"/>
      </w:r>
    </w:p>
    <w:p w14:paraId="44D9AA8E">
      <w:pPr>
        <w:spacing w:line="240" w:lineRule="auto"/>
        <w:jc w:val="center"/>
        <w:outlineLvl w:val="1"/>
      </w:pPr>
      <w:r>
        <w:rPr>
          <w:rFonts w:ascii="黑体" w:hAnsi="黑体" w:eastAsia="黑体"/>
          <w:sz w:val="32"/>
        </w:rPr>
        <w:t>第三部分 专业名词解释</w:t>
      </w:r>
    </w:p>
    <w:p w14:paraId="5D4C5B8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3CE9E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B9006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BEE0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D0DD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6041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95C56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19EFB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07B1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0867B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50F8A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F014C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AA4B3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5CDDC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4DD767">
      <w:r>
        <w:br w:type="page"/>
      </w:r>
    </w:p>
    <w:p w14:paraId="22557510">
      <w:pPr>
        <w:spacing w:line="240" w:lineRule="auto"/>
        <w:jc w:val="center"/>
        <w:outlineLvl w:val="1"/>
      </w:pPr>
      <w:r>
        <w:rPr>
          <w:rFonts w:ascii="黑体" w:hAnsi="黑体" w:eastAsia="黑体"/>
          <w:sz w:val="32"/>
        </w:rPr>
        <w:t>第四部分 部门决算报表（见附表）</w:t>
      </w:r>
    </w:p>
    <w:p w14:paraId="049B9535">
      <w:pPr>
        <w:spacing w:line="240" w:lineRule="auto"/>
        <w:ind w:firstLine="640"/>
        <w:jc w:val="both"/>
      </w:pPr>
      <w:r>
        <w:rPr>
          <w:rFonts w:ascii="仿宋_GB2312" w:hAnsi="仿宋_GB2312" w:eastAsia="仿宋_GB2312"/>
          <w:b w:val="0"/>
          <w:sz w:val="32"/>
        </w:rPr>
        <w:t>一、《收入支出决算总表》</w:t>
      </w:r>
    </w:p>
    <w:p w14:paraId="184ECDFD">
      <w:pPr>
        <w:spacing w:line="240" w:lineRule="auto"/>
        <w:ind w:firstLine="640"/>
        <w:jc w:val="both"/>
      </w:pPr>
      <w:r>
        <w:rPr>
          <w:rFonts w:ascii="仿宋_GB2312" w:hAnsi="仿宋_GB2312" w:eastAsia="仿宋_GB2312"/>
          <w:b w:val="0"/>
          <w:sz w:val="32"/>
        </w:rPr>
        <w:t>二、《收入决算表》</w:t>
      </w:r>
    </w:p>
    <w:p w14:paraId="455F971A">
      <w:pPr>
        <w:spacing w:line="240" w:lineRule="auto"/>
        <w:ind w:firstLine="640"/>
        <w:jc w:val="both"/>
      </w:pPr>
      <w:r>
        <w:rPr>
          <w:rFonts w:ascii="仿宋_GB2312" w:hAnsi="仿宋_GB2312" w:eastAsia="仿宋_GB2312"/>
          <w:b w:val="0"/>
          <w:sz w:val="32"/>
        </w:rPr>
        <w:t>三、《支出决算表》</w:t>
      </w:r>
    </w:p>
    <w:p w14:paraId="26373205">
      <w:pPr>
        <w:spacing w:line="240" w:lineRule="auto"/>
        <w:ind w:firstLine="640"/>
        <w:jc w:val="both"/>
      </w:pPr>
      <w:r>
        <w:rPr>
          <w:rFonts w:ascii="仿宋_GB2312" w:hAnsi="仿宋_GB2312" w:eastAsia="仿宋_GB2312"/>
          <w:b w:val="0"/>
          <w:sz w:val="32"/>
        </w:rPr>
        <w:t>四、《财政拨款收入支出决算总表》</w:t>
      </w:r>
    </w:p>
    <w:p w14:paraId="5E02C904">
      <w:pPr>
        <w:spacing w:line="240" w:lineRule="auto"/>
        <w:ind w:firstLine="640"/>
        <w:jc w:val="both"/>
      </w:pPr>
      <w:r>
        <w:rPr>
          <w:rFonts w:ascii="仿宋_GB2312" w:hAnsi="仿宋_GB2312" w:eastAsia="仿宋_GB2312"/>
          <w:b w:val="0"/>
          <w:sz w:val="32"/>
        </w:rPr>
        <w:t>五、《一般公共预算财政拨款支出决算表》</w:t>
      </w:r>
    </w:p>
    <w:p w14:paraId="5EE4EFBB">
      <w:pPr>
        <w:spacing w:line="240" w:lineRule="auto"/>
        <w:ind w:firstLine="640"/>
        <w:jc w:val="both"/>
      </w:pPr>
      <w:r>
        <w:rPr>
          <w:rFonts w:ascii="仿宋_GB2312" w:hAnsi="仿宋_GB2312" w:eastAsia="仿宋_GB2312"/>
          <w:b w:val="0"/>
          <w:sz w:val="32"/>
        </w:rPr>
        <w:t>六、《一般公共预算财政拨款基本支出决算表》</w:t>
      </w:r>
    </w:p>
    <w:p w14:paraId="615E3FD7">
      <w:pPr>
        <w:spacing w:line="240" w:lineRule="auto"/>
        <w:ind w:firstLine="640"/>
        <w:jc w:val="both"/>
      </w:pPr>
      <w:r>
        <w:rPr>
          <w:rFonts w:ascii="仿宋_GB2312" w:hAnsi="仿宋_GB2312" w:eastAsia="仿宋_GB2312"/>
          <w:b w:val="0"/>
          <w:sz w:val="32"/>
        </w:rPr>
        <w:t>七、《政府性基金预算财政拨款收入支出决算表》</w:t>
      </w:r>
    </w:p>
    <w:p w14:paraId="0AB708BE">
      <w:pPr>
        <w:spacing w:line="240" w:lineRule="auto"/>
        <w:ind w:firstLine="640"/>
        <w:jc w:val="both"/>
      </w:pPr>
      <w:r>
        <w:rPr>
          <w:rFonts w:ascii="仿宋_GB2312" w:hAnsi="仿宋_GB2312" w:eastAsia="仿宋_GB2312"/>
          <w:b w:val="0"/>
          <w:sz w:val="32"/>
        </w:rPr>
        <w:t>八、《国有资本经营预算财政拨款收入支出决算表》</w:t>
      </w:r>
    </w:p>
    <w:p w14:paraId="53B61914">
      <w:pPr>
        <w:spacing w:line="240" w:lineRule="auto"/>
        <w:ind w:firstLine="640"/>
        <w:jc w:val="both"/>
      </w:pPr>
      <w:r>
        <w:rPr>
          <w:rFonts w:ascii="仿宋_GB2312" w:hAnsi="仿宋_GB2312" w:eastAsia="仿宋_GB2312"/>
          <w:b w:val="0"/>
          <w:sz w:val="32"/>
        </w:rPr>
        <w:t>九、《财政拨款“三公”经费支出决算表》</w:t>
      </w:r>
    </w:p>
    <w:p w14:paraId="18CB691B">
      <w:pPr>
        <w:spacing w:line="240" w:lineRule="auto"/>
        <w:ind w:firstLine="640"/>
        <w:jc w:val="both"/>
      </w:pPr>
    </w:p>
    <w:p w14:paraId="6CB90004">
      <w:pPr>
        <w:spacing w:line="240" w:lineRule="auto"/>
        <w:ind w:firstLine="640"/>
        <w:jc w:val="both"/>
      </w:pPr>
    </w:p>
    <w:p w14:paraId="0F0CC8E5">
      <w:pPr>
        <w:spacing w:line="240" w:lineRule="auto"/>
        <w:ind w:firstLine="640"/>
        <w:jc w:val="both"/>
      </w:pPr>
    </w:p>
    <w:p w14:paraId="2802A906">
      <w:pPr>
        <w:spacing w:line="240" w:lineRule="auto"/>
        <w:ind w:firstLine="640"/>
        <w:jc w:val="both"/>
      </w:pPr>
    </w:p>
    <w:p w14:paraId="2F0FE19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596C6D"/>
    <w:rsid w:val="1DAF458D"/>
    <w:rsid w:val="1E086ACE"/>
    <w:rsid w:val="1E4B5CA5"/>
    <w:rsid w:val="1EAA4A5F"/>
    <w:rsid w:val="1F587A0B"/>
    <w:rsid w:val="2064678E"/>
    <w:rsid w:val="20976371"/>
    <w:rsid w:val="20BC0B75"/>
    <w:rsid w:val="20DD6197"/>
    <w:rsid w:val="21F317F2"/>
    <w:rsid w:val="2241392C"/>
    <w:rsid w:val="23BC04D2"/>
    <w:rsid w:val="25275618"/>
    <w:rsid w:val="27CE017C"/>
    <w:rsid w:val="27CF2642"/>
    <w:rsid w:val="282459E2"/>
    <w:rsid w:val="28DB7F29"/>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933A36"/>
    <w:rsid w:val="5AFC6609"/>
    <w:rsid w:val="5CE7321A"/>
    <w:rsid w:val="5FA17648"/>
    <w:rsid w:val="5FD320BD"/>
    <w:rsid w:val="60DE4D57"/>
    <w:rsid w:val="613409CB"/>
    <w:rsid w:val="61A46A97"/>
    <w:rsid w:val="62DD7D21"/>
    <w:rsid w:val="65CA1829"/>
    <w:rsid w:val="65D97752"/>
    <w:rsid w:val="664C500C"/>
    <w:rsid w:val="67D111AB"/>
    <w:rsid w:val="68DB0208"/>
    <w:rsid w:val="68DF36D5"/>
    <w:rsid w:val="69846A0E"/>
    <w:rsid w:val="69AD798C"/>
    <w:rsid w:val="6B68175F"/>
    <w:rsid w:val="6B8B5C99"/>
    <w:rsid w:val="6CA7198F"/>
    <w:rsid w:val="6CAA430E"/>
    <w:rsid w:val="6D8919A8"/>
    <w:rsid w:val="6E0F7A08"/>
    <w:rsid w:val="6E1C755D"/>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6821</Words>
  <Characters>7695</Characters>
  <Lines>0</Lines>
  <Paragraphs>0</Paragraphs>
  <TotalTime>13</TotalTime>
  <ScaleCrop>false</ScaleCrop>
  <LinksUpToDate>false</LinksUpToDate>
  <CharactersWithSpaces>7704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