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3C5823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塔什库尔干塔吉克自治县行政服务中心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CE423D">
      <w:r>
        <w:br w:type="page"/>
      </w:r>
    </w:p>
    <w:p w14:paraId="1579E380">
      <w:pPr>
        <w:spacing w:line="640" w:lineRule="exact"/>
        <w:jc w:val="center"/>
        <w:outlineLvl w:val="1"/>
      </w:pPr>
      <w:r>
        <w:rPr>
          <w:rFonts w:ascii="黑体" w:hAnsi="黑体" w:eastAsia="黑体"/>
          <w:sz w:val="32"/>
        </w:rPr>
        <w:t>第一部分 单位概况</w:t>
      </w:r>
    </w:p>
    <w:p w14:paraId="1E853EC5">
      <w:pPr>
        <w:spacing w:line="640" w:lineRule="exact"/>
        <w:ind w:firstLine="640"/>
        <w:jc w:val="both"/>
        <w:outlineLvl w:val="2"/>
      </w:pPr>
      <w:r>
        <w:rPr>
          <w:rFonts w:ascii="黑体" w:hAnsi="黑体" w:eastAsia="黑体"/>
          <w:sz w:val="32"/>
        </w:rPr>
        <w:t>一、主要职能</w:t>
      </w:r>
    </w:p>
    <w:p w14:paraId="46F731A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负责会同有关部门贯彻落实中央、自治区党委、地委和县委有关行政审批制度改革的决定，负责规范全县行政审批工作，创新和完善相关工作体制机制。</w:t>
      </w:r>
    </w:p>
    <w:p w14:paraId="28A27E8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负责统一组织实施行政审批涉及的技术论证和社会听证等工作。</w:t>
      </w:r>
    </w:p>
    <w:p w14:paraId="3C163F6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负责对行政审批、政务服务事项流程进行规范和优化，推进行政审批、政务服务标准化建设。</w:t>
      </w:r>
    </w:p>
    <w:p w14:paraId="650DDE4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负责会同有关部门加强行政审批、政务服务信息化建设。</w:t>
      </w:r>
    </w:p>
    <w:p w14:paraId="68A11C3F">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负责对行政审批、政务服务行为进行监督检查，对窗口工作人员进行日常管理、教育培训和检查考核。</w:t>
      </w:r>
    </w:p>
    <w:p w14:paraId="43B76FB6">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负责全县各级政务服务体系建设，建立公共服务运行规程和考核体系。</w:t>
      </w:r>
    </w:p>
    <w:p w14:paraId="7D6BC46B">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负责协调和指导监督乡(镇)及社区政务服务和公共服务平台建设工作。</w:t>
      </w:r>
    </w:p>
    <w:p w14:paraId="59DC67C6">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负责承办县委、县人民政府交办的其他事项。</w:t>
      </w:r>
    </w:p>
    <w:p w14:paraId="103048CF">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12345服务热线，民生诉求的</w:t>
      </w:r>
      <w:r>
        <w:rPr>
          <w:rFonts w:hint="eastAsia" w:ascii="仿宋_GB2312" w:hAnsi="仿宋_GB2312" w:eastAsia="仿宋_GB2312"/>
          <w:sz w:val="32"/>
          <w:lang w:eastAsia="zh-CN"/>
        </w:rPr>
        <w:t>承接</w:t>
      </w:r>
      <w:r>
        <w:rPr>
          <w:rFonts w:ascii="仿宋_GB2312" w:hAnsi="仿宋_GB2312" w:eastAsia="仿宋_GB2312"/>
          <w:sz w:val="32"/>
        </w:rPr>
        <w:t>转办。</w:t>
      </w:r>
    </w:p>
    <w:p w14:paraId="6DED95C2">
      <w:pPr>
        <w:spacing w:line="640" w:lineRule="exact"/>
        <w:ind w:firstLine="640"/>
        <w:jc w:val="both"/>
        <w:outlineLvl w:val="2"/>
      </w:pPr>
      <w:r>
        <w:rPr>
          <w:rFonts w:ascii="黑体" w:hAnsi="黑体" w:eastAsia="黑体"/>
          <w:sz w:val="32"/>
        </w:rPr>
        <w:t>二、机构设置及人员情况</w:t>
      </w:r>
    </w:p>
    <w:p w14:paraId="3EBCBDEB">
      <w:pPr>
        <w:spacing w:line="580" w:lineRule="exact"/>
        <w:ind w:firstLine="640"/>
        <w:jc w:val="both"/>
      </w:pPr>
      <w:r>
        <w:rPr>
          <w:rFonts w:ascii="仿宋_GB2312" w:hAnsi="仿宋_GB2312" w:eastAsia="仿宋_GB2312"/>
          <w:sz w:val="32"/>
        </w:rPr>
        <w:t>塔什库尔干塔吉克自治县行政服务中心2024年度，实有人数3人，其中：在职人员3人，减少1人；离休人员0人，增加0人；退休人员0人,增加0人。</w:t>
      </w:r>
    </w:p>
    <w:p w14:paraId="4ADDA60F">
      <w:pPr>
        <w:spacing w:line="580" w:lineRule="exact"/>
        <w:ind w:firstLine="640"/>
        <w:jc w:val="both"/>
      </w:pPr>
      <w:r>
        <w:rPr>
          <w:rFonts w:ascii="仿宋_GB2312" w:hAnsi="仿宋_GB2312" w:eastAsia="仿宋_GB2312"/>
          <w:sz w:val="32"/>
        </w:rPr>
        <w:t>单位无下属预算单位，下设1个科室，分别是：综合办公室。</w:t>
      </w:r>
    </w:p>
    <w:p w14:paraId="23417CAF">
      <w:r>
        <w:br w:type="page"/>
      </w:r>
    </w:p>
    <w:p w14:paraId="259F6C7C">
      <w:pPr>
        <w:spacing w:line="240" w:lineRule="auto"/>
        <w:jc w:val="center"/>
        <w:outlineLvl w:val="1"/>
      </w:pPr>
      <w:r>
        <w:rPr>
          <w:rFonts w:ascii="黑体" w:hAnsi="黑体" w:eastAsia="黑体"/>
          <w:sz w:val="32"/>
        </w:rPr>
        <w:t>第二部分 部门决算情况说明</w:t>
      </w:r>
    </w:p>
    <w:p w14:paraId="7936B0FA">
      <w:pPr>
        <w:spacing w:line="640" w:lineRule="exact"/>
        <w:ind w:firstLine="640"/>
        <w:jc w:val="both"/>
        <w:outlineLvl w:val="2"/>
      </w:pPr>
      <w:r>
        <w:rPr>
          <w:rFonts w:ascii="黑体" w:hAnsi="黑体" w:eastAsia="黑体"/>
          <w:sz w:val="32"/>
        </w:rPr>
        <w:t>一、收入支出决算总体情况说明</w:t>
      </w:r>
    </w:p>
    <w:p w14:paraId="05CF3EE5">
      <w:pPr>
        <w:spacing w:line="580" w:lineRule="exact"/>
        <w:ind w:firstLine="640"/>
        <w:jc w:val="both"/>
      </w:pPr>
      <w:r>
        <w:rPr>
          <w:rFonts w:ascii="仿宋_GB2312" w:hAnsi="仿宋_GB2312" w:eastAsia="仿宋_GB2312"/>
          <w:b/>
          <w:sz w:val="32"/>
        </w:rPr>
        <w:t>2024年度收入总计99.48万元，</w:t>
      </w:r>
      <w:r>
        <w:rPr>
          <w:rFonts w:ascii="仿宋_GB2312" w:hAnsi="仿宋_GB2312" w:eastAsia="仿宋_GB2312"/>
          <w:b w:val="0"/>
          <w:sz w:val="32"/>
        </w:rPr>
        <w:t>其中：本年收入合计99.48万元，使用非财政拨款结余（含专用结余）0.00万元，年初结转和结余0.00万元。</w:t>
      </w:r>
    </w:p>
    <w:p w14:paraId="75EC54D9">
      <w:pPr>
        <w:spacing w:line="580" w:lineRule="exact"/>
        <w:ind w:firstLine="640"/>
        <w:jc w:val="both"/>
      </w:pPr>
      <w:r>
        <w:rPr>
          <w:rFonts w:ascii="仿宋_GB2312" w:hAnsi="仿宋_GB2312" w:eastAsia="仿宋_GB2312"/>
          <w:b/>
          <w:sz w:val="32"/>
        </w:rPr>
        <w:t>2024年度支出总计99.48万元，</w:t>
      </w:r>
      <w:r>
        <w:rPr>
          <w:rFonts w:ascii="仿宋_GB2312" w:hAnsi="仿宋_GB2312" w:eastAsia="仿宋_GB2312"/>
          <w:b w:val="0"/>
          <w:sz w:val="32"/>
        </w:rPr>
        <w:t>其中：本年支出合计99.48万元，结余分配0.00万元，年末结转和结余0.00万元。</w:t>
      </w:r>
    </w:p>
    <w:p w14:paraId="088B6848">
      <w:pPr>
        <w:spacing w:line="580" w:lineRule="exact"/>
        <w:ind w:firstLine="640"/>
        <w:jc w:val="both"/>
      </w:pPr>
      <w:r>
        <w:rPr>
          <w:rFonts w:ascii="仿宋_GB2312" w:hAnsi="仿宋_GB2312" w:eastAsia="仿宋_GB2312"/>
          <w:b w:val="0"/>
          <w:sz w:val="32"/>
        </w:rPr>
        <w:t>收入支出总体与上年相比，减少28.35万元，下降22.18%，主要原因是：本年减少办公经费和网络租赁费。</w:t>
      </w:r>
    </w:p>
    <w:p w14:paraId="5C16C508">
      <w:pPr>
        <w:spacing w:line="640" w:lineRule="exact"/>
        <w:ind w:firstLine="640"/>
        <w:jc w:val="both"/>
        <w:outlineLvl w:val="2"/>
      </w:pPr>
      <w:r>
        <w:rPr>
          <w:rFonts w:ascii="黑体" w:hAnsi="黑体" w:eastAsia="黑体"/>
          <w:sz w:val="32"/>
        </w:rPr>
        <w:t>二、收入决算情况说明</w:t>
      </w:r>
    </w:p>
    <w:p w14:paraId="38D2EBBD">
      <w:pPr>
        <w:spacing w:line="580" w:lineRule="exact"/>
        <w:ind w:firstLine="640"/>
        <w:jc w:val="both"/>
      </w:pPr>
      <w:r>
        <w:rPr>
          <w:rFonts w:ascii="仿宋_GB2312" w:hAnsi="仿宋_GB2312" w:eastAsia="仿宋_GB2312"/>
          <w:b/>
          <w:sz w:val="32"/>
        </w:rPr>
        <w:t>本年收入99.48万元，</w:t>
      </w:r>
      <w:r>
        <w:rPr>
          <w:rFonts w:ascii="仿宋_GB2312" w:hAnsi="仿宋_GB2312" w:eastAsia="仿宋_GB2312"/>
          <w:b w:val="0"/>
          <w:sz w:val="32"/>
        </w:rPr>
        <w:t>其中：财政拨款收入99.48万元，占100.00%；上级补助收入0.00万元，占0.00%；事业收入0.00万元，占0.00%；经营收入0.00万元，占0.00%；附属单位上缴收入0.00万元，占0.00%；其他收入0.00万元，占0.00%。</w:t>
      </w:r>
    </w:p>
    <w:p w14:paraId="38EE0045">
      <w:pPr>
        <w:spacing w:line="640" w:lineRule="exact"/>
        <w:ind w:firstLine="640"/>
        <w:jc w:val="both"/>
        <w:outlineLvl w:val="2"/>
      </w:pPr>
      <w:r>
        <w:rPr>
          <w:rFonts w:ascii="黑体" w:hAnsi="黑体" w:eastAsia="黑体"/>
          <w:sz w:val="32"/>
        </w:rPr>
        <w:t>三、支出决算情况说明</w:t>
      </w:r>
    </w:p>
    <w:p w14:paraId="3465D744">
      <w:pPr>
        <w:spacing w:line="580" w:lineRule="exact"/>
        <w:ind w:firstLine="640"/>
        <w:jc w:val="both"/>
      </w:pPr>
      <w:r>
        <w:rPr>
          <w:rFonts w:ascii="仿宋_GB2312" w:hAnsi="仿宋_GB2312" w:eastAsia="仿宋_GB2312"/>
          <w:b/>
          <w:sz w:val="32"/>
        </w:rPr>
        <w:t>本年支出99.48万元，</w:t>
      </w:r>
      <w:r>
        <w:rPr>
          <w:rFonts w:ascii="仿宋_GB2312" w:hAnsi="仿宋_GB2312" w:eastAsia="仿宋_GB2312"/>
          <w:b w:val="0"/>
          <w:sz w:val="32"/>
        </w:rPr>
        <w:t>其中：基本支出93.49万元，占93.98%；项目支出6.00万元，占6.03%；上缴上级支出0.00万元，占0.00%；经营支出0.00万元，占0.00%；对附属单位补助支出0.00万元，占0.00%。</w:t>
      </w:r>
    </w:p>
    <w:p w14:paraId="7BEE3D41">
      <w:pPr>
        <w:spacing w:line="640" w:lineRule="exact"/>
        <w:ind w:firstLine="640"/>
        <w:jc w:val="both"/>
        <w:outlineLvl w:val="2"/>
      </w:pPr>
      <w:r>
        <w:rPr>
          <w:rFonts w:ascii="黑体" w:hAnsi="黑体" w:eastAsia="黑体"/>
          <w:sz w:val="32"/>
        </w:rPr>
        <w:t>四、财政拨款收入支出决算总体情况说明</w:t>
      </w:r>
    </w:p>
    <w:p w14:paraId="2CC7F1A9">
      <w:pPr>
        <w:spacing w:line="580" w:lineRule="exact"/>
        <w:ind w:firstLine="640"/>
        <w:jc w:val="both"/>
      </w:pPr>
      <w:r>
        <w:rPr>
          <w:rFonts w:ascii="仿宋_GB2312" w:hAnsi="仿宋_GB2312" w:eastAsia="仿宋_GB2312"/>
          <w:b/>
          <w:sz w:val="32"/>
        </w:rPr>
        <w:t>2024年度财政拨款收入总计99.48万元，</w:t>
      </w:r>
      <w:r>
        <w:rPr>
          <w:rFonts w:ascii="仿宋_GB2312" w:hAnsi="仿宋_GB2312" w:eastAsia="仿宋_GB2312"/>
          <w:b w:val="0"/>
          <w:sz w:val="32"/>
        </w:rPr>
        <w:t>其中：年初财政拨款结转和结余0.00万元，本年财政拨款收入99.48万元。</w:t>
      </w:r>
      <w:r>
        <w:rPr>
          <w:rFonts w:ascii="仿宋_GB2312" w:hAnsi="仿宋_GB2312" w:eastAsia="仿宋_GB2312"/>
          <w:b/>
          <w:sz w:val="32"/>
        </w:rPr>
        <w:t>财政拨款支出总计99.48万元，</w:t>
      </w:r>
      <w:r>
        <w:rPr>
          <w:rFonts w:ascii="仿宋_GB2312" w:hAnsi="仿宋_GB2312" w:eastAsia="仿宋_GB2312"/>
          <w:b w:val="0"/>
          <w:sz w:val="32"/>
        </w:rPr>
        <w:t>其中：年末财政拨款结转和结余0.00万元，本年财政拨款支出99.48万元。</w:t>
      </w:r>
    </w:p>
    <w:p w14:paraId="11C4082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减少28.35万元，下降22.18%，主要原因是：本年减少办公经费和网络租赁费。</w:t>
      </w:r>
      <w:r>
        <w:rPr>
          <w:rFonts w:ascii="仿宋_GB2312" w:hAnsi="仿宋_GB2312" w:eastAsia="仿宋_GB2312"/>
          <w:b/>
          <w:sz w:val="32"/>
        </w:rPr>
        <w:t>与年初预算相比，</w:t>
      </w:r>
      <w:r>
        <w:rPr>
          <w:rFonts w:ascii="仿宋_GB2312" w:hAnsi="仿宋_GB2312" w:eastAsia="仿宋_GB2312"/>
          <w:b w:val="0"/>
          <w:sz w:val="32"/>
        </w:rPr>
        <w:t>年初预算数73.13万元，决算数99.48万元，预决算差异率36.03%，主要原因是：年中追加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行政服务中心办公经费项目，导致预决算存在差异。</w:t>
      </w:r>
    </w:p>
    <w:p w14:paraId="6353F27B">
      <w:pPr>
        <w:spacing w:line="640" w:lineRule="exact"/>
        <w:ind w:firstLine="640"/>
        <w:jc w:val="both"/>
        <w:outlineLvl w:val="2"/>
      </w:pPr>
      <w:r>
        <w:rPr>
          <w:rFonts w:ascii="黑体" w:hAnsi="黑体" w:eastAsia="黑体"/>
          <w:sz w:val="32"/>
        </w:rPr>
        <w:t>五、一般公共预算财政拨款支出决算情况说明</w:t>
      </w:r>
    </w:p>
    <w:p w14:paraId="5D5C80F1">
      <w:pPr>
        <w:spacing w:line="640" w:lineRule="exact"/>
        <w:ind w:firstLine="640"/>
        <w:jc w:val="both"/>
        <w:outlineLvl w:val="3"/>
      </w:pPr>
      <w:r>
        <w:rPr>
          <w:rFonts w:ascii="楷体_GB2312" w:hAnsi="楷体_GB2312" w:eastAsia="楷体_GB2312"/>
          <w:b/>
          <w:sz w:val="32"/>
        </w:rPr>
        <w:t>（一）一般公共预算财政拨款支出决算总体情况</w:t>
      </w:r>
    </w:p>
    <w:p w14:paraId="1C5CB794">
      <w:pPr>
        <w:spacing w:line="580" w:lineRule="exact"/>
        <w:ind w:firstLine="640"/>
        <w:jc w:val="both"/>
      </w:pPr>
      <w:r>
        <w:rPr>
          <w:rFonts w:ascii="仿宋_GB2312" w:hAnsi="仿宋_GB2312" w:eastAsia="仿宋_GB2312"/>
          <w:b/>
          <w:sz w:val="32"/>
        </w:rPr>
        <w:t>2024年度一般公共预算财政拨款支出99.48万元，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减少28.35万元，下降22.18%，主要原因是：本年减少办公经费和网络租赁费。</w:t>
      </w:r>
      <w:r>
        <w:rPr>
          <w:rFonts w:ascii="仿宋_GB2312" w:hAnsi="仿宋_GB2312" w:eastAsia="仿宋_GB2312"/>
          <w:b/>
          <w:sz w:val="32"/>
        </w:rPr>
        <w:t>与年初预算相比,</w:t>
      </w:r>
      <w:r>
        <w:rPr>
          <w:rFonts w:ascii="仿宋_GB2312" w:hAnsi="仿宋_GB2312" w:eastAsia="仿宋_GB2312"/>
          <w:b w:val="0"/>
          <w:sz w:val="32"/>
        </w:rPr>
        <w:t>年初预算数73.13万元，决算数99.48万元，预决算差异率36.03%，主要原因是：年中追加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行政服务中心办公经费项目，导致预决算存在差异。</w:t>
      </w:r>
    </w:p>
    <w:p w14:paraId="0DF465FD">
      <w:pPr>
        <w:spacing w:line="640" w:lineRule="exact"/>
        <w:ind w:firstLine="640"/>
        <w:jc w:val="both"/>
        <w:outlineLvl w:val="3"/>
      </w:pPr>
      <w:r>
        <w:rPr>
          <w:rFonts w:ascii="楷体_GB2312" w:hAnsi="楷体_GB2312" w:eastAsia="楷体_GB2312"/>
          <w:b/>
          <w:sz w:val="32"/>
        </w:rPr>
        <w:t>（二）一般公共预算财政拨款支出决算结构情况</w:t>
      </w:r>
    </w:p>
    <w:p w14:paraId="2D5879EB">
      <w:pPr>
        <w:spacing w:line="580" w:lineRule="exact"/>
        <w:ind w:firstLine="640"/>
        <w:jc w:val="both"/>
      </w:pPr>
      <w:r>
        <w:rPr>
          <w:rFonts w:ascii="仿宋_GB2312" w:hAnsi="仿宋_GB2312" w:eastAsia="仿宋_GB2312"/>
          <w:b w:val="0"/>
          <w:sz w:val="32"/>
        </w:rPr>
        <w:t>1.一般公共服务支出(类)78.86万元,占79.27%。</w:t>
      </w:r>
    </w:p>
    <w:p w14:paraId="5E2FC6A3">
      <w:pPr>
        <w:spacing w:line="580" w:lineRule="exact"/>
        <w:ind w:firstLine="640"/>
        <w:jc w:val="both"/>
      </w:pPr>
      <w:r>
        <w:rPr>
          <w:rFonts w:ascii="仿宋_GB2312" w:hAnsi="仿宋_GB2312" w:eastAsia="仿宋_GB2312"/>
          <w:b w:val="0"/>
          <w:sz w:val="32"/>
        </w:rPr>
        <w:t>2.社会保障和就业支出(类)9.09万元,占9.14%。</w:t>
      </w:r>
    </w:p>
    <w:p w14:paraId="6A4B96E6">
      <w:pPr>
        <w:spacing w:line="580" w:lineRule="exact"/>
        <w:ind w:firstLine="640"/>
        <w:jc w:val="both"/>
      </w:pPr>
      <w:r>
        <w:rPr>
          <w:rFonts w:ascii="仿宋_GB2312" w:hAnsi="仿宋_GB2312" w:eastAsia="仿宋_GB2312"/>
          <w:b w:val="0"/>
          <w:sz w:val="32"/>
        </w:rPr>
        <w:t>3.卫生健康支出(类)3.86万元,占3.88%。</w:t>
      </w:r>
    </w:p>
    <w:p w14:paraId="0DFD2309">
      <w:pPr>
        <w:spacing w:line="580" w:lineRule="exact"/>
        <w:ind w:firstLine="640"/>
        <w:jc w:val="both"/>
      </w:pPr>
      <w:r>
        <w:rPr>
          <w:rFonts w:ascii="仿宋_GB2312" w:hAnsi="仿宋_GB2312" w:eastAsia="仿宋_GB2312"/>
          <w:b w:val="0"/>
          <w:sz w:val="32"/>
        </w:rPr>
        <w:t>4.住房保障支出(类)7.67万元,占7.71%。</w:t>
      </w:r>
    </w:p>
    <w:p w14:paraId="3AE4202F">
      <w:pPr>
        <w:spacing w:line="640" w:lineRule="exact"/>
        <w:ind w:firstLine="640"/>
        <w:jc w:val="both"/>
        <w:outlineLvl w:val="3"/>
      </w:pPr>
      <w:r>
        <w:rPr>
          <w:rFonts w:ascii="楷体_GB2312" w:hAnsi="楷体_GB2312" w:eastAsia="楷体_GB2312"/>
          <w:b/>
          <w:sz w:val="32"/>
        </w:rPr>
        <w:t>（三）一般公共预算财政拨款支出决算具体情况</w:t>
      </w:r>
    </w:p>
    <w:p w14:paraId="17EF71A9">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1.一般公共服务支出(类)政府办公厅（室）及相关机构事务(款)事业运行(项):支出决算数为72.86万元，比上年决算减少22.46万元，下降23.56%,主要原因是：</w:t>
      </w:r>
      <w:r>
        <w:rPr>
          <w:rFonts w:hint="eastAsia" w:ascii="仿宋_GB2312" w:hAnsi="仿宋_GB2312" w:eastAsia="仿宋_GB2312"/>
          <w:b w:val="0"/>
          <w:sz w:val="32"/>
          <w:lang w:val="en-US" w:eastAsia="zh-CN"/>
        </w:rPr>
        <w:t>本年在职人员减少，人员经费减少；</w:t>
      </w:r>
      <w:r>
        <w:rPr>
          <w:rFonts w:ascii="仿宋_GB2312" w:hAnsi="仿宋_GB2312" w:eastAsia="仿宋_GB2312"/>
          <w:b w:val="0"/>
          <w:sz w:val="32"/>
        </w:rPr>
        <w:t>严格控制公用经费，合理节约办公用品，办公费用减少，导致公用经费较上年减少。</w:t>
      </w:r>
    </w:p>
    <w:p w14:paraId="78419D4C">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2.一般公共服务支出(类)政府办公厅（室）及相关机构事务(款)其他政府办公厅（室）及相关机构事务支出(项):支出决算数为6.00万元，比上年决算增加6.00万元，增长100.00%,主要原因是：本年增加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行政服务中心办公经费项目。</w:t>
      </w:r>
    </w:p>
    <w:p w14:paraId="1536E60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9.09万元，比上年决算增加1.09万元，增长13.62%,主要原因是：本年在职人员工资基数调增，养老缴费基数上涨，相应支出增加。</w:t>
      </w:r>
    </w:p>
    <w:p w14:paraId="4ABB2CF6">
      <w:pPr>
        <w:spacing w:line="580" w:lineRule="exact"/>
        <w:ind w:firstLine="640"/>
        <w:jc w:val="both"/>
      </w:pPr>
      <w:r>
        <w:rPr>
          <w:rFonts w:ascii="仿宋_GB2312" w:hAnsi="仿宋_GB2312" w:eastAsia="仿宋_GB2312"/>
          <w:b w:val="0"/>
          <w:sz w:val="32"/>
        </w:rPr>
        <w:t>4.卫生健康支出(类)行政事业单位医疗(款)事业单位医疗(项):支出决算数为3.86万元，比上年决算增加0.46万元，增长13.53%,主要原因是：本年在职人员工资基数调增，医疗缴费基数上涨，相应支出增加。</w:t>
      </w:r>
    </w:p>
    <w:p w14:paraId="2DA86F3C">
      <w:pPr>
        <w:spacing w:line="580" w:lineRule="exact"/>
        <w:ind w:firstLine="640"/>
        <w:jc w:val="both"/>
      </w:pPr>
      <w:r>
        <w:rPr>
          <w:rFonts w:ascii="仿宋_GB2312" w:hAnsi="仿宋_GB2312" w:eastAsia="仿宋_GB2312"/>
          <w:b w:val="0"/>
          <w:sz w:val="32"/>
        </w:rPr>
        <w:t>5.住房保障支出(类)住房改革支出(款)住房公积金(项):支出决算数为7.67万元，比上年决算增加1.11万元，增长16.92%,主要原因是：本年在职人员工资基数调增，公积金缴费基数上涨，相应支出增加。</w:t>
      </w:r>
    </w:p>
    <w:p w14:paraId="2C4AC191">
      <w:pPr>
        <w:spacing w:line="580" w:lineRule="exact"/>
        <w:ind w:firstLine="640"/>
        <w:jc w:val="both"/>
      </w:pPr>
      <w:r>
        <w:rPr>
          <w:rFonts w:ascii="仿宋_GB2312" w:hAnsi="仿宋_GB2312" w:eastAsia="仿宋_GB2312"/>
          <w:b w:val="0"/>
          <w:sz w:val="32"/>
        </w:rPr>
        <w:t>6.其他支出(类)其他支出(款)其他支出(项):支出决算数为0.00万元，比上年决算减少14.56万元，下降100.00%,主要原因是：本年未安排网络租赁费项目。</w:t>
      </w:r>
    </w:p>
    <w:p w14:paraId="335D2816">
      <w:pPr>
        <w:spacing w:line="640" w:lineRule="exact"/>
        <w:ind w:firstLine="640"/>
        <w:jc w:val="both"/>
        <w:outlineLvl w:val="2"/>
      </w:pPr>
      <w:r>
        <w:rPr>
          <w:rFonts w:ascii="黑体" w:hAnsi="黑体" w:eastAsia="黑体"/>
          <w:sz w:val="32"/>
        </w:rPr>
        <w:t>六、一般公共预算财政拨款基本支出决算情况说明</w:t>
      </w:r>
    </w:p>
    <w:p w14:paraId="189726F2">
      <w:pPr>
        <w:spacing w:line="580" w:lineRule="exact"/>
        <w:ind w:firstLine="640"/>
        <w:jc w:val="both"/>
      </w:pPr>
      <w:r>
        <w:rPr>
          <w:rFonts w:ascii="仿宋_GB2312" w:hAnsi="仿宋_GB2312" w:eastAsia="仿宋_GB2312"/>
          <w:b w:val="0"/>
          <w:sz w:val="32"/>
        </w:rPr>
        <w:t>2024年度一般公共预算财政拨款基本支出93.49万元，其中：</w:t>
      </w:r>
      <w:r>
        <w:rPr>
          <w:rFonts w:ascii="仿宋_GB2312" w:hAnsi="仿宋_GB2312" w:eastAsia="仿宋_GB2312"/>
          <w:b/>
          <w:sz w:val="32"/>
        </w:rPr>
        <w:t>人员经费84.88万元，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3A872432">
      <w:pPr>
        <w:spacing w:line="580" w:lineRule="exact"/>
        <w:ind w:firstLine="640"/>
        <w:jc w:val="both"/>
      </w:pPr>
      <w:r>
        <w:rPr>
          <w:rFonts w:ascii="仿宋_GB2312" w:hAnsi="仿宋_GB2312" w:eastAsia="仿宋_GB2312"/>
          <w:b/>
          <w:sz w:val="32"/>
        </w:rPr>
        <w:t>公用经费8.60万元，</w:t>
      </w:r>
      <w:r>
        <w:rPr>
          <w:rFonts w:ascii="仿宋_GB2312" w:hAnsi="仿宋_GB2312" w:eastAsia="仿宋_GB2312"/>
          <w:b w:val="0"/>
          <w:sz w:val="32"/>
        </w:rPr>
        <w:t>包括：办公费、取暖费。</w:t>
      </w:r>
    </w:p>
    <w:p w14:paraId="27BBCAE5">
      <w:pPr>
        <w:spacing w:line="640" w:lineRule="exact"/>
        <w:ind w:firstLine="640"/>
        <w:jc w:val="both"/>
        <w:outlineLvl w:val="2"/>
      </w:pPr>
      <w:r>
        <w:rPr>
          <w:rFonts w:ascii="黑体" w:hAnsi="黑体" w:eastAsia="黑体"/>
          <w:sz w:val="32"/>
        </w:rPr>
        <w:t>七、政府性基金预算财政拨款收入支出决算情况说明</w:t>
      </w:r>
    </w:p>
    <w:p w14:paraId="329DCEA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EE51E3">
      <w:pPr>
        <w:spacing w:line="640" w:lineRule="exact"/>
        <w:ind w:firstLine="640"/>
        <w:jc w:val="both"/>
        <w:outlineLvl w:val="2"/>
      </w:pPr>
      <w:r>
        <w:rPr>
          <w:rFonts w:ascii="黑体" w:hAnsi="黑体" w:eastAsia="黑体"/>
          <w:sz w:val="32"/>
        </w:rPr>
        <w:t>八、国有资本经营预算财政拨款收入支出决算情况说明</w:t>
      </w:r>
    </w:p>
    <w:p w14:paraId="4092AC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C07F7B0">
      <w:pPr>
        <w:spacing w:line="640" w:lineRule="exact"/>
        <w:ind w:firstLine="640"/>
        <w:jc w:val="both"/>
        <w:outlineLvl w:val="2"/>
      </w:pPr>
      <w:r>
        <w:rPr>
          <w:rFonts w:ascii="黑体" w:hAnsi="黑体" w:eastAsia="黑体"/>
          <w:sz w:val="32"/>
        </w:rPr>
        <w:t>九、财政拨款“三公”经费支出决算情况说明</w:t>
      </w:r>
    </w:p>
    <w:p w14:paraId="73EA2C2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45E50E7">
      <w:pPr>
        <w:spacing w:line="580" w:lineRule="exact"/>
        <w:ind w:firstLine="640"/>
        <w:jc w:val="both"/>
      </w:pPr>
      <w:r>
        <w:rPr>
          <w:rFonts w:ascii="仿宋_GB2312" w:hAnsi="仿宋_GB2312" w:eastAsia="仿宋_GB2312"/>
          <w:b/>
          <w:sz w:val="32"/>
        </w:rPr>
        <w:t>具体情况如下：</w:t>
      </w:r>
    </w:p>
    <w:p w14:paraId="1DA6EF6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C80F7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86CC38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B800E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5B8EA72B">
      <w:pPr>
        <w:spacing w:line="640" w:lineRule="exact"/>
        <w:ind w:firstLine="640"/>
        <w:jc w:val="both"/>
        <w:outlineLvl w:val="2"/>
      </w:pPr>
      <w:r>
        <w:rPr>
          <w:rFonts w:ascii="黑体" w:hAnsi="黑体" w:eastAsia="黑体"/>
          <w:sz w:val="32"/>
        </w:rPr>
        <w:t>十、其他重要事项的情况说明</w:t>
      </w:r>
    </w:p>
    <w:p w14:paraId="7B7E3D17">
      <w:pPr>
        <w:spacing w:line="640" w:lineRule="exact"/>
        <w:ind w:firstLine="640"/>
        <w:jc w:val="both"/>
        <w:outlineLvl w:val="3"/>
      </w:pPr>
      <w:r>
        <w:rPr>
          <w:rFonts w:ascii="楷体_GB2312" w:hAnsi="楷体_GB2312" w:eastAsia="楷体_GB2312"/>
          <w:b/>
          <w:sz w:val="32"/>
        </w:rPr>
        <w:t>（一）机关运行经费及公用经费支出情况</w:t>
      </w:r>
    </w:p>
    <w:p w14:paraId="3D4903F7">
      <w:pPr>
        <w:spacing w:line="580" w:lineRule="exact"/>
        <w:ind w:firstLine="640"/>
        <w:jc w:val="both"/>
      </w:pPr>
      <w:r>
        <w:rPr>
          <w:rFonts w:ascii="仿宋_GB2312" w:hAnsi="仿宋_GB2312" w:eastAsia="仿宋_GB2312"/>
          <w:b w:val="0"/>
          <w:sz w:val="32"/>
        </w:rPr>
        <w:t>2024年度塔什库尔干塔吉克自治县行政服务中心（事业单位）公用经费支出8.60万元，比上年减少18.31万元，下降68.04%，主要原因是：严格控制公用经费，合理节约办公用品，办公费用减少，导致公用经费较上年减少。</w:t>
      </w:r>
    </w:p>
    <w:p w14:paraId="63EB3800">
      <w:pPr>
        <w:spacing w:line="640" w:lineRule="exact"/>
        <w:ind w:firstLine="640"/>
        <w:jc w:val="both"/>
        <w:outlineLvl w:val="3"/>
      </w:pPr>
      <w:r>
        <w:rPr>
          <w:rFonts w:ascii="楷体_GB2312" w:hAnsi="楷体_GB2312" w:eastAsia="楷体_GB2312"/>
          <w:b/>
          <w:sz w:val="32"/>
        </w:rPr>
        <w:t>（二）政府采购情况</w:t>
      </w:r>
    </w:p>
    <w:p w14:paraId="74E92408">
      <w:pPr>
        <w:spacing w:line="580" w:lineRule="exact"/>
        <w:ind w:firstLine="640"/>
        <w:jc w:val="both"/>
      </w:pPr>
      <w:r>
        <w:rPr>
          <w:rFonts w:ascii="仿宋_GB2312" w:hAnsi="仿宋_GB2312" w:eastAsia="仿宋_GB2312"/>
          <w:b w:val="0"/>
          <w:sz w:val="32"/>
        </w:rPr>
        <w:t>2024年度政府采购支出总额0.08万元，其中：政府采购货物支出0.08万元、政府采购工程支出0.00万元、政府采购服务支出0.00万元。</w:t>
      </w:r>
    </w:p>
    <w:p w14:paraId="476C1B2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91258D7">
      <w:pPr>
        <w:spacing w:line="640" w:lineRule="exact"/>
        <w:ind w:firstLine="640"/>
        <w:jc w:val="both"/>
        <w:outlineLvl w:val="3"/>
      </w:pPr>
      <w:r>
        <w:rPr>
          <w:rFonts w:ascii="楷体_GB2312" w:hAnsi="楷体_GB2312" w:eastAsia="楷体_GB2312"/>
          <w:b/>
          <w:sz w:val="32"/>
        </w:rPr>
        <w:t>（三）国有资产占用情况说明</w:t>
      </w:r>
    </w:p>
    <w:p w14:paraId="572FE54A">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B0D5C86">
      <w:pPr>
        <w:spacing w:line="640" w:lineRule="exact"/>
        <w:ind w:firstLine="640"/>
        <w:jc w:val="both"/>
        <w:outlineLvl w:val="2"/>
      </w:pPr>
      <w:r>
        <w:rPr>
          <w:rFonts w:ascii="黑体" w:hAnsi="黑体" w:eastAsia="黑体"/>
          <w:sz w:val="32"/>
        </w:rPr>
        <w:t>十一、预算绩效的情况说明</w:t>
      </w:r>
    </w:p>
    <w:p w14:paraId="1B58B5C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99.48万元，实际执行总额99.48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14:paraId="5CA5488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D14BEA">
        <w:tblPrEx>
          <w:tblCellMar>
            <w:top w:w="0" w:type="dxa"/>
            <w:left w:w="108" w:type="dxa"/>
            <w:bottom w:w="0" w:type="dxa"/>
            <w:right w:w="108" w:type="dxa"/>
          </w:tblCellMar>
        </w:tblPrEx>
        <w:tc>
          <w:tcPr>
            <w:tcW w:w="8847" w:type="dxa"/>
            <w:gridSpan w:val="9"/>
            <w:vAlign w:val="center"/>
          </w:tcPr>
          <w:p w14:paraId="484F7A8D">
            <w:pPr>
              <w:jc w:val="center"/>
            </w:pPr>
            <w:r>
              <w:rPr>
                <w:rFonts w:ascii="宋体" w:hAnsi="宋体" w:eastAsia="宋体"/>
                <w:sz w:val="24"/>
              </w:rPr>
              <w:t>单位整体支出绩效自评表</w:t>
            </w:r>
          </w:p>
        </w:tc>
      </w:tr>
      <w:tr w14:paraId="72686B3F">
        <w:tblPrEx>
          <w:tblCellMar>
            <w:top w:w="0" w:type="dxa"/>
            <w:left w:w="108" w:type="dxa"/>
            <w:bottom w:w="0" w:type="dxa"/>
            <w:right w:w="108" w:type="dxa"/>
          </w:tblCellMar>
        </w:tblPrEx>
        <w:tc>
          <w:tcPr>
            <w:tcW w:w="8847" w:type="dxa"/>
            <w:gridSpan w:val="9"/>
            <w:vAlign w:val="center"/>
          </w:tcPr>
          <w:p w14:paraId="0C005FF3">
            <w:pPr>
              <w:jc w:val="center"/>
            </w:pPr>
            <w:r>
              <w:rPr>
                <w:rFonts w:ascii="宋体" w:hAnsi="宋体" w:eastAsia="宋体"/>
                <w:sz w:val="24"/>
              </w:rPr>
              <w:t>（2024年度）</w:t>
            </w:r>
          </w:p>
        </w:tc>
      </w:tr>
      <w:tr w14:paraId="5F0D94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6715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FABC61">
            <w:pPr>
              <w:jc w:val="center"/>
            </w:pPr>
            <w:r>
              <w:rPr>
                <w:rFonts w:ascii="宋体" w:hAnsi="宋体" w:eastAsia="宋体"/>
                <w:sz w:val="16"/>
              </w:rPr>
              <w:t>塔什库尔干塔吉克自治县行政服务中心</w:t>
            </w:r>
          </w:p>
        </w:tc>
      </w:tr>
      <w:tr w14:paraId="715EEF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CAA1A">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6BCE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073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1FB2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434B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2FE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3B67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A05F">
            <w:pPr>
              <w:jc w:val="center"/>
            </w:pPr>
            <w:r>
              <w:rPr>
                <w:rFonts w:ascii="宋体" w:hAnsi="宋体" w:eastAsia="宋体"/>
                <w:sz w:val="16"/>
              </w:rPr>
              <w:t>得分</w:t>
            </w:r>
          </w:p>
        </w:tc>
      </w:tr>
      <w:tr w14:paraId="09436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F36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A44E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A33F1">
            <w:pPr>
              <w:jc w:val="center"/>
            </w:pPr>
            <w:r>
              <w:rPr>
                <w:rFonts w:ascii="宋体" w:hAnsi="宋体" w:eastAsia="宋体"/>
                <w:sz w:val="16"/>
              </w:rPr>
              <w:t>73.14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D7B0">
            <w:pPr>
              <w:jc w:val="center"/>
            </w:pPr>
            <w:r>
              <w:rPr>
                <w:rFonts w:ascii="宋体" w:hAnsi="宋体" w:eastAsia="宋体"/>
                <w:sz w:val="16"/>
              </w:rPr>
              <w:t>99.48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74834">
            <w:pPr>
              <w:jc w:val="center"/>
            </w:pPr>
            <w:r>
              <w:rPr>
                <w:rFonts w:ascii="宋体" w:hAnsi="宋体" w:eastAsia="宋体"/>
                <w:sz w:val="16"/>
              </w:rPr>
              <w:t>99.48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1F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F5E1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574B6">
            <w:pPr>
              <w:jc w:val="center"/>
            </w:pPr>
            <w:r>
              <w:rPr>
                <w:rFonts w:ascii="宋体" w:hAnsi="宋体" w:eastAsia="宋体"/>
                <w:sz w:val="16"/>
              </w:rPr>
              <w:t>10</w:t>
            </w:r>
          </w:p>
        </w:tc>
      </w:tr>
      <w:tr w14:paraId="32EC4F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F6E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0A8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1E1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65202">
            <w:pPr>
              <w:jc w:val="center"/>
            </w:pPr>
            <w:r>
              <w:rPr>
                <w:rFonts w:ascii="宋体" w:hAnsi="宋体" w:eastAsia="宋体"/>
                <w:sz w:val="16"/>
              </w:rPr>
              <w:t>27.35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D655">
            <w:pPr>
              <w:jc w:val="center"/>
            </w:pPr>
            <w:r>
              <w:rPr>
                <w:rFonts w:ascii="宋体" w:hAnsi="宋体" w:eastAsia="宋体"/>
                <w:sz w:val="16"/>
              </w:rPr>
              <w:t>27.35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B16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576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7EEA">
            <w:pPr>
              <w:jc w:val="center"/>
            </w:pPr>
            <w:r>
              <w:rPr>
                <w:rFonts w:ascii="宋体" w:hAnsi="宋体" w:eastAsia="宋体"/>
                <w:sz w:val="16"/>
              </w:rPr>
              <w:t>—</w:t>
            </w:r>
          </w:p>
        </w:tc>
      </w:tr>
      <w:tr w14:paraId="3DA31E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1FE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EEF8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E50BD">
            <w:pPr>
              <w:jc w:val="center"/>
            </w:pPr>
            <w:r>
              <w:rPr>
                <w:rFonts w:ascii="宋体" w:hAnsi="宋体" w:eastAsia="宋体"/>
                <w:sz w:val="16"/>
              </w:rPr>
              <w:t>73.14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4CAC1">
            <w:pPr>
              <w:jc w:val="center"/>
            </w:pPr>
            <w:r>
              <w:rPr>
                <w:rFonts w:ascii="宋体" w:hAnsi="宋体" w:eastAsia="宋体"/>
                <w:sz w:val="16"/>
              </w:rPr>
              <w:t>72.13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2C77D">
            <w:pPr>
              <w:jc w:val="center"/>
            </w:pPr>
            <w:r>
              <w:rPr>
                <w:rFonts w:ascii="宋体" w:hAnsi="宋体" w:eastAsia="宋体"/>
                <w:sz w:val="16"/>
              </w:rPr>
              <w:t>72.13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F7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1624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2052">
            <w:pPr>
              <w:jc w:val="center"/>
            </w:pPr>
            <w:r>
              <w:rPr>
                <w:rFonts w:ascii="宋体" w:hAnsi="宋体" w:eastAsia="宋体"/>
                <w:sz w:val="16"/>
              </w:rPr>
              <w:t>—</w:t>
            </w:r>
          </w:p>
        </w:tc>
      </w:tr>
      <w:tr w14:paraId="093AE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412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F3D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43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AB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A60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D47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9556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2B88">
            <w:pPr>
              <w:jc w:val="center"/>
            </w:pPr>
            <w:r>
              <w:rPr>
                <w:rFonts w:ascii="宋体" w:hAnsi="宋体" w:eastAsia="宋体"/>
                <w:sz w:val="16"/>
              </w:rPr>
              <w:t>—</w:t>
            </w:r>
          </w:p>
        </w:tc>
      </w:tr>
      <w:tr w14:paraId="0EF9B7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E8F1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D2710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05B02">
            <w:pPr>
              <w:jc w:val="center"/>
            </w:pPr>
            <w:r>
              <w:rPr>
                <w:rFonts w:ascii="宋体" w:hAnsi="宋体" w:eastAsia="宋体"/>
                <w:sz w:val="16"/>
              </w:rPr>
              <w:t>实际完成目标</w:t>
            </w:r>
          </w:p>
        </w:tc>
      </w:tr>
      <w:tr w14:paraId="69ECA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406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C88E2A">
            <w:pPr>
              <w:jc w:val="both"/>
            </w:pPr>
            <w:r>
              <w:rPr>
                <w:rFonts w:ascii="宋体" w:hAnsi="宋体" w:eastAsia="宋体"/>
                <w:sz w:val="16"/>
              </w:rPr>
              <w:t>全面推行一体化政务服务平台，形成线上、线下功能互补的政务服务新模式。提高行政服务中心大厅入驻部门事项的办理效率，提升政务服务事项“网上可办”能力，实现更多事项“一件事一次办”套餐服务范围，让群众</w:t>
            </w:r>
            <w:r>
              <w:rPr>
                <w:rFonts w:hint="eastAsia" w:ascii="宋体" w:hAnsi="宋体"/>
                <w:sz w:val="16"/>
                <w:lang w:eastAsia="zh-CN"/>
              </w:rPr>
              <w:t>“最多跑一次”</w:t>
            </w:r>
            <w:r>
              <w:rPr>
                <w:rFonts w:ascii="宋体" w:hAnsi="宋体" w:eastAsia="宋体"/>
                <w:sz w:val="16"/>
              </w:rPr>
              <w:t>，让数据多跑，提倡引导网上办事，提升数字政务服务效能。加强政务服务平台日常维护管理，提供网上办事指南、办事流程、一次性告知单、办理地点、办理时间、办理人员、咨询、投诉等服务，搭建便民、优质的便捷服务平台。</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EF7AD">
            <w:pPr>
              <w:jc w:val="both"/>
            </w:pPr>
            <w:r>
              <w:rPr>
                <w:rFonts w:ascii="宋体" w:hAnsi="宋体" w:eastAsia="宋体"/>
                <w:sz w:val="16"/>
              </w:rPr>
              <w:t>全面推行一体化政务服务平台，形成线上、线下功能互补的政务服务新模式。提高行政服务中心大厅入驻部门事项的办理效率，提升政务服务事项“网上可办”能力，实现更多事项“一件事一次办”套餐服务范围，让群众</w:t>
            </w:r>
            <w:r>
              <w:rPr>
                <w:rFonts w:hint="eastAsia" w:ascii="宋体" w:hAnsi="宋体"/>
                <w:sz w:val="16"/>
                <w:lang w:eastAsia="zh-CN"/>
              </w:rPr>
              <w:t>“最多跑一次”</w:t>
            </w:r>
            <w:r>
              <w:rPr>
                <w:rFonts w:ascii="宋体" w:hAnsi="宋体" w:eastAsia="宋体"/>
                <w:sz w:val="16"/>
              </w:rPr>
              <w:t>，让数据多跑，提倡引导网上办事，提升数字政务服务效能。加强政务服务平台日常维护管理，提供网上办事指南、办事流程、一次性告知单、办理地点、办理时间、办理人员、咨询、投诉等服务，搭建便民、优质的便捷服务平台。2024年具体完成的重要工作有：接待企业、群众人数5.79万人，受理、办结业务次数12.99万次，完成一体化在线政务服务平台办件量0.98万件，受理咨询及投诉次数3069次，保障政务服务事项708项。</w:t>
            </w:r>
          </w:p>
        </w:tc>
      </w:tr>
      <w:tr w14:paraId="39D971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D77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BF1B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4B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F1B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E31C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40E8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50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86E3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0837">
            <w:pPr>
              <w:jc w:val="center"/>
            </w:pPr>
            <w:r>
              <w:rPr>
                <w:rFonts w:ascii="宋体" w:hAnsi="宋体" w:eastAsia="宋体"/>
                <w:sz w:val="16"/>
              </w:rPr>
              <w:t>得分</w:t>
            </w:r>
          </w:p>
        </w:tc>
      </w:tr>
      <w:tr w14:paraId="5A6CD6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8A7C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F8C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0A5E8">
            <w:pPr>
              <w:jc w:val="center"/>
            </w:pPr>
            <w:r>
              <w:rPr>
                <w:rFonts w:ascii="宋体" w:hAnsi="宋体" w:eastAsia="宋体"/>
                <w:sz w:val="16"/>
              </w:rPr>
              <w:t>接待企业、群众人数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E5D94">
            <w:pPr>
              <w:jc w:val="center"/>
            </w:pPr>
            <w:r>
              <w:rPr>
                <w:rFonts w:ascii="宋体" w:hAnsi="宋体" w:eastAsia="宋体"/>
                <w:sz w:val="16"/>
              </w:rPr>
              <w:t>&gt;=5.50万人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EA2CC">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4CA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FD25">
            <w:pPr>
              <w:jc w:val="center"/>
            </w:pPr>
            <w:r>
              <w:rPr>
                <w:rFonts w:ascii="宋体" w:hAnsi="宋体" w:eastAsia="宋体"/>
                <w:sz w:val="16"/>
              </w:rPr>
              <w:t>5.79万人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06394">
            <w:pPr>
              <w:jc w:val="center"/>
              <w:rPr>
                <w:rFonts w:hint="eastAsia" w:eastAsia="宋体"/>
                <w:lang w:val="en-US" w:eastAsia="zh-CN"/>
              </w:rPr>
            </w:pPr>
            <w:r>
              <w:rPr>
                <w:rFonts w:ascii="宋体" w:hAnsi="宋体" w:eastAsia="宋体"/>
                <w:sz w:val="16"/>
              </w:rPr>
              <w:t>105.27</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41AB0">
            <w:pPr>
              <w:jc w:val="center"/>
            </w:pPr>
            <w:r>
              <w:rPr>
                <w:rFonts w:ascii="宋体" w:hAnsi="宋体" w:eastAsia="宋体"/>
                <w:sz w:val="16"/>
              </w:rPr>
              <w:t>20</w:t>
            </w:r>
          </w:p>
        </w:tc>
      </w:tr>
      <w:tr w14:paraId="3A6C04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EB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766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E370">
            <w:pPr>
              <w:jc w:val="center"/>
            </w:pPr>
            <w:r>
              <w:rPr>
                <w:rFonts w:ascii="宋体" w:hAnsi="宋体" w:eastAsia="宋体"/>
                <w:sz w:val="16"/>
              </w:rPr>
              <w:t>受理、办结业务次数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4C65">
            <w:pPr>
              <w:jc w:val="center"/>
            </w:pPr>
            <w:r>
              <w:rPr>
                <w:rFonts w:ascii="宋体" w:hAnsi="宋体" w:eastAsia="宋体"/>
                <w:sz w:val="16"/>
              </w:rPr>
              <w:t>&gt;=9万次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DA331">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CA0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A7805">
            <w:pPr>
              <w:jc w:val="center"/>
            </w:pPr>
            <w:r>
              <w:rPr>
                <w:rFonts w:ascii="宋体" w:hAnsi="宋体" w:eastAsia="宋体"/>
                <w:sz w:val="16"/>
              </w:rPr>
              <w:t>12.99万次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EC767">
            <w:pPr>
              <w:jc w:val="center"/>
              <w:rPr>
                <w:rFonts w:hint="eastAsia" w:eastAsia="宋体"/>
                <w:lang w:val="en-US" w:eastAsia="zh-CN"/>
              </w:rPr>
            </w:pPr>
            <w:r>
              <w:rPr>
                <w:rFonts w:ascii="宋体" w:hAnsi="宋体" w:eastAsia="宋体"/>
                <w:sz w:val="16"/>
              </w:rPr>
              <w:t>144.33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D034B">
            <w:pPr>
              <w:jc w:val="center"/>
            </w:pPr>
            <w:r>
              <w:rPr>
                <w:rFonts w:ascii="宋体" w:hAnsi="宋体" w:eastAsia="宋体"/>
                <w:sz w:val="16"/>
              </w:rPr>
              <w:t>20</w:t>
            </w:r>
          </w:p>
        </w:tc>
      </w:tr>
      <w:tr w14:paraId="13AC04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26F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BF2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0350F">
            <w:pPr>
              <w:jc w:val="center"/>
            </w:pPr>
            <w:r>
              <w:rPr>
                <w:rFonts w:ascii="宋体" w:hAnsi="宋体" w:eastAsia="宋体"/>
                <w:sz w:val="16"/>
              </w:rPr>
              <w:t>一体化在线政务服务平台办件量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02B7D">
            <w:pPr>
              <w:jc w:val="center"/>
            </w:pPr>
            <w:r>
              <w:rPr>
                <w:rFonts w:ascii="宋体" w:hAnsi="宋体" w:eastAsia="宋体"/>
                <w:sz w:val="16"/>
              </w:rPr>
              <w:t>&gt;=1万件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1ACB">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655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EA34">
            <w:pPr>
              <w:jc w:val="center"/>
            </w:pPr>
            <w:r>
              <w:rPr>
                <w:rFonts w:ascii="宋体" w:hAnsi="宋体" w:eastAsia="宋体"/>
                <w:sz w:val="16"/>
              </w:rPr>
              <w:t>0.98万件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B8C32">
            <w:pPr>
              <w:jc w:val="center"/>
              <w:rPr>
                <w:rFonts w:hint="eastAsia" w:eastAsia="宋体"/>
                <w:lang w:val="en-US" w:eastAsia="zh-CN"/>
              </w:rPr>
            </w:pPr>
            <w:r>
              <w:rPr>
                <w:rFonts w:ascii="宋体" w:hAnsi="宋体" w:eastAsia="宋体"/>
                <w:sz w:val="16"/>
              </w:rPr>
              <w:t>98</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A86DE">
            <w:pPr>
              <w:jc w:val="center"/>
            </w:pPr>
            <w:r>
              <w:rPr>
                <w:rFonts w:ascii="宋体" w:hAnsi="宋体" w:eastAsia="宋体"/>
                <w:sz w:val="16"/>
              </w:rPr>
              <w:t>19.6</w:t>
            </w:r>
          </w:p>
        </w:tc>
      </w:tr>
      <w:tr w14:paraId="14026C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153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EE6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0A7D2">
            <w:pPr>
              <w:jc w:val="center"/>
            </w:pPr>
            <w:r>
              <w:rPr>
                <w:rFonts w:ascii="宋体" w:hAnsi="宋体" w:eastAsia="宋体"/>
                <w:sz w:val="16"/>
              </w:rPr>
              <w:t>受理咨询及投诉次数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03FB9">
            <w:pPr>
              <w:jc w:val="center"/>
            </w:pPr>
            <w:r>
              <w:rPr>
                <w:rFonts w:ascii="宋体" w:hAnsi="宋体" w:eastAsia="宋体"/>
                <w:sz w:val="16"/>
              </w:rPr>
              <w:t>&gt;=3000次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4BC4E">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29A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25AC4">
            <w:pPr>
              <w:jc w:val="center"/>
            </w:pPr>
            <w:r>
              <w:rPr>
                <w:rFonts w:ascii="宋体" w:hAnsi="宋体" w:eastAsia="宋体"/>
                <w:sz w:val="16"/>
              </w:rPr>
              <w:t>3069次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7570B">
            <w:pPr>
              <w:jc w:val="center"/>
              <w:rPr>
                <w:rFonts w:hint="eastAsia" w:eastAsia="宋体"/>
                <w:lang w:val="en-US" w:eastAsia="zh-CN"/>
              </w:rPr>
            </w:pPr>
            <w:r>
              <w:rPr>
                <w:rFonts w:ascii="宋体" w:hAnsi="宋体" w:eastAsia="宋体"/>
                <w:sz w:val="16"/>
              </w:rPr>
              <w:t>102.3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C0ABA">
            <w:pPr>
              <w:jc w:val="center"/>
            </w:pPr>
            <w:r>
              <w:rPr>
                <w:rFonts w:ascii="宋体" w:hAnsi="宋体" w:eastAsia="宋体"/>
                <w:sz w:val="16"/>
              </w:rPr>
              <w:t>20</w:t>
            </w:r>
          </w:p>
        </w:tc>
      </w:tr>
      <w:tr w14:paraId="287584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41E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C87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5ABDC">
            <w:pPr>
              <w:jc w:val="center"/>
            </w:pPr>
            <w:r>
              <w:rPr>
                <w:rFonts w:ascii="宋体" w:hAnsi="宋体" w:eastAsia="宋体"/>
                <w:sz w:val="16"/>
              </w:rPr>
              <w:t>保障政务服务事项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3277">
            <w:pPr>
              <w:jc w:val="center"/>
            </w:pPr>
            <w:r>
              <w:rPr>
                <w:rFonts w:ascii="宋体" w:hAnsi="宋体" w:eastAsia="宋体"/>
                <w:sz w:val="16"/>
              </w:rPr>
              <w:t>&gt;=350项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77591">
            <w:pPr>
              <w:jc w:val="center"/>
            </w:pPr>
            <w:r>
              <w:rPr>
                <w:rFonts w:ascii="宋体" w:hAnsi="宋体" w:eastAsia="宋体"/>
                <w:sz w:val="16"/>
              </w:rPr>
              <w:t>塔县行政服务中心2024年工作计划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9A8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02FD6">
            <w:pPr>
              <w:jc w:val="center"/>
            </w:pPr>
            <w:r>
              <w:rPr>
                <w:rFonts w:ascii="宋体" w:hAnsi="宋体" w:eastAsia="宋体"/>
                <w:sz w:val="16"/>
              </w:rPr>
              <w:t>708项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9222">
            <w:pPr>
              <w:jc w:val="center"/>
              <w:rPr>
                <w:rFonts w:hint="eastAsia" w:eastAsia="宋体"/>
                <w:lang w:val="en-US" w:eastAsia="zh-CN"/>
              </w:rPr>
            </w:pPr>
            <w:r>
              <w:rPr>
                <w:rFonts w:ascii="宋体" w:hAnsi="宋体" w:eastAsia="宋体"/>
                <w:sz w:val="16"/>
              </w:rPr>
              <w:t>202.28</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5269">
            <w:pPr>
              <w:jc w:val="center"/>
            </w:pPr>
            <w:r>
              <w:rPr>
                <w:rFonts w:ascii="宋体" w:hAnsi="宋体" w:eastAsia="宋体"/>
                <w:sz w:val="16"/>
              </w:rPr>
              <w:t>10</w:t>
            </w:r>
          </w:p>
        </w:tc>
      </w:tr>
    </w:tbl>
    <w:p w14:paraId="12E5EB14">
      <w:r>
        <w:br w:type="page"/>
      </w:r>
    </w:p>
    <w:p w14:paraId="2875329F">
      <w:pPr>
        <w:spacing w:line="640" w:lineRule="exact"/>
        <w:ind w:firstLine="640"/>
        <w:jc w:val="both"/>
        <w:outlineLvl w:val="2"/>
      </w:pPr>
      <w:r>
        <w:rPr>
          <w:rFonts w:ascii="黑体" w:hAnsi="黑体" w:eastAsia="黑体"/>
          <w:sz w:val="32"/>
        </w:rPr>
        <w:t>十二、其他需说明的事项</w:t>
      </w:r>
    </w:p>
    <w:p w14:paraId="2CCB6852">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4F8A4459">
      <w:r>
        <w:br w:type="page"/>
      </w:r>
    </w:p>
    <w:p w14:paraId="4908590E">
      <w:pPr>
        <w:spacing w:line="240" w:lineRule="auto"/>
        <w:jc w:val="center"/>
        <w:outlineLvl w:val="1"/>
      </w:pPr>
      <w:r>
        <w:rPr>
          <w:rFonts w:ascii="黑体" w:hAnsi="黑体" w:eastAsia="黑体"/>
          <w:sz w:val="32"/>
        </w:rPr>
        <w:t>第三部分 专业名词解释</w:t>
      </w:r>
    </w:p>
    <w:p w14:paraId="0D2A6B5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CA172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8D640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61D6B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73EC80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4B081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FDC33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81C6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9AB0E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1DA91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CC6DD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65E3D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095B7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7683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BF5F97A">
      <w:r>
        <w:br w:type="page"/>
      </w:r>
    </w:p>
    <w:p w14:paraId="1090B6ED">
      <w:pPr>
        <w:spacing w:line="240" w:lineRule="auto"/>
        <w:jc w:val="center"/>
        <w:outlineLvl w:val="1"/>
      </w:pPr>
      <w:r>
        <w:rPr>
          <w:rFonts w:ascii="黑体" w:hAnsi="黑体" w:eastAsia="黑体"/>
          <w:sz w:val="32"/>
        </w:rPr>
        <w:t>第四部分 部门决算报表（见附表）</w:t>
      </w:r>
    </w:p>
    <w:p w14:paraId="7C4959D5">
      <w:pPr>
        <w:spacing w:line="240" w:lineRule="auto"/>
        <w:ind w:firstLine="640"/>
        <w:jc w:val="both"/>
      </w:pPr>
      <w:r>
        <w:rPr>
          <w:rFonts w:ascii="仿宋_GB2312" w:hAnsi="仿宋_GB2312" w:eastAsia="仿宋_GB2312"/>
          <w:b w:val="0"/>
          <w:sz w:val="32"/>
        </w:rPr>
        <w:t>一、《收入支出决算总表》</w:t>
      </w:r>
    </w:p>
    <w:p w14:paraId="557700B1">
      <w:pPr>
        <w:spacing w:line="240" w:lineRule="auto"/>
        <w:ind w:firstLine="640"/>
        <w:jc w:val="both"/>
      </w:pPr>
      <w:r>
        <w:rPr>
          <w:rFonts w:ascii="仿宋_GB2312" w:hAnsi="仿宋_GB2312" w:eastAsia="仿宋_GB2312"/>
          <w:b w:val="0"/>
          <w:sz w:val="32"/>
        </w:rPr>
        <w:t>二、《收入决算表》</w:t>
      </w:r>
    </w:p>
    <w:p w14:paraId="1D14E2D6">
      <w:pPr>
        <w:spacing w:line="240" w:lineRule="auto"/>
        <w:ind w:firstLine="640"/>
        <w:jc w:val="both"/>
      </w:pPr>
      <w:r>
        <w:rPr>
          <w:rFonts w:ascii="仿宋_GB2312" w:hAnsi="仿宋_GB2312" w:eastAsia="仿宋_GB2312"/>
          <w:b w:val="0"/>
          <w:sz w:val="32"/>
        </w:rPr>
        <w:t>三、《支出决算表》</w:t>
      </w:r>
    </w:p>
    <w:p w14:paraId="673D1EB2">
      <w:pPr>
        <w:spacing w:line="240" w:lineRule="auto"/>
        <w:ind w:firstLine="640"/>
        <w:jc w:val="both"/>
      </w:pPr>
      <w:r>
        <w:rPr>
          <w:rFonts w:ascii="仿宋_GB2312" w:hAnsi="仿宋_GB2312" w:eastAsia="仿宋_GB2312"/>
          <w:b w:val="0"/>
          <w:sz w:val="32"/>
        </w:rPr>
        <w:t>四、《财政拨款收入支出决算总表》</w:t>
      </w:r>
    </w:p>
    <w:p w14:paraId="6A3696A1">
      <w:pPr>
        <w:spacing w:line="240" w:lineRule="auto"/>
        <w:ind w:firstLine="640"/>
        <w:jc w:val="both"/>
      </w:pPr>
      <w:r>
        <w:rPr>
          <w:rFonts w:ascii="仿宋_GB2312" w:hAnsi="仿宋_GB2312" w:eastAsia="仿宋_GB2312"/>
          <w:b w:val="0"/>
          <w:sz w:val="32"/>
        </w:rPr>
        <w:t>五、《一般公共预算财政拨款支出决算表》</w:t>
      </w:r>
    </w:p>
    <w:p w14:paraId="0E13C44B">
      <w:pPr>
        <w:spacing w:line="240" w:lineRule="auto"/>
        <w:ind w:firstLine="640"/>
        <w:jc w:val="both"/>
      </w:pPr>
      <w:r>
        <w:rPr>
          <w:rFonts w:ascii="仿宋_GB2312" w:hAnsi="仿宋_GB2312" w:eastAsia="仿宋_GB2312"/>
          <w:b w:val="0"/>
          <w:sz w:val="32"/>
        </w:rPr>
        <w:t>六、《一般公共预算财政拨款基本支出决算表》</w:t>
      </w:r>
    </w:p>
    <w:p w14:paraId="36E13921">
      <w:pPr>
        <w:spacing w:line="240" w:lineRule="auto"/>
        <w:ind w:firstLine="640"/>
        <w:jc w:val="both"/>
      </w:pPr>
      <w:r>
        <w:rPr>
          <w:rFonts w:ascii="仿宋_GB2312" w:hAnsi="仿宋_GB2312" w:eastAsia="仿宋_GB2312"/>
          <w:b w:val="0"/>
          <w:sz w:val="32"/>
        </w:rPr>
        <w:t>七、《政府性基金预算财政拨款收入支出决算表》</w:t>
      </w:r>
    </w:p>
    <w:p w14:paraId="081CCDB2">
      <w:pPr>
        <w:spacing w:line="240" w:lineRule="auto"/>
        <w:ind w:firstLine="640"/>
        <w:jc w:val="both"/>
      </w:pPr>
      <w:r>
        <w:rPr>
          <w:rFonts w:ascii="仿宋_GB2312" w:hAnsi="仿宋_GB2312" w:eastAsia="仿宋_GB2312"/>
          <w:b w:val="0"/>
          <w:sz w:val="32"/>
        </w:rPr>
        <w:t>八、《国有资本经营预算财政拨款收入支出决算表》</w:t>
      </w:r>
    </w:p>
    <w:p w14:paraId="4BB5085A">
      <w:pPr>
        <w:spacing w:line="240" w:lineRule="auto"/>
        <w:ind w:firstLine="640"/>
        <w:jc w:val="both"/>
      </w:pPr>
      <w:r>
        <w:rPr>
          <w:rFonts w:ascii="仿宋_GB2312" w:hAnsi="仿宋_GB2312" w:eastAsia="仿宋_GB2312"/>
          <w:b w:val="0"/>
          <w:sz w:val="32"/>
        </w:rPr>
        <w:t>九、《财政拨款“三公”经费支出决算表》</w:t>
      </w:r>
    </w:p>
    <w:p w14:paraId="6B751274">
      <w:pPr>
        <w:spacing w:line="240" w:lineRule="auto"/>
        <w:ind w:firstLine="640"/>
        <w:jc w:val="both"/>
      </w:pPr>
    </w:p>
    <w:p w14:paraId="3A5549D5">
      <w:pPr>
        <w:spacing w:line="240" w:lineRule="auto"/>
        <w:ind w:firstLine="640"/>
        <w:jc w:val="both"/>
      </w:pPr>
    </w:p>
    <w:p w14:paraId="2B2E9D28">
      <w:pPr>
        <w:spacing w:line="240" w:lineRule="auto"/>
        <w:ind w:firstLine="640"/>
        <w:jc w:val="both"/>
      </w:pPr>
    </w:p>
    <w:p w14:paraId="37DA5A93">
      <w:pPr>
        <w:spacing w:line="240" w:lineRule="auto"/>
        <w:ind w:firstLine="640"/>
        <w:jc w:val="both"/>
      </w:pPr>
    </w:p>
    <w:p w14:paraId="48C26D4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7F44E5"/>
    <w:rsid w:val="19071D6C"/>
    <w:rsid w:val="19B5554D"/>
    <w:rsid w:val="1B8F2D19"/>
    <w:rsid w:val="1C317E4F"/>
    <w:rsid w:val="1C472464"/>
    <w:rsid w:val="1CA011F1"/>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CB5685"/>
    <w:rsid w:val="73DE4104"/>
    <w:rsid w:val="73FB6630"/>
    <w:rsid w:val="74CE04EC"/>
    <w:rsid w:val="74E76DCD"/>
    <w:rsid w:val="76660D7C"/>
    <w:rsid w:val="77ED6F44"/>
    <w:rsid w:val="795A0A34"/>
    <w:rsid w:val="7A0D3BC7"/>
    <w:rsid w:val="7A3A3CDB"/>
    <w:rsid w:val="7C3803E1"/>
    <w:rsid w:val="7E8337B6"/>
    <w:rsid w:val="7E9D1A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4069</Words>
  <Characters>4678</Characters>
  <Lines>0</Lines>
  <Paragraphs>0</Paragraphs>
  <TotalTime>4</TotalTime>
  <ScaleCrop>false</ScaleCrop>
  <LinksUpToDate>false</LinksUpToDate>
  <CharactersWithSpaces>4686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