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塔什库尔干塔吉克自治县人民政府驻喀什办事处2024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8D731D">
      <w:r>
        <w:br w:type="page"/>
      </w:r>
    </w:p>
    <w:p w14:paraId="2BA9BF76">
      <w:pPr>
        <w:spacing w:line="640" w:lineRule="exact"/>
        <w:jc w:val="center"/>
        <w:outlineLvl w:val="1"/>
      </w:pPr>
      <w:r>
        <w:rPr>
          <w:rFonts w:ascii="黑体" w:hAnsi="黑体" w:eastAsia="黑体"/>
          <w:sz w:val="32"/>
        </w:rPr>
        <w:t>第一部分 单位概况</w:t>
      </w:r>
    </w:p>
    <w:p w14:paraId="313325BB">
      <w:pPr>
        <w:spacing w:line="640" w:lineRule="exact"/>
        <w:ind w:firstLine="640"/>
        <w:jc w:val="both"/>
        <w:outlineLvl w:val="2"/>
      </w:pPr>
      <w:r>
        <w:rPr>
          <w:rFonts w:ascii="黑体" w:hAnsi="黑体" w:eastAsia="黑体"/>
          <w:sz w:val="32"/>
        </w:rPr>
        <w:t>一、主要职能</w:t>
      </w:r>
    </w:p>
    <w:p w14:paraId="0DF1459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完成自治县人民政府的各项决议，决定，并向人民政府汇报工作开展和完成情况。</w:t>
      </w:r>
    </w:p>
    <w:p w14:paraId="0F8C0CE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w:t>
      </w:r>
      <w:r>
        <w:rPr>
          <w:rFonts w:hint="eastAsia" w:ascii="仿宋_GB2312" w:hAnsi="仿宋_GB2312" w:eastAsia="仿宋_GB2312"/>
          <w:sz w:val="32"/>
          <w:lang w:eastAsia="zh-CN"/>
        </w:rPr>
        <w:t>塔什库尔干塔吉克自治县</w:t>
      </w:r>
      <w:r>
        <w:rPr>
          <w:rFonts w:ascii="仿宋_GB2312" w:hAnsi="仿宋_GB2312" w:eastAsia="仿宋_GB2312"/>
          <w:sz w:val="32"/>
        </w:rPr>
        <w:t>县委，县人民政府在喀什的有关事务。</w:t>
      </w:r>
    </w:p>
    <w:p w14:paraId="00AF2FD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完成</w:t>
      </w:r>
      <w:r>
        <w:rPr>
          <w:rFonts w:hint="eastAsia" w:ascii="仿宋_GB2312" w:hAnsi="仿宋_GB2312" w:eastAsia="仿宋_GB2312"/>
          <w:sz w:val="32"/>
          <w:lang w:eastAsia="zh-CN"/>
        </w:rPr>
        <w:t>塔什库尔干塔吉克自治县</w:t>
      </w:r>
      <w:r>
        <w:rPr>
          <w:rFonts w:ascii="仿宋_GB2312" w:hAnsi="仿宋_GB2312" w:eastAsia="仿宋_GB2312"/>
          <w:sz w:val="32"/>
        </w:rPr>
        <w:t>人民政府驻喀办事处住宅小区生活管理和物业管理工作。</w:t>
      </w:r>
    </w:p>
    <w:p w14:paraId="13FB4AE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完成自治县有关单位办理的由领导交办的其他事项。</w:t>
      </w:r>
    </w:p>
    <w:p w14:paraId="5EF7328E">
      <w:pPr>
        <w:spacing w:line="640" w:lineRule="exact"/>
        <w:ind w:firstLine="640"/>
        <w:jc w:val="both"/>
        <w:outlineLvl w:val="2"/>
      </w:pPr>
      <w:r>
        <w:rPr>
          <w:rFonts w:ascii="黑体" w:hAnsi="黑体" w:eastAsia="黑体"/>
          <w:sz w:val="32"/>
        </w:rPr>
        <w:t>二、机构设置及人员情况</w:t>
      </w:r>
    </w:p>
    <w:p w14:paraId="3A544E17">
      <w:pPr>
        <w:spacing w:line="580" w:lineRule="exact"/>
        <w:ind w:firstLine="640"/>
        <w:jc w:val="both"/>
      </w:pPr>
      <w:r>
        <w:rPr>
          <w:rFonts w:ascii="仿宋_GB2312" w:hAnsi="仿宋_GB2312" w:eastAsia="仿宋_GB2312"/>
          <w:sz w:val="32"/>
        </w:rPr>
        <w:t>塔什库尔干塔吉克自治县人民政府驻喀什办事处2024年度，实有人数8人，其中：在职人员1人，增加0人；离休人员0人，增加0人；退休人员7人,增加0人。</w:t>
      </w:r>
    </w:p>
    <w:p w14:paraId="4B7931F5">
      <w:pPr>
        <w:spacing w:line="580" w:lineRule="exact"/>
        <w:ind w:firstLine="640"/>
        <w:jc w:val="both"/>
      </w:pPr>
      <w:r>
        <w:rPr>
          <w:rFonts w:ascii="仿宋_GB2312" w:hAnsi="仿宋_GB2312" w:eastAsia="仿宋_GB2312"/>
          <w:sz w:val="32"/>
        </w:rPr>
        <w:t>单位</w:t>
      </w:r>
      <w:bookmarkStart w:id="0" w:name="_GoBack"/>
      <w:bookmarkEnd w:id="0"/>
      <w:r>
        <w:rPr>
          <w:rFonts w:ascii="仿宋_GB2312" w:hAnsi="仿宋_GB2312" w:eastAsia="仿宋_GB2312"/>
          <w:sz w:val="32"/>
        </w:rPr>
        <w:t>无下属预算单位，下设1个科室，分别是：行政办公室。</w:t>
      </w:r>
    </w:p>
    <w:p w14:paraId="422E156C">
      <w:r>
        <w:br w:type="page"/>
      </w:r>
    </w:p>
    <w:p w14:paraId="5BD136A2">
      <w:pPr>
        <w:spacing w:line="240" w:lineRule="auto"/>
        <w:jc w:val="center"/>
        <w:outlineLvl w:val="1"/>
      </w:pPr>
      <w:r>
        <w:rPr>
          <w:rFonts w:ascii="黑体" w:hAnsi="黑体" w:eastAsia="黑体"/>
          <w:sz w:val="32"/>
        </w:rPr>
        <w:t>第二部分 部门决算情况说明</w:t>
      </w:r>
    </w:p>
    <w:p w14:paraId="6CB86368">
      <w:pPr>
        <w:spacing w:line="640" w:lineRule="exact"/>
        <w:ind w:firstLine="640"/>
        <w:jc w:val="both"/>
        <w:outlineLvl w:val="2"/>
      </w:pPr>
      <w:r>
        <w:rPr>
          <w:rFonts w:ascii="黑体" w:hAnsi="黑体" w:eastAsia="黑体"/>
          <w:sz w:val="32"/>
        </w:rPr>
        <w:t>一、收入支出决算总体情况说明</w:t>
      </w:r>
    </w:p>
    <w:p w14:paraId="152EFB07">
      <w:pPr>
        <w:spacing w:line="580" w:lineRule="exact"/>
        <w:ind w:firstLine="640"/>
        <w:jc w:val="both"/>
      </w:pPr>
      <w:r>
        <w:rPr>
          <w:rFonts w:ascii="仿宋_GB2312" w:hAnsi="仿宋_GB2312" w:eastAsia="仿宋_GB2312"/>
          <w:b/>
          <w:sz w:val="32"/>
        </w:rPr>
        <w:t>2024年度收入总计32.76万元，</w:t>
      </w:r>
      <w:r>
        <w:rPr>
          <w:rFonts w:ascii="仿宋_GB2312" w:hAnsi="仿宋_GB2312" w:eastAsia="仿宋_GB2312"/>
          <w:b w:val="0"/>
          <w:sz w:val="32"/>
        </w:rPr>
        <w:t>其中：本年收入合计32.76万元，使用非财政拨款结余（含专用结余）0.00万元，年初结转和结余0.00万元。</w:t>
      </w:r>
    </w:p>
    <w:p w14:paraId="5D2FA1C3">
      <w:pPr>
        <w:spacing w:line="580" w:lineRule="exact"/>
        <w:ind w:firstLine="640"/>
        <w:jc w:val="both"/>
      </w:pPr>
      <w:r>
        <w:rPr>
          <w:rFonts w:ascii="仿宋_GB2312" w:hAnsi="仿宋_GB2312" w:eastAsia="仿宋_GB2312"/>
          <w:b/>
          <w:sz w:val="32"/>
        </w:rPr>
        <w:t>2024年度支出总计32.76万元，</w:t>
      </w:r>
      <w:r>
        <w:rPr>
          <w:rFonts w:ascii="仿宋_GB2312" w:hAnsi="仿宋_GB2312" w:eastAsia="仿宋_GB2312"/>
          <w:b w:val="0"/>
          <w:sz w:val="32"/>
        </w:rPr>
        <w:t>其中：本年支出合计32.76万元，结余分配0.00万元，年末结转和结余0.00万元。</w:t>
      </w:r>
    </w:p>
    <w:p w14:paraId="3766D278">
      <w:pPr>
        <w:spacing w:line="580" w:lineRule="exact"/>
        <w:ind w:firstLine="640"/>
        <w:jc w:val="both"/>
      </w:pPr>
      <w:r>
        <w:rPr>
          <w:rFonts w:ascii="仿宋_GB2312" w:hAnsi="仿宋_GB2312" w:eastAsia="仿宋_GB2312"/>
          <w:b w:val="0"/>
          <w:sz w:val="32"/>
        </w:rPr>
        <w:t>收入支出总体与上年相比，减少2.36万元，下降6.72%，主要原因是：因退休人员医疗保险制度改革，退休人员基本医疗不再由单位缴纳，导致经费较上年减少。</w:t>
      </w:r>
    </w:p>
    <w:p w14:paraId="3B55C9E0">
      <w:pPr>
        <w:spacing w:line="640" w:lineRule="exact"/>
        <w:ind w:firstLine="640"/>
        <w:jc w:val="both"/>
        <w:outlineLvl w:val="2"/>
      </w:pPr>
      <w:r>
        <w:rPr>
          <w:rFonts w:ascii="黑体" w:hAnsi="黑体" w:eastAsia="黑体"/>
          <w:sz w:val="32"/>
        </w:rPr>
        <w:t>二、收入决算情况说明</w:t>
      </w:r>
    </w:p>
    <w:p w14:paraId="201FFF98">
      <w:pPr>
        <w:spacing w:line="580" w:lineRule="exact"/>
        <w:ind w:firstLine="640"/>
        <w:jc w:val="both"/>
      </w:pPr>
      <w:r>
        <w:rPr>
          <w:rFonts w:ascii="仿宋_GB2312" w:hAnsi="仿宋_GB2312" w:eastAsia="仿宋_GB2312"/>
          <w:b/>
          <w:sz w:val="32"/>
        </w:rPr>
        <w:t>本年收入32.76万元，</w:t>
      </w:r>
      <w:r>
        <w:rPr>
          <w:rFonts w:ascii="仿宋_GB2312" w:hAnsi="仿宋_GB2312" w:eastAsia="仿宋_GB2312"/>
          <w:b w:val="0"/>
          <w:sz w:val="32"/>
        </w:rPr>
        <w:t>其中：财政拨款收入32.76万元，占100.00%；上级补助收入0.00万元，占0.00%；事业收入0.00万元，占0.00%；经营收入0.00万元，占0.00%；附属单位上缴收入0.00万元，占0.00%；其他收入0.00万元，占0.00%。</w:t>
      </w:r>
    </w:p>
    <w:p w14:paraId="5509CACB">
      <w:pPr>
        <w:spacing w:line="640" w:lineRule="exact"/>
        <w:ind w:firstLine="640"/>
        <w:jc w:val="both"/>
        <w:outlineLvl w:val="2"/>
      </w:pPr>
      <w:r>
        <w:rPr>
          <w:rFonts w:ascii="黑体" w:hAnsi="黑体" w:eastAsia="黑体"/>
          <w:sz w:val="32"/>
        </w:rPr>
        <w:t>三、支出决算情况说明</w:t>
      </w:r>
    </w:p>
    <w:p w14:paraId="08EB3992">
      <w:pPr>
        <w:spacing w:line="580" w:lineRule="exact"/>
        <w:ind w:firstLine="640"/>
        <w:jc w:val="both"/>
      </w:pPr>
      <w:r>
        <w:rPr>
          <w:rFonts w:ascii="仿宋_GB2312" w:hAnsi="仿宋_GB2312" w:eastAsia="仿宋_GB2312"/>
          <w:b/>
          <w:sz w:val="32"/>
        </w:rPr>
        <w:t>本年支出32.76万元，</w:t>
      </w:r>
      <w:r>
        <w:rPr>
          <w:rFonts w:ascii="仿宋_GB2312" w:hAnsi="仿宋_GB2312" w:eastAsia="仿宋_GB2312"/>
          <w:b w:val="0"/>
          <w:sz w:val="32"/>
        </w:rPr>
        <w:t>其中：基本支出32.76万元，占100.00%；项目支出0.00万元，占0.00%；上缴上级支出0.00万元，占0.00%；经营支出0.00万元，占0.00%；对附属单位补助支出0.00万元，占0.00%。</w:t>
      </w:r>
    </w:p>
    <w:p w14:paraId="2E625F1D">
      <w:pPr>
        <w:spacing w:line="640" w:lineRule="exact"/>
        <w:ind w:firstLine="640"/>
        <w:jc w:val="both"/>
        <w:outlineLvl w:val="2"/>
      </w:pPr>
      <w:r>
        <w:rPr>
          <w:rFonts w:ascii="黑体" w:hAnsi="黑体" w:eastAsia="黑体"/>
          <w:sz w:val="32"/>
        </w:rPr>
        <w:t>四、财政拨款收入支出决算总体情况说明</w:t>
      </w:r>
    </w:p>
    <w:p w14:paraId="22FF505B">
      <w:pPr>
        <w:spacing w:line="580" w:lineRule="exact"/>
        <w:ind w:firstLine="640"/>
        <w:jc w:val="both"/>
      </w:pPr>
      <w:r>
        <w:rPr>
          <w:rFonts w:ascii="仿宋_GB2312" w:hAnsi="仿宋_GB2312" w:eastAsia="仿宋_GB2312"/>
          <w:b/>
          <w:sz w:val="32"/>
        </w:rPr>
        <w:t>2024年度财政拨款收入总计32.76万元，</w:t>
      </w:r>
      <w:r>
        <w:rPr>
          <w:rFonts w:ascii="仿宋_GB2312" w:hAnsi="仿宋_GB2312" w:eastAsia="仿宋_GB2312"/>
          <w:b w:val="0"/>
          <w:sz w:val="32"/>
        </w:rPr>
        <w:t>其中：年初财政拨款结转和结余0.00万元，本年财政拨款收入32.76万元。</w:t>
      </w:r>
      <w:r>
        <w:rPr>
          <w:rFonts w:ascii="仿宋_GB2312" w:hAnsi="仿宋_GB2312" w:eastAsia="仿宋_GB2312"/>
          <w:b/>
          <w:sz w:val="32"/>
        </w:rPr>
        <w:t>财政拨款支出总计32.76万元，</w:t>
      </w:r>
      <w:r>
        <w:rPr>
          <w:rFonts w:ascii="仿宋_GB2312" w:hAnsi="仿宋_GB2312" w:eastAsia="仿宋_GB2312"/>
          <w:b w:val="0"/>
          <w:sz w:val="32"/>
        </w:rPr>
        <w:t>其中：年末财政拨款结转和结余0.00万元，本年财政拨款支出32.76万元。</w:t>
      </w:r>
    </w:p>
    <w:p w14:paraId="48940CC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减少2.36万元，下降6.72%，主要原因是：因退休人员医疗保险制度改革，退休人员基本医疗不再由单位缴纳，导致经费较上年减少。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年初预算数33.96万元，决算数32.76万元，预决算差异率-3.53%，主要原因是：因退休人员医疗保险制度改革，退休人员基本医疗不再由单位缴纳，年中调减医疗缴费支出，导致预决算存在差异。</w:t>
      </w:r>
    </w:p>
    <w:p w14:paraId="70340D09">
      <w:pPr>
        <w:spacing w:line="640" w:lineRule="exact"/>
        <w:ind w:firstLine="640"/>
        <w:jc w:val="both"/>
        <w:outlineLvl w:val="2"/>
      </w:pPr>
      <w:r>
        <w:rPr>
          <w:rFonts w:ascii="黑体" w:hAnsi="黑体" w:eastAsia="黑体"/>
          <w:sz w:val="32"/>
        </w:rPr>
        <w:t>五、一般公共预算财政拨款支出决算情况说明</w:t>
      </w:r>
    </w:p>
    <w:p w14:paraId="3B4D9824">
      <w:pPr>
        <w:spacing w:line="640" w:lineRule="exact"/>
        <w:ind w:firstLine="640"/>
        <w:jc w:val="both"/>
        <w:outlineLvl w:val="3"/>
      </w:pPr>
      <w:r>
        <w:rPr>
          <w:rFonts w:ascii="楷体_GB2312" w:hAnsi="楷体_GB2312" w:eastAsia="楷体_GB2312"/>
          <w:b/>
          <w:sz w:val="32"/>
        </w:rPr>
        <w:t>（一）一般公共预算财政拨款支出决算总体情况</w:t>
      </w:r>
    </w:p>
    <w:p w14:paraId="761A0B66">
      <w:pPr>
        <w:spacing w:line="580" w:lineRule="exact"/>
        <w:ind w:firstLine="640"/>
        <w:jc w:val="both"/>
      </w:pPr>
      <w:r>
        <w:rPr>
          <w:rFonts w:ascii="仿宋_GB2312" w:hAnsi="仿宋_GB2312" w:eastAsia="仿宋_GB2312"/>
          <w:b/>
          <w:sz w:val="32"/>
        </w:rPr>
        <w:t>2024年度一般公共预算财政拨款支出32.76万元，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减少2.36万元，下降6.72%，主要原因是：因退休人员医疗保险制度改革，退休人员基本医疗不再由单位缴纳，导致经费较上年减少。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年初预算数33.96万元，决算数32.76万元，预决算差异率-3.53%，主要原因是：因退休人员医疗保险制度改革，退休人员基本医疗不再由单位缴纳，年中调减医疗缴费支出，导致预决算存在差异。</w:t>
      </w:r>
    </w:p>
    <w:p w14:paraId="1645CCDA">
      <w:pPr>
        <w:spacing w:line="640" w:lineRule="exact"/>
        <w:ind w:firstLine="640"/>
        <w:jc w:val="both"/>
        <w:outlineLvl w:val="3"/>
      </w:pPr>
      <w:r>
        <w:rPr>
          <w:rFonts w:ascii="楷体_GB2312" w:hAnsi="楷体_GB2312" w:eastAsia="楷体_GB2312"/>
          <w:b/>
          <w:sz w:val="32"/>
        </w:rPr>
        <w:t>（二）一般公共预算财政拨款支出决算结构情况</w:t>
      </w:r>
    </w:p>
    <w:p w14:paraId="25BDC4B6">
      <w:pPr>
        <w:spacing w:line="580" w:lineRule="exact"/>
        <w:ind w:firstLine="640"/>
        <w:jc w:val="both"/>
      </w:pPr>
      <w:r>
        <w:rPr>
          <w:rFonts w:ascii="仿宋_GB2312" w:hAnsi="仿宋_GB2312" w:eastAsia="仿宋_GB2312"/>
          <w:b w:val="0"/>
          <w:sz w:val="32"/>
        </w:rPr>
        <w:t>1.一般公共服务支出(类)17.97万元,占54.85%。</w:t>
      </w:r>
    </w:p>
    <w:p w14:paraId="661B0152">
      <w:pPr>
        <w:spacing w:line="580" w:lineRule="exact"/>
        <w:ind w:firstLine="640"/>
        <w:jc w:val="both"/>
      </w:pPr>
      <w:r>
        <w:rPr>
          <w:rFonts w:ascii="仿宋_GB2312" w:hAnsi="仿宋_GB2312" w:eastAsia="仿宋_GB2312"/>
          <w:b w:val="0"/>
          <w:sz w:val="32"/>
        </w:rPr>
        <w:t>2.社会保障和就业支出(类)11.86万元,占36.20%。</w:t>
      </w:r>
    </w:p>
    <w:p w14:paraId="210FCB59">
      <w:pPr>
        <w:spacing w:line="580" w:lineRule="exact"/>
        <w:ind w:firstLine="640"/>
        <w:jc w:val="both"/>
      </w:pPr>
      <w:r>
        <w:rPr>
          <w:rFonts w:ascii="仿宋_GB2312" w:hAnsi="仿宋_GB2312" w:eastAsia="仿宋_GB2312"/>
          <w:b w:val="0"/>
          <w:sz w:val="32"/>
        </w:rPr>
        <w:t>3.卫生健康支出(类)1.00万元,占3.05%。</w:t>
      </w:r>
    </w:p>
    <w:p w14:paraId="1923A3CE">
      <w:pPr>
        <w:spacing w:line="580" w:lineRule="exact"/>
        <w:ind w:firstLine="640"/>
        <w:jc w:val="both"/>
      </w:pPr>
      <w:r>
        <w:rPr>
          <w:rFonts w:ascii="仿宋_GB2312" w:hAnsi="仿宋_GB2312" w:eastAsia="仿宋_GB2312"/>
          <w:b w:val="0"/>
          <w:sz w:val="32"/>
        </w:rPr>
        <w:t>4.住房保障支出(类)1.94万元,占5.92%。</w:t>
      </w:r>
    </w:p>
    <w:p w14:paraId="61E482EA">
      <w:pPr>
        <w:spacing w:line="640" w:lineRule="exact"/>
        <w:ind w:firstLine="640"/>
        <w:jc w:val="both"/>
        <w:outlineLvl w:val="3"/>
      </w:pPr>
      <w:r>
        <w:rPr>
          <w:rFonts w:ascii="楷体_GB2312" w:hAnsi="楷体_GB2312" w:eastAsia="楷体_GB2312"/>
          <w:b/>
          <w:sz w:val="32"/>
        </w:rPr>
        <w:t>（三）一般公共预算财政拨款支出决算具体情况</w:t>
      </w:r>
    </w:p>
    <w:p w14:paraId="15FC674B">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1.一般公共服务支出(类)政府办公厅（室）及相关机构事务(款)事业运行(项):支出决算数为17.97万元，比上年决算减少0.32万元，下降1.75%,主要原因是：严格控制公用经费，合理节约办公用品，减少不必要开支</w:t>
      </w:r>
      <w:r>
        <w:rPr>
          <w:rFonts w:hint="eastAsia" w:ascii="仿宋_GB2312" w:hAnsi="仿宋_GB2312" w:eastAsia="仿宋_GB2312"/>
          <w:b w:val="0"/>
          <w:sz w:val="32"/>
          <w:lang w:val="en-US" w:eastAsia="zh-CN"/>
        </w:rPr>
        <w:t>,办公费等经费减少</w:t>
      </w:r>
      <w:r>
        <w:rPr>
          <w:rFonts w:ascii="仿宋_GB2312" w:hAnsi="仿宋_GB2312" w:eastAsia="仿宋_GB2312"/>
          <w:b w:val="0"/>
          <w:sz w:val="32"/>
        </w:rPr>
        <w:t>。</w:t>
      </w:r>
    </w:p>
    <w:p w14:paraId="28486414">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2.社会保障和就业支出(类)行政事业单位养老支出(款)事业单位离退休(项):支出决算数为9.50万元，比上年决算增加1.68万元，增长21.48%,主要原因是：本年增加退休人员基础绩效奖，退休费支出增加。</w:t>
      </w:r>
    </w:p>
    <w:p w14:paraId="78BA19C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2.35万元，比上年决算增加0.23万元，增长10.85%,主要原因是：本年在职人员工资基数调增，养老缴费基数上涨，相应支出增加。</w:t>
      </w:r>
    </w:p>
    <w:p w14:paraId="2B245E13">
      <w:pPr>
        <w:spacing w:line="580" w:lineRule="exact"/>
        <w:ind w:firstLine="640"/>
        <w:jc w:val="both"/>
      </w:pPr>
      <w:r>
        <w:rPr>
          <w:rFonts w:ascii="仿宋_GB2312" w:hAnsi="仿宋_GB2312" w:eastAsia="仿宋_GB2312"/>
          <w:b w:val="0"/>
          <w:sz w:val="32"/>
        </w:rPr>
        <w:t>4.卫生健康支出(类)行政事业单位医疗(款)事业单位医疗(项):支出决算数为1.00万元，比上年决算减少3.83万元，下降79.30%,主要原因是：因退休人员医疗保险制度改革，退休人员基本医疗不再由单位缴纳，导致经费较上年减少。</w:t>
      </w:r>
    </w:p>
    <w:p w14:paraId="77866CBF">
      <w:pPr>
        <w:spacing w:line="580" w:lineRule="exact"/>
        <w:ind w:firstLine="640"/>
        <w:jc w:val="both"/>
      </w:pPr>
      <w:r>
        <w:rPr>
          <w:rFonts w:ascii="仿宋_GB2312" w:hAnsi="仿宋_GB2312" w:eastAsia="仿宋_GB2312"/>
          <w:b w:val="0"/>
          <w:sz w:val="32"/>
        </w:rPr>
        <w:t>5.卫生健康支出(类)行政事业单位医疗(款)公务员医疗补助(项):支出决算数为0.00万元，比上年决算减少0.37万元，下降100.00%,主要原因是：因退休人员医疗保险制度改革，退休人员基本医疗不再由单位缴纳，导致经费较上年减少。</w:t>
      </w:r>
    </w:p>
    <w:p w14:paraId="4ADE31DA">
      <w:pPr>
        <w:spacing w:line="580" w:lineRule="exact"/>
        <w:ind w:firstLine="640"/>
        <w:jc w:val="both"/>
      </w:pPr>
      <w:r>
        <w:rPr>
          <w:rFonts w:ascii="仿宋_GB2312" w:hAnsi="仿宋_GB2312" w:eastAsia="仿宋_GB2312"/>
          <w:b w:val="0"/>
          <w:sz w:val="32"/>
        </w:rPr>
        <w:t>6.住房保障支出(类)住房改革支出(款)住房公积金(项):支出决算数为1.94万元，比上年决算增加0.25万元，增长14.79%,主要原因是：本年在职人员工资基数调增，公积金缴费基数上涨，相应支出增加。</w:t>
      </w:r>
    </w:p>
    <w:p w14:paraId="6D342AA9">
      <w:pPr>
        <w:spacing w:line="640" w:lineRule="exact"/>
        <w:ind w:firstLine="640"/>
        <w:jc w:val="both"/>
        <w:outlineLvl w:val="2"/>
      </w:pPr>
      <w:r>
        <w:rPr>
          <w:rFonts w:ascii="黑体" w:hAnsi="黑体" w:eastAsia="黑体"/>
          <w:sz w:val="32"/>
        </w:rPr>
        <w:t>六、一般公共预算财政拨款基本支出决算情况说明</w:t>
      </w:r>
    </w:p>
    <w:p w14:paraId="3341AC4E">
      <w:pPr>
        <w:spacing w:line="580" w:lineRule="exact"/>
        <w:ind w:firstLine="640"/>
        <w:jc w:val="both"/>
      </w:pPr>
      <w:r>
        <w:rPr>
          <w:rFonts w:ascii="仿宋_GB2312" w:hAnsi="仿宋_GB2312" w:eastAsia="仿宋_GB2312"/>
          <w:b w:val="0"/>
          <w:sz w:val="32"/>
        </w:rPr>
        <w:t>2024年度一般公共预算财政拨款基本支出32.76万元，其中：</w:t>
      </w:r>
      <w:r>
        <w:rPr>
          <w:rFonts w:ascii="仿宋_GB2312" w:hAnsi="仿宋_GB2312" w:eastAsia="仿宋_GB2312"/>
          <w:b/>
          <w:sz w:val="32"/>
        </w:rPr>
        <w:t>人员经费31.69万元，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0FF4A79A">
      <w:pPr>
        <w:spacing w:line="580" w:lineRule="exact"/>
        <w:ind w:firstLine="640"/>
        <w:jc w:val="both"/>
      </w:pPr>
      <w:r>
        <w:rPr>
          <w:rFonts w:ascii="仿宋_GB2312" w:hAnsi="仿宋_GB2312" w:eastAsia="仿宋_GB2312"/>
          <w:b/>
          <w:sz w:val="32"/>
        </w:rPr>
        <w:t>公用经费1.06万元，</w:t>
      </w:r>
      <w:r>
        <w:rPr>
          <w:rFonts w:ascii="仿宋_GB2312" w:hAnsi="仿宋_GB2312" w:eastAsia="仿宋_GB2312"/>
          <w:b w:val="0"/>
          <w:sz w:val="32"/>
        </w:rPr>
        <w:t>包括：办公费、取暖费。</w:t>
      </w:r>
    </w:p>
    <w:p w14:paraId="4F8AD544">
      <w:pPr>
        <w:spacing w:line="640" w:lineRule="exact"/>
        <w:ind w:firstLine="640"/>
        <w:jc w:val="both"/>
        <w:outlineLvl w:val="2"/>
      </w:pPr>
      <w:r>
        <w:rPr>
          <w:rFonts w:ascii="黑体" w:hAnsi="黑体" w:eastAsia="黑体"/>
          <w:sz w:val="32"/>
        </w:rPr>
        <w:t>七、政府性基金预算财政拨款收入支出决算情况说明</w:t>
      </w:r>
    </w:p>
    <w:p w14:paraId="3B4A699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8642994">
      <w:pPr>
        <w:spacing w:line="640" w:lineRule="exact"/>
        <w:ind w:firstLine="640"/>
        <w:jc w:val="both"/>
        <w:outlineLvl w:val="2"/>
      </w:pPr>
      <w:r>
        <w:rPr>
          <w:rFonts w:ascii="黑体" w:hAnsi="黑体" w:eastAsia="黑体"/>
          <w:sz w:val="32"/>
        </w:rPr>
        <w:t>八、国有资本经营预算财政拨款收入支出决算情况说明</w:t>
      </w:r>
    </w:p>
    <w:p w14:paraId="07295D1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5771D0">
      <w:pPr>
        <w:spacing w:line="640" w:lineRule="exact"/>
        <w:ind w:firstLine="640"/>
        <w:jc w:val="both"/>
        <w:outlineLvl w:val="2"/>
      </w:pPr>
      <w:r>
        <w:rPr>
          <w:rFonts w:ascii="黑体" w:hAnsi="黑体" w:eastAsia="黑体"/>
          <w:sz w:val="32"/>
        </w:rPr>
        <w:t>九、财政拨款“三公”经费支出决算情况说明</w:t>
      </w:r>
    </w:p>
    <w:p w14:paraId="2A2A3E8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79E6C9">
      <w:pPr>
        <w:spacing w:line="580" w:lineRule="exact"/>
        <w:ind w:firstLine="640"/>
        <w:jc w:val="both"/>
      </w:pPr>
      <w:r>
        <w:rPr>
          <w:rFonts w:ascii="仿宋_GB2312" w:hAnsi="仿宋_GB2312" w:eastAsia="仿宋_GB2312"/>
          <w:b/>
          <w:sz w:val="32"/>
        </w:rPr>
        <w:t>具体情况如下：</w:t>
      </w:r>
    </w:p>
    <w:p w14:paraId="7724A3D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37E2C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73F8379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4FDF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636EE0B">
      <w:pPr>
        <w:spacing w:line="640" w:lineRule="exact"/>
        <w:ind w:firstLine="640"/>
        <w:jc w:val="both"/>
        <w:outlineLvl w:val="2"/>
      </w:pPr>
      <w:r>
        <w:rPr>
          <w:rFonts w:ascii="黑体" w:hAnsi="黑体" w:eastAsia="黑体"/>
          <w:sz w:val="32"/>
        </w:rPr>
        <w:t>十、其他重要事项的情况说明</w:t>
      </w:r>
    </w:p>
    <w:p w14:paraId="5EFDCE22">
      <w:pPr>
        <w:spacing w:line="640" w:lineRule="exact"/>
        <w:ind w:firstLine="640"/>
        <w:jc w:val="both"/>
        <w:outlineLvl w:val="3"/>
      </w:pPr>
      <w:r>
        <w:rPr>
          <w:rFonts w:ascii="楷体_GB2312" w:hAnsi="楷体_GB2312" w:eastAsia="楷体_GB2312"/>
          <w:b/>
          <w:sz w:val="32"/>
        </w:rPr>
        <w:t>（一）机关运行经费及公用经费支出情况</w:t>
      </w:r>
    </w:p>
    <w:p w14:paraId="1131EA37">
      <w:pPr>
        <w:spacing w:line="580" w:lineRule="exact"/>
        <w:ind w:firstLine="640"/>
        <w:jc w:val="both"/>
      </w:pPr>
      <w:r>
        <w:rPr>
          <w:rFonts w:ascii="仿宋_GB2312" w:hAnsi="仿宋_GB2312" w:eastAsia="仿宋_GB2312"/>
          <w:b w:val="0"/>
          <w:sz w:val="32"/>
        </w:rPr>
        <w:t>2024年度塔什库尔干塔吉克自治县人民政府驻喀什办事处（事业单位）公用经费支出1.06万元，比上年减少0.16万元，下降13.11%，主要原因是：严格控制公用经费，合理节约办公用品，减少不必要开支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办公费等经费减少</w:t>
      </w:r>
      <w:r>
        <w:rPr>
          <w:rFonts w:ascii="仿宋_GB2312" w:hAnsi="仿宋_GB2312" w:eastAsia="仿宋_GB2312"/>
          <w:b w:val="0"/>
          <w:sz w:val="32"/>
        </w:rPr>
        <w:t>。</w:t>
      </w:r>
    </w:p>
    <w:p w14:paraId="5BEA7C11">
      <w:pPr>
        <w:spacing w:line="640" w:lineRule="exact"/>
        <w:ind w:firstLine="640"/>
        <w:jc w:val="both"/>
        <w:outlineLvl w:val="3"/>
      </w:pPr>
      <w:r>
        <w:rPr>
          <w:rFonts w:ascii="楷体_GB2312" w:hAnsi="楷体_GB2312" w:eastAsia="楷体_GB2312"/>
          <w:b/>
          <w:sz w:val="32"/>
        </w:rPr>
        <w:t>（二）政府采购情况</w:t>
      </w:r>
    </w:p>
    <w:p w14:paraId="71F26E4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A54F25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AD84DDA">
      <w:pPr>
        <w:spacing w:line="640" w:lineRule="exact"/>
        <w:ind w:firstLine="640"/>
        <w:jc w:val="both"/>
        <w:outlineLvl w:val="3"/>
      </w:pPr>
      <w:r>
        <w:rPr>
          <w:rFonts w:ascii="楷体_GB2312" w:hAnsi="楷体_GB2312" w:eastAsia="楷体_GB2312"/>
          <w:b/>
          <w:sz w:val="32"/>
        </w:rPr>
        <w:t>（三）国有资产占用情况说明</w:t>
      </w:r>
    </w:p>
    <w:p w14:paraId="4C040E77">
      <w:pPr>
        <w:spacing w:line="580" w:lineRule="exact"/>
        <w:ind w:firstLine="640"/>
        <w:jc w:val="both"/>
      </w:pPr>
      <w:r>
        <w:rPr>
          <w:rFonts w:ascii="仿宋_GB2312" w:hAnsi="仿宋_GB2312" w:eastAsia="仿宋_GB2312"/>
          <w:b w:val="0"/>
          <w:sz w:val="32"/>
        </w:rPr>
        <w:t>截至2024年12月31日，房屋0.00平方米，价值0.00万元。车辆1辆，价值3.00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0F85937D">
      <w:pPr>
        <w:spacing w:line="640" w:lineRule="exact"/>
        <w:ind w:firstLine="640"/>
        <w:jc w:val="both"/>
        <w:outlineLvl w:val="2"/>
      </w:pPr>
      <w:r>
        <w:rPr>
          <w:rFonts w:ascii="黑体" w:hAnsi="黑体" w:eastAsia="黑体"/>
          <w:sz w:val="32"/>
        </w:rPr>
        <w:t>十一、预算绩效的情况说明</w:t>
      </w:r>
    </w:p>
    <w:p w14:paraId="1492369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32.76万元，实际执行总额32.76万元；预算绩效评价项目0个，全年预算数0.00万元，全年执行数0.00万元。预算绩效管理取得的成效：本单位无预算绩效自评项目。发现的问题及原因：本单位无预算绩效自评项目。下一步改进措施：本单位无预算绩效自评项目。具体附整体支出绩效自评表。</w:t>
      </w:r>
    </w:p>
    <w:p w14:paraId="14E0C7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B88BA1">
        <w:tblPrEx>
          <w:tblCellMar>
            <w:top w:w="0" w:type="dxa"/>
            <w:left w:w="108" w:type="dxa"/>
            <w:bottom w:w="0" w:type="dxa"/>
            <w:right w:w="108" w:type="dxa"/>
          </w:tblCellMar>
        </w:tblPrEx>
        <w:tc>
          <w:tcPr>
            <w:tcW w:w="8847" w:type="dxa"/>
            <w:gridSpan w:val="9"/>
            <w:vAlign w:val="center"/>
          </w:tcPr>
          <w:p w14:paraId="4DD00002">
            <w:pPr>
              <w:jc w:val="center"/>
            </w:pPr>
            <w:r>
              <w:rPr>
                <w:rFonts w:ascii="宋体" w:hAnsi="宋体" w:eastAsia="宋体"/>
                <w:sz w:val="24"/>
              </w:rPr>
              <w:t>单位整体支出绩效自评表</w:t>
            </w:r>
          </w:p>
        </w:tc>
      </w:tr>
      <w:tr w14:paraId="483B5968">
        <w:tblPrEx>
          <w:tblCellMar>
            <w:top w:w="0" w:type="dxa"/>
            <w:left w:w="108" w:type="dxa"/>
            <w:bottom w:w="0" w:type="dxa"/>
            <w:right w:w="108" w:type="dxa"/>
          </w:tblCellMar>
        </w:tblPrEx>
        <w:tc>
          <w:tcPr>
            <w:tcW w:w="8847" w:type="dxa"/>
            <w:gridSpan w:val="9"/>
            <w:vAlign w:val="center"/>
          </w:tcPr>
          <w:p w14:paraId="72013667">
            <w:pPr>
              <w:jc w:val="center"/>
            </w:pPr>
            <w:r>
              <w:rPr>
                <w:rFonts w:ascii="宋体" w:hAnsi="宋体" w:eastAsia="宋体"/>
                <w:sz w:val="24"/>
              </w:rPr>
              <w:t>（2024年度）</w:t>
            </w:r>
          </w:p>
        </w:tc>
      </w:tr>
      <w:tr w14:paraId="2ED36F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AC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1723ED">
            <w:pPr>
              <w:jc w:val="center"/>
            </w:pPr>
            <w:r>
              <w:rPr>
                <w:rFonts w:ascii="宋体" w:hAnsi="宋体" w:eastAsia="宋体"/>
                <w:sz w:val="16"/>
              </w:rPr>
              <w:t>塔什库尔干塔吉克自治县人民政府驻喀什办事处</w:t>
            </w:r>
          </w:p>
        </w:tc>
      </w:tr>
      <w:tr w14:paraId="0CFD4B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4910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4509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EA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984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131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65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D375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4A65">
            <w:pPr>
              <w:jc w:val="center"/>
            </w:pPr>
            <w:r>
              <w:rPr>
                <w:rFonts w:ascii="宋体" w:hAnsi="宋体" w:eastAsia="宋体"/>
                <w:sz w:val="16"/>
              </w:rPr>
              <w:t>得分</w:t>
            </w:r>
          </w:p>
        </w:tc>
      </w:tr>
      <w:tr w14:paraId="69CB8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5B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10C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B3B6F">
            <w:pPr>
              <w:jc w:val="center"/>
            </w:pPr>
            <w:r>
              <w:rPr>
                <w:rFonts w:ascii="宋体" w:hAnsi="宋体" w:eastAsia="宋体"/>
                <w:sz w:val="16"/>
              </w:rPr>
              <w:t>33.96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6D44A">
            <w:pPr>
              <w:jc w:val="center"/>
            </w:pPr>
            <w:r>
              <w:rPr>
                <w:rFonts w:ascii="宋体" w:hAnsi="宋体" w:eastAsia="宋体"/>
                <w:sz w:val="16"/>
              </w:rPr>
              <w:t>32.76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C462">
            <w:pPr>
              <w:jc w:val="center"/>
            </w:pPr>
            <w:r>
              <w:rPr>
                <w:rFonts w:ascii="宋体" w:hAnsi="宋体" w:eastAsia="宋体"/>
                <w:sz w:val="16"/>
              </w:rPr>
              <w:t>32.76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C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885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BBAF">
            <w:pPr>
              <w:jc w:val="center"/>
            </w:pPr>
            <w:r>
              <w:rPr>
                <w:rFonts w:ascii="宋体" w:hAnsi="宋体" w:eastAsia="宋体"/>
                <w:sz w:val="16"/>
              </w:rPr>
              <w:t>10</w:t>
            </w:r>
          </w:p>
        </w:tc>
      </w:tr>
      <w:tr w14:paraId="38CE5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9DB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AE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9A4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5FC6">
            <w:pPr>
              <w:jc w:val="center"/>
            </w:pPr>
            <w:r>
              <w:rPr>
                <w:rFonts w:ascii="宋体" w:hAnsi="宋体" w:eastAsia="宋体"/>
                <w:sz w:val="16"/>
              </w:rPr>
              <w:t>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AB8D0">
            <w:pPr>
              <w:jc w:val="center"/>
            </w:pPr>
            <w:r>
              <w:rPr>
                <w:rFonts w:ascii="宋体" w:hAnsi="宋体" w:eastAsia="宋体"/>
                <w:sz w:val="16"/>
              </w:rPr>
              <w:t>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3A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C1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E471">
            <w:pPr>
              <w:jc w:val="center"/>
            </w:pPr>
            <w:r>
              <w:rPr>
                <w:rFonts w:ascii="宋体" w:hAnsi="宋体" w:eastAsia="宋体"/>
                <w:sz w:val="16"/>
              </w:rPr>
              <w:t>—</w:t>
            </w:r>
          </w:p>
        </w:tc>
      </w:tr>
      <w:tr w14:paraId="35DC3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3AC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0B7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1B98">
            <w:pPr>
              <w:jc w:val="center"/>
            </w:pPr>
            <w:r>
              <w:rPr>
                <w:rFonts w:ascii="宋体" w:hAnsi="宋体" w:eastAsia="宋体"/>
                <w:sz w:val="16"/>
              </w:rPr>
              <w:t>33.96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DA6A9">
            <w:pPr>
              <w:jc w:val="center"/>
            </w:pPr>
            <w:r>
              <w:rPr>
                <w:rFonts w:ascii="宋体" w:hAnsi="宋体" w:eastAsia="宋体"/>
                <w:sz w:val="16"/>
              </w:rPr>
              <w:t>31.64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A46E">
            <w:pPr>
              <w:jc w:val="center"/>
            </w:pPr>
            <w:r>
              <w:rPr>
                <w:rFonts w:ascii="宋体" w:hAnsi="宋体" w:eastAsia="宋体"/>
                <w:sz w:val="16"/>
              </w:rPr>
              <w:t>31.64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CD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763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0D799">
            <w:pPr>
              <w:jc w:val="center"/>
            </w:pPr>
            <w:r>
              <w:rPr>
                <w:rFonts w:ascii="宋体" w:hAnsi="宋体" w:eastAsia="宋体"/>
                <w:sz w:val="16"/>
              </w:rPr>
              <w:t>—</w:t>
            </w:r>
          </w:p>
        </w:tc>
      </w:tr>
      <w:tr w14:paraId="6864D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23A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DFE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20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13C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8E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6F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5FD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6752">
            <w:pPr>
              <w:jc w:val="center"/>
            </w:pPr>
            <w:r>
              <w:rPr>
                <w:rFonts w:ascii="宋体" w:hAnsi="宋体" w:eastAsia="宋体"/>
                <w:sz w:val="16"/>
              </w:rPr>
              <w:t>—</w:t>
            </w:r>
          </w:p>
        </w:tc>
      </w:tr>
      <w:tr w14:paraId="097B5B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5A1A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B481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9DFB9">
            <w:pPr>
              <w:jc w:val="center"/>
            </w:pPr>
            <w:r>
              <w:rPr>
                <w:rFonts w:ascii="宋体" w:hAnsi="宋体" w:eastAsia="宋体"/>
                <w:sz w:val="16"/>
              </w:rPr>
              <w:t>实际完成目标</w:t>
            </w:r>
          </w:p>
        </w:tc>
      </w:tr>
      <w:tr w14:paraId="13FFB3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D27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1A9BA2">
            <w:pPr>
              <w:jc w:val="both"/>
            </w:pPr>
            <w:r>
              <w:rPr>
                <w:rFonts w:ascii="宋体" w:hAnsi="宋体" w:eastAsia="宋体"/>
                <w:sz w:val="16"/>
              </w:rPr>
              <w:t>为坚决贯彻落实党中央、自治区党委决策部署和地委、县委工作要求</w:t>
            </w:r>
            <w:r>
              <w:rPr>
                <w:rFonts w:hint="eastAsia" w:ascii="宋体" w:hAnsi="宋体"/>
                <w:sz w:val="16"/>
                <w:lang w:eastAsia="zh-CN"/>
              </w:rPr>
              <w:t>在</w:t>
            </w:r>
            <w:r>
              <w:rPr>
                <w:rFonts w:ascii="宋体" w:hAnsi="宋体" w:eastAsia="宋体"/>
                <w:sz w:val="16"/>
              </w:rPr>
              <w:t>塔县驻喀办事处落地生根，紧围绕学习党的二十大精神，围绕县委提出的工作任务，特别是抓住中国（新疆）自由贸易试验区（喀什片区）全面启动建设的历史机遇，紧密联系实际深入抓好贯彻落实，确保党中央、自治区党委决策部署和地委、县委工作要求在塔县驻喀办事处落地生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8C7EA2">
            <w:pPr>
              <w:jc w:val="both"/>
            </w:pPr>
            <w:r>
              <w:rPr>
                <w:rFonts w:ascii="宋体" w:hAnsi="宋体" w:eastAsia="宋体"/>
                <w:sz w:val="16"/>
              </w:rPr>
              <w:t>坚决贯彻落实党中央、自治区党委决策部署和地委、县委工作要求</w:t>
            </w:r>
            <w:r>
              <w:rPr>
                <w:rFonts w:hint="eastAsia" w:ascii="宋体" w:hAnsi="宋体"/>
                <w:sz w:val="16"/>
                <w:lang w:eastAsia="zh-CN"/>
              </w:rPr>
              <w:t>在</w:t>
            </w:r>
            <w:r>
              <w:rPr>
                <w:rFonts w:ascii="宋体" w:hAnsi="宋体" w:eastAsia="宋体"/>
                <w:sz w:val="16"/>
              </w:rPr>
              <w:t>塔县驻喀办事处落地生根，紧围绕学习党的二十大精神，围绕县委提出的工作任务，特别是抓住中国（新疆）自由贸易试验区（喀什片区）全面启动建设的历史机遇，紧密联系实际深入抓好贯彻落实，确保党中央、自治区党委决策部署和地委、县委工作要求在塔县驻喀办事处落地生根。2024年具体完成的重要工作有：召开了4次党员大会，开展了4次党课学习，召开了12次支委会，完成了4次警示教育学习，开展了57次干部理论学习。</w:t>
            </w:r>
          </w:p>
        </w:tc>
      </w:tr>
      <w:tr w14:paraId="066321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739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C8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D7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C7E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7E3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12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461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E68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3B5E">
            <w:pPr>
              <w:jc w:val="center"/>
            </w:pPr>
            <w:r>
              <w:rPr>
                <w:rFonts w:ascii="宋体" w:hAnsi="宋体" w:eastAsia="宋体"/>
                <w:sz w:val="16"/>
              </w:rPr>
              <w:t>得分</w:t>
            </w:r>
          </w:p>
        </w:tc>
      </w:tr>
      <w:tr w14:paraId="1048EE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616A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76F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87EAF">
            <w:pPr>
              <w:jc w:val="center"/>
            </w:pPr>
            <w:r>
              <w:rPr>
                <w:rFonts w:ascii="宋体" w:hAnsi="宋体" w:eastAsia="宋体"/>
                <w:sz w:val="16"/>
              </w:rPr>
              <w:t>召开党员大会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E061">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AF449">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62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DA3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85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9447">
            <w:pPr>
              <w:jc w:val="center"/>
            </w:pPr>
            <w:r>
              <w:rPr>
                <w:rFonts w:ascii="宋体" w:hAnsi="宋体" w:eastAsia="宋体"/>
                <w:sz w:val="16"/>
              </w:rPr>
              <w:t>20</w:t>
            </w:r>
          </w:p>
        </w:tc>
      </w:tr>
      <w:tr w14:paraId="441C1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8FC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C0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54CE">
            <w:pPr>
              <w:jc w:val="center"/>
            </w:pPr>
            <w:r>
              <w:rPr>
                <w:rFonts w:ascii="宋体" w:hAnsi="宋体" w:eastAsia="宋体"/>
                <w:sz w:val="16"/>
              </w:rPr>
              <w:t>开展党课学习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0E2FA">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7F85">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387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A30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60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F8E85">
            <w:pPr>
              <w:jc w:val="center"/>
            </w:pPr>
            <w:r>
              <w:rPr>
                <w:rFonts w:ascii="宋体" w:hAnsi="宋体" w:eastAsia="宋体"/>
                <w:sz w:val="16"/>
              </w:rPr>
              <w:t>20</w:t>
            </w:r>
          </w:p>
        </w:tc>
      </w:tr>
      <w:tr w14:paraId="7631F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FF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C5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A2CCA">
            <w:pPr>
              <w:jc w:val="center"/>
            </w:pPr>
            <w:r>
              <w:rPr>
                <w:rFonts w:ascii="宋体" w:hAnsi="宋体" w:eastAsia="宋体"/>
                <w:sz w:val="16"/>
              </w:rPr>
              <w:t>召开支委会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CC68">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69DD6">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D9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FAD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1E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FB7C2">
            <w:pPr>
              <w:jc w:val="center"/>
            </w:pPr>
            <w:r>
              <w:rPr>
                <w:rFonts w:ascii="宋体" w:hAnsi="宋体" w:eastAsia="宋体"/>
                <w:sz w:val="16"/>
              </w:rPr>
              <w:t>20</w:t>
            </w:r>
          </w:p>
        </w:tc>
      </w:tr>
      <w:tr w14:paraId="2B6793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D0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31D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EE1D">
            <w:pPr>
              <w:jc w:val="center"/>
            </w:pPr>
            <w:r>
              <w:rPr>
                <w:rFonts w:ascii="宋体" w:hAnsi="宋体" w:eastAsia="宋体"/>
                <w:sz w:val="16"/>
              </w:rPr>
              <w:t>警示教育学习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18C0">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F30B">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92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4DF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DBD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7D9D">
            <w:pPr>
              <w:jc w:val="center"/>
            </w:pPr>
            <w:r>
              <w:rPr>
                <w:rFonts w:ascii="宋体" w:hAnsi="宋体" w:eastAsia="宋体"/>
                <w:sz w:val="16"/>
              </w:rPr>
              <w:t>20</w:t>
            </w:r>
          </w:p>
        </w:tc>
      </w:tr>
      <w:tr w14:paraId="050427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A4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82B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A91B">
            <w:pPr>
              <w:jc w:val="center"/>
            </w:pPr>
            <w:r>
              <w:rPr>
                <w:rFonts w:ascii="宋体" w:hAnsi="宋体" w:eastAsia="宋体"/>
                <w:sz w:val="16"/>
              </w:rPr>
              <w:t>开展干部理论学习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47A0">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AE6B">
            <w:pPr>
              <w:jc w:val="center"/>
            </w:pPr>
            <w:r>
              <w:rPr>
                <w:rFonts w:ascii="宋体" w:hAnsi="宋体" w:eastAsia="宋体"/>
                <w:sz w:val="16"/>
              </w:rPr>
              <w:t>驻喀办事处2024年工作计划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B2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99B6">
            <w:pPr>
              <w:jc w:val="center"/>
            </w:pPr>
            <w:r>
              <w:rPr>
                <w:rFonts w:ascii="宋体" w:hAnsi="宋体" w:eastAsia="宋体"/>
                <w:sz w:val="16"/>
              </w:rPr>
              <w:t>57次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8862">
            <w:pPr>
              <w:jc w:val="center"/>
            </w:pPr>
            <w:r>
              <w:rPr>
                <w:rFonts w:ascii="宋体" w:hAnsi="宋体" w:eastAsia="宋体"/>
                <w:sz w:val="16"/>
              </w:rPr>
              <w:t>118.75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092A">
            <w:pPr>
              <w:jc w:val="center"/>
            </w:pPr>
            <w:r>
              <w:rPr>
                <w:rFonts w:ascii="宋体" w:hAnsi="宋体" w:eastAsia="宋体"/>
                <w:sz w:val="16"/>
              </w:rPr>
              <w:t>10</w:t>
            </w:r>
          </w:p>
        </w:tc>
      </w:tr>
    </w:tbl>
    <w:p w14:paraId="4D786B73">
      <w:r>
        <w:br w:type="page"/>
      </w:r>
    </w:p>
    <w:p w14:paraId="4346BAA0">
      <w:pPr>
        <w:spacing w:line="640" w:lineRule="exact"/>
        <w:ind w:firstLine="640"/>
        <w:jc w:val="both"/>
        <w:outlineLvl w:val="2"/>
      </w:pPr>
      <w:r>
        <w:rPr>
          <w:rFonts w:ascii="黑体" w:hAnsi="黑体" w:eastAsia="黑体"/>
          <w:sz w:val="32"/>
        </w:rPr>
        <w:t>十二、其他需说明的事项</w:t>
      </w:r>
    </w:p>
    <w:p w14:paraId="3C9DA9A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472C9D0">
      <w:r>
        <w:br w:type="page"/>
      </w:r>
    </w:p>
    <w:p w14:paraId="6B1CB651">
      <w:pPr>
        <w:spacing w:line="240" w:lineRule="auto"/>
        <w:jc w:val="center"/>
        <w:outlineLvl w:val="1"/>
      </w:pPr>
      <w:r>
        <w:rPr>
          <w:rFonts w:ascii="黑体" w:hAnsi="黑体" w:eastAsia="黑体"/>
          <w:sz w:val="32"/>
        </w:rPr>
        <w:t>第三部分 专业名词解释</w:t>
      </w:r>
    </w:p>
    <w:p w14:paraId="11D626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F59A3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7104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F8AC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7BFD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7A32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25ED5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127C6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0511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F3EE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EBF5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50E37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C3564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1C154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175BA2">
      <w:r>
        <w:br w:type="page"/>
      </w:r>
    </w:p>
    <w:p w14:paraId="4730494E">
      <w:pPr>
        <w:spacing w:line="240" w:lineRule="auto"/>
        <w:jc w:val="center"/>
        <w:outlineLvl w:val="1"/>
      </w:pPr>
      <w:r>
        <w:rPr>
          <w:rFonts w:ascii="黑体" w:hAnsi="黑体" w:eastAsia="黑体"/>
          <w:sz w:val="32"/>
        </w:rPr>
        <w:t>第四部分 部门决算报表（见附表）</w:t>
      </w:r>
    </w:p>
    <w:p w14:paraId="08DCE90A">
      <w:pPr>
        <w:spacing w:line="240" w:lineRule="auto"/>
        <w:ind w:firstLine="640"/>
        <w:jc w:val="both"/>
      </w:pPr>
      <w:r>
        <w:rPr>
          <w:rFonts w:ascii="仿宋_GB2312" w:hAnsi="仿宋_GB2312" w:eastAsia="仿宋_GB2312"/>
          <w:b w:val="0"/>
          <w:sz w:val="32"/>
        </w:rPr>
        <w:t>一、《收入支出决算总表》</w:t>
      </w:r>
    </w:p>
    <w:p w14:paraId="09377016">
      <w:pPr>
        <w:spacing w:line="240" w:lineRule="auto"/>
        <w:ind w:firstLine="640"/>
        <w:jc w:val="both"/>
      </w:pPr>
      <w:r>
        <w:rPr>
          <w:rFonts w:ascii="仿宋_GB2312" w:hAnsi="仿宋_GB2312" w:eastAsia="仿宋_GB2312"/>
          <w:b w:val="0"/>
          <w:sz w:val="32"/>
        </w:rPr>
        <w:t>二、《收入决算表》</w:t>
      </w:r>
    </w:p>
    <w:p w14:paraId="27D7B78D">
      <w:pPr>
        <w:spacing w:line="240" w:lineRule="auto"/>
        <w:ind w:firstLine="640"/>
        <w:jc w:val="both"/>
      </w:pPr>
      <w:r>
        <w:rPr>
          <w:rFonts w:ascii="仿宋_GB2312" w:hAnsi="仿宋_GB2312" w:eastAsia="仿宋_GB2312"/>
          <w:b w:val="0"/>
          <w:sz w:val="32"/>
        </w:rPr>
        <w:t>三、《支出决算表》</w:t>
      </w:r>
    </w:p>
    <w:p w14:paraId="626E1A20">
      <w:pPr>
        <w:spacing w:line="240" w:lineRule="auto"/>
        <w:ind w:firstLine="640"/>
        <w:jc w:val="both"/>
      </w:pPr>
      <w:r>
        <w:rPr>
          <w:rFonts w:ascii="仿宋_GB2312" w:hAnsi="仿宋_GB2312" w:eastAsia="仿宋_GB2312"/>
          <w:b w:val="0"/>
          <w:sz w:val="32"/>
        </w:rPr>
        <w:t>四、《财政拨款收入支出决算总表》</w:t>
      </w:r>
    </w:p>
    <w:p w14:paraId="16992B49">
      <w:pPr>
        <w:spacing w:line="240" w:lineRule="auto"/>
        <w:ind w:firstLine="640"/>
        <w:jc w:val="both"/>
      </w:pPr>
      <w:r>
        <w:rPr>
          <w:rFonts w:ascii="仿宋_GB2312" w:hAnsi="仿宋_GB2312" w:eastAsia="仿宋_GB2312"/>
          <w:b w:val="0"/>
          <w:sz w:val="32"/>
        </w:rPr>
        <w:t>五、《一般公共预算财政拨款支出决算表》</w:t>
      </w:r>
    </w:p>
    <w:p w14:paraId="4D67485A">
      <w:pPr>
        <w:spacing w:line="240" w:lineRule="auto"/>
        <w:ind w:firstLine="640"/>
        <w:jc w:val="both"/>
      </w:pPr>
      <w:r>
        <w:rPr>
          <w:rFonts w:ascii="仿宋_GB2312" w:hAnsi="仿宋_GB2312" w:eastAsia="仿宋_GB2312"/>
          <w:b w:val="0"/>
          <w:sz w:val="32"/>
        </w:rPr>
        <w:t>六、《一般公共预算财政拨款基本支出决算表》</w:t>
      </w:r>
    </w:p>
    <w:p w14:paraId="41475C32">
      <w:pPr>
        <w:spacing w:line="240" w:lineRule="auto"/>
        <w:ind w:firstLine="640"/>
        <w:jc w:val="both"/>
      </w:pPr>
      <w:r>
        <w:rPr>
          <w:rFonts w:ascii="仿宋_GB2312" w:hAnsi="仿宋_GB2312" w:eastAsia="仿宋_GB2312"/>
          <w:b w:val="0"/>
          <w:sz w:val="32"/>
        </w:rPr>
        <w:t>七、《政府性基金预算财政拨款收入支出决算表》</w:t>
      </w:r>
    </w:p>
    <w:p w14:paraId="3B5F65A3">
      <w:pPr>
        <w:spacing w:line="240" w:lineRule="auto"/>
        <w:ind w:firstLine="640"/>
        <w:jc w:val="both"/>
      </w:pPr>
      <w:r>
        <w:rPr>
          <w:rFonts w:ascii="仿宋_GB2312" w:hAnsi="仿宋_GB2312" w:eastAsia="仿宋_GB2312"/>
          <w:b w:val="0"/>
          <w:sz w:val="32"/>
        </w:rPr>
        <w:t>八、《国有资本经营预算财政拨款收入支出决算表》</w:t>
      </w:r>
    </w:p>
    <w:p w14:paraId="466D3E4A">
      <w:pPr>
        <w:spacing w:line="240" w:lineRule="auto"/>
        <w:ind w:firstLine="640"/>
        <w:jc w:val="both"/>
      </w:pPr>
      <w:r>
        <w:rPr>
          <w:rFonts w:ascii="仿宋_GB2312" w:hAnsi="仿宋_GB2312" w:eastAsia="仿宋_GB2312"/>
          <w:b w:val="0"/>
          <w:sz w:val="32"/>
        </w:rPr>
        <w:t>九、《财政拨款“三公”经费支出决算表》</w:t>
      </w:r>
    </w:p>
    <w:p w14:paraId="4DA6E977">
      <w:pPr>
        <w:spacing w:line="240" w:lineRule="auto"/>
        <w:ind w:firstLine="640"/>
        <w:jc w:val="both"/>
      </w:pPr>
    </w:p>
    <w:p w14:paraId="4624D418">
      <w:pPr>
        <w:spacing w:line="240" w:lineRule="auto"/>
        <w:ind w:firstLine="640"/>
        <w:jc w:val="both"/>
      </w:pPr>
    </w:p>
    <w:p w14:paraId="6AFAC206">
      <w:pPr>
        <w:spacing w:line="240" w:lineRule="auto"/>
        <w:ind w:firstLine="640"/>
        <w:jc w:val="both"/>
      </w:pPr>
    </w:p>
    <w:p w14:paraId="3FEDE767">
      <w:pPr>
        <w:spacing w:line="240" w:lineRule="auto"/>
        <w:ind w:firstLine="640"/>
        <w:jc w:val="both"/>
      </w:pPr>
    </w:p>
    <w:p w14:paraId="70854D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0A9295-B53A-48EF-9406-BD543B28CA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E09102-A7C4-470E-A5C3-19049D09CF5A}"/>
  </w:font>
  <w:font w:name="仿宋_GB2312">
    <w:panose1 w:val="02010609030101010101"/>
    <w:charset w:val="86"/>
    <w:family w:val="modern"/>
    <w:pitch w:val="default"/>
    <w:sig w:usb0="00000001" w:usb1="080E0000" w:usb2="00000000" w:usb3="00000000" w:csb0="00040000" w:csb1="00000000"/>
    <w:embedRegular r:id="rId3" w:fontKey="{3BA08251-A4BA-4876-B9BA-90D31664C134}"/>
  </w:font>
  <w:font w:name="楷体_GB2312">
    <w:panose1 w:val="02010609030101010101"/>
    <w:charset w:val="86"/>
    <w:family w:val="auto"/>
    <w:pitch w:val="default"/>
    <w:sig w:usb0="00000001" w:usb1="080E0000" w:usb2="00000000" w:usb3="00000000" w:csb0="00040000" w:csb1="00000000"/>
    <w:embedRegular r:id="rId4" w:fontKey="{A0883B12-C71A-42DA-959C-23AA8529C1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E42A8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6A42E8"/>
    <w:rsid w:val="52F92565"/>
    <w:rsid w:val="543D17CB"/>
    <w:rsid w:val="55DA564E"/>
    <w:rsid w:val="56E07045"/>
    <w:rsid w:val="583059FA"/>
    <w:rsid w:val="587E6212"/>
    <w:rsid w:val="5AFC6609"/>
    <w:rsid w:val="5FA17648"/>
    <w:rsid w:val="5FD320BD"/>
    <w:rsid w:val="60DE4D57"/>
    <w:rsid w:val="613409CB"/>
    <w:rsid w:val="61A46A97"/>
    <w:rsid w:val="62DD7D21"/>
    <w:rsid w:val="63B6074E"/>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5752</Words>
  <Characters>6447</Characters>
  <Lines>0</Lines>
  <Paragraphs>0</Paragraphs>
  <TotalTime>0</TotalTime>
  <ScaleCrop>false</ScaleCrop>
  <LinksUpToDate>false</LinksUpToDate>
  <CharactersWithSpaces>6457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2025-08-27T02:34:49Z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