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中共塔什库尔干塔吉克自治县委员会办公室2024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6403522">
      <w:r>
        <w:br w:type="page"/>
      </w:r>
    </w:p>
    <w:p w14:paraId="5CF8A944">
      <w:pPr>
        <w:spacing w:line="640" w:lineRule="exact"/>
        <w:jc w:val="center"/>
        <w:outlineLvl w:val="1"/>
      </w:pPr>
      <w:r>
        <w:rPr>
          <w:rFonts w:ascii="黑体" w:hAnsi="黑体" w:eastAsia="黑体"/>
          <w:sz w:val="32"/>
        </w:rPr>
        <w:t>第一部分 单位概况</w:t>
      </w:r>
    </w:p>
    <w:p w14:paraId="3042C960">
      <w:pPr>
        <w:spacing w:line="640" w:lineRule="exact"/>
        <w:ind w:firstLine="640"/>
        <w:jc w:val="both"/>
        <w:outlineLvl w:val="2"/>
      </w:pPr>
      <w:r>
        <w:rPr>
          <w:rFonts w:ascii="黑体" w:hAnsi="黑体" w:eastAsia="黑体"/>
          <w:sz w:val="32"/>
        </w:rPr>
        <w:t>一、主要职能</w:t>
      </w:r>
    </w:p>
    <w:p w14:paraId="6645C016">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负责县委日常工作的综合协调，承担与县委各议事协调机构办公室的协调工作。</w:t>
      </w:r>
    </w:p>
    <w:p w14:paraId="566EA053">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负责县委日常文电的处理工作，承担县委、县委办公室文件文稿的起草、修改、审核和制发、立卷、归档、清理和销毁。</w:t>
      </w:r>
    </w:p>
    <w:p w14:paraId="2A6AF1BE">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对中央、自治区党委、地委、县委决策部署贯彻落实情况的督促检查和中央、自治区党委、县委、县委领导同志的指示批示、交办事项的催办落实；负责县委工作部署落实情况的督促检查和县委文件、县委领导同志指示批示的催办落实工作。</w:t>
      </w:r>
    </w:p>
    <w:p w14:paraId="46471CD2">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负责全面了解</w:t>
      </w:r>
      <w:r>
        <w:rPr>
          <w:rFonts w:hint="eastAsia" w:ascii="仿宋_GB2312" w:hAnsi="仿宋_GB2312" w:eastAsia="仿宋_GB2312"/>
          <w:sz w:val="32"/>
          <w:lang w:eastAsia="zh-CN"/>
        </w:rPr>
        <w:t>塔什库尔干塔吉克自治县</w:t>
      </w:r>
      <w:r>
        <w:rPr>
          <w:rFonts w:ascii="仿宋_GB2312" w:hAnsi="仿宋_GB2312" w:eastAsia="仿宋_GB2312"/>
          <w:sz w:val="32"/>
        </w:rPr>
        <w:t>稳定、经济与社会发展情况，及时掌握各部门重大动态，为县委科学决策发挥参谋助手作用；围绕县委总体工作部署，负责全县重要信息的收集处理，及时向地委报送信息；负责县委总值班工作。</w:t>
      </w:r>
    </w:p>
    <w:p w14:paraId="12B597E7">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负责中央文件、自治区党委文件、地委文件、县委文件和党政军领导机关及其要害部门核心密码、核心机密文件、信件的</w:t>
      </w:r>
      <w:r>
        <w:rPr>
          <w:rFonts w:hint="eastAsia" w:ascii="仿宋_GB2312" w:hAnsi="仿宋_GB2312" w:eastAsia="仿宋_GB2312"/>
          <w:sz w:val="32"/>
          <w:lang w:eastAsia="zh-CN"/>
        </w:rPr>
        <w:t>接收</w:t>
      </w:r>
      <w:r>
        <w:rPr>
          <w:rFonts w:ascii="仿宋_GB2312" w:hAnsi="仿宋_GB2312" w:eastAsia="仿宋_GB2312"/>
          <w:sz w:val="32"/>
        </w:rPr>
        <w:t>、传递工作；负责全乡党政领导专用保密电话的审批工作。</w:t>
      </w:r>
    </w:p>
    <w:p w14:paraId="1F0E9C08">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负责县委召开会议的筹备、组织和服务工作；负责县委领导同志的公务活动安排，统筹协调公务活动的接待服务。</w:t>
      </w:r>
    </w:p>
    <w:p w14:paraId="794A1885">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负责县委规范性文件的具体服务工作。</w:t>
      </w:r>
    </w:p>
    <w:p w14:paraId="07C170E7">
      <w:pPr>
        <w:spacing w:line="580" w:lineRule="exact"/>
        <w:ind w:firstLine="640"/>
        <w:jc w:val="both"/>
      </w:pPr>
      <w:r>
        <w:rPr>
          <w:rFonts w:hint="eastAsia" w:ascii="仿宋_GB2312" w:hAnsi="仿宋_GB2312" w:eastAsia="仿宋_GB2312"/>
          <w:sz w:val="32"/>
          <w:lang w:eastAsia="zh-CN"/>
        </w:rPr>
        <w:t>8.</w:t>
      </w:r>
      <w:r>
        <w:rPr>
          <w:rFonts w:ascii="仿宋_GB2312" w:hAnsi="仿宋_GB2312" w:eastAsia="仿宋_GB2312"/>
          <w:sz w:val="32"/>
        </w:rPr>
        <w:t>负责县委机关的安全保卫、后勤保障的协调服务工作。</w:t>
      </w:r>
    </w:p>
    <w:p w14:paraId="39B9EA2D">
      <w:pPr>
        <w:spacing w:line="580" w:lineRule="exact"/>
        <w:ind w:firstLine="640"/>
        <w:jc w:val="both"/>
      </w:pPr>
      <w:r>
        <w:rPr>
          <w:rFonts w:hint="eastAsia" w:ascii="仿宋_GB2312" w:hAnsi="仿宋_GB2312" w:eastAsia="仿宋_GB2312"/>
          <w:sz w:val="32"/>
          <w:lang w:eastAsia="zh-CN"/>
        </w:rPr>
        <w:t>9.</w:t>
      </w:r>
      <w:r>
        <w:rPr>
          <w:rFonts w:ascii="仿宋_GB2312" w:hAnsi="仿宋_GB2312" w:eastAsia="仿宋_GB2312"/>
          <w:sz w:val="32"/>
        </w:rPr>
        <w:t>负责中央和中央办公厅、自治区党委和自治区党委办公厅、地委、县委和县委办公室有关会议</w:t>
      </w:r>
      <w:r>
        <w:rPr>
          <w:rFonts w:hint="eastAsia" w:ascii="仿宋_GB2312" w:hAnsi="仿宋_GB2312" w:eastAsia="仿宋_GB2312"/>
          <w:sz w:val="32"/>
          <w:lang w:eastAsia="zh-CN"/>
        </w:rPr>
        <w:t>和报</w:t>
      </w:r>
      <w:r>
        <w:rPr>
          <w:rFonts w:ascii="仿宋_GB2312" w:hAnsi="仿宋_GB2312" w:eastAsia="仿宋_GB2312"/>
          <w:sz w:val="32"/>
        </w:rPr>
        <w:t>送文件材料的翻译工作。</w:t>
      </w:r>
    </w:p>
    <w:p w14:paraId="6DE954BD">
      <w:pPr>
        <w:spacing w:line="580" w:lineRule="exact"/>
        <w:ind w:firstLine="640"/>
        <w:jc w:val="both"/>
      </w:pPr>
      <w:r>
        <w:rPr>
          <w:rFonts w:hint="eastAsia" w:ascii="仿宋_GB2312" w:hAnsi="仿宋_GB2312" w:eastAsia="仿宋_GB2312"/>
          <w:sz w:val="32"/>
          <w:lang w:eastAsia="zh-CN"/>
        </w:rPr>
        <w:t>10.</w:t>
      </w:r>
      <w:r>
        <w:rPr>
          <w:rFonts w:ascii="仿宋_GB2312" w:hAnsi="仿宋_GB2312" w:eastAsia="仿宋_GB2312"/>
          <w:sz w:val="32"/>
        </w:rPr>
        <w:t>负责县委机关党委办公室具体工作。</w:t>
      </w:r>
    </w:p>
    <w:p w14:paraId="17CBD039">
      <w:pPr>
        <w:spacing w:line="580" w:lineRule="exact"/>
        <w:ind w:firstLine="640"/>
        <w:jc w:val="both"/>
      </w:pPr>
      <w:r>
        <w:rPr>
          <w:rFonts w:hint="eastAsia" w:ascii="仿宋_GB2312" w:hAnsi="仿宋_GB2312" w:eastAsia="仿宋_GB2312"/>
          <w:sz w:val="32"/>
          <w:lang w:eastAsia="zh-CN"/>
        </w:rPr>
        <w:t>11.</w:t>
      </w:r>
      <w:r>
        <w:rPr>
          <w:rFonts w:ascii="仿宋_GB2312" w:hAnsi="仿宋_GB2312" w:eastAsia="仿宋_GB2312"/>
          <w:sz w:val="32"/>
        </w:rPr>
        <w:t>负责县委国家安全委员会办公室具体工作。</w:t>
      </w:r>
    </w:p>
    <w:p w14:paraId="5783EDEF">
      <w:pPr>
        <w:spacing w:line="580" w:lineRule="exact"/>
        <w:ind w:firstLine="640"/>
        <w:jc w:val="both"/>
      </w:pPr>
      <w:r>
        <w:rPr>
          <w:rFonts w:hint="eastAsia" w:ascii="仿宋_GB2312" w:hAnsi="仿宋_GB2312" w:eastAsia="仿宋_GB2312"/>
          <w:sz w:val="32"/>
          <w:lang w:eastAsia="zh-CN"/>
        </w:rPr>
        <w:t>12.</w:t>
      </w:r>
      <w:r>
        <w:rPr>
          <w:rFonts w:ascii="仿宋_GB2312" w:hAnsi="仿宋_GB2312" w:eastAsia="仿宋_GB2312"/>
          <w:sz w:val="32"/>
        </w:rPr>
        <w:t>负责县委财经委员会办公室具体工作。</w:t>
      </w:r>
    </w:p>
    <w:p w14:paraId="785A9374">
      <w:pPr>
        <w:spacing w:line="580" w:lineRule="exact"/>
        <w:ind w:firstLine="640"/>
        <w:jc w:val="both"/>
      </w:pPr>
      <w:r>
        <w:rPr>
          <w:rFonts w:hint="eastAsia" w:ascii="仿宋_GB2312" w:hAnsi="仿宋_GB2312" w:eastAsia="仿宋_GB2312"/>
          <w:sz w:val="32"/>
          <w:lang w:eastAsia="zh-CN"/>
        </w:rPr>
        <w:t>13.</w:t>
      </w:r>
      <w:r>
        <w:rPr>
          <w:rFonts w:ascii="仿宋_GB2312" w:hAnsi="仿宋_GB2312" w:eastAsia="仿宋_GB2312"/>
          <w:sz w:val="32"/>
        </w:rPr>
        <w:t>负责县委全面深化改革委员会办公室具体工作。</w:t>
      </w:r>
    </w:p>
    <w:p w14:paraId="00CFCC15">
      <w:pPr>
        <w:spacing w:line="580" w:lineRule="exact"/>
        <w:ind w:firstLine="640"/>
        <w:jc w:val="both"/>
      </w:pPr>
      <w:r>
        <w:rPr>
          <w:rFonts w:hint="eastAsia" w:ascii="仿宋_GB2312" w:hAnsi="仿宋_GB2312" w:eastAsia="仿宋_GB2312"/>
          <w:sz w:val="32"/>
          <w:lang w:eastAsia="zh-CN"/>
        </w:rPr>
        <w:t>14.</w:t>
      </w:r>
      <w:r>
        <w:rPr>
          <w:rFonts w:ascii="仿宋_GB2312" w:hAnsi="仿宋_GB2312" w:eastAsia="仿宋_GB2312"/>
          <w:sz w:val="32"/>
        </w:rPr>
        <w:t>负责县委系统信息化建设的统一规划、协调和建设管理工作。</w:t>
      </w:r>
    </w:p>
    <w:p w14:paraId="37E59B39">
      <w:pPr>
        <w:spacing w:line="580" w:lineRule="exact"/>
        <w:ind w:firstLine="640"/>
        <w:jc w:val="both"/>
      </w:pPr>
      <w:r>
        <w:rPr>
          <w:rFonts w:hint="eastAsia" w:ascii="仿宋_GB2312" w:hAnsi="仿宋_GB2312" w:eastAsia="仿宋_GB2312"/>
          <w:sz w:val="32"/>
          <w:lang w:eastAsia="zh-CN"/>
        </w:rPr>
        <w:t>15.</w:t>
      </w:r>
      <w:r>
        <w:rPr>
          <w:rFonts w:ascii="仿宋_GB2312" w:hAnsi="仿宋_GB2312" w:eastAsia="仿宋_GB2312"/>
          <w:sz w:val="32"/>
        </w:rPr>
        <w:t>负责全县档案事业行政管理，负责县委档案局重要档案提供利用的审批工作。</w:t>
      </w:r>
    </w:p>
    <w:p w14:paraId="7865E6A7">
      <w:pPr>
        <w:spacing w:line="580" w:lineRule="exact"/>
        <w:ind w:firstLine="640"/>
        <w:jc w:val="both"/>
      </w:pPr>
      <w:r>
        <w:rPr>
          <w:rFonts w:hint="eastAsia" w:ascii="仿宋_GB2312" w:hAnsi="仿宋_GB2312" w:eastAsia="仿宋_GB2312"/>
          <w:sz w:val="32"/>
          <w:lang w:eastAsia="zh-CN"/>
        </w:rPr>
        <w:t>16.</w:t>
      </w:r>
      <w:r>
        <w:rPr>
          <w:rFonts w:ascii="仿宋_GB2312" w:hAnsi="仿宋_GB2312" w:eastAsia="仿宋_GB2312"/>
          <w:sz w:val="32"/>
        </w:rPr>
        <w:t>负责管理县委机要保密局、县密码管理局、县档案局。</w:t>
      </w:r>
    </w:p>
    <w:p w14:paraId="73D628B3">
      <w:pPr>
        <w:spacing w:line="580" w:lineRule="exact"/>
        <w:ind w:firstLine="640"/>
        <w:jc w:val="both"/>
      </w:pPr>
      <w:r>
        <w:rPr>
          <w:rFonts w:hint="eastAsia" w:ascii="仿宋_GB2312" w:hAnsi="仿宋_GB2312" w:eastAsia="仿宋_GB2312"/>
          <w:sz w:val="32"/>
          <w:lang w:eastAsia="zh-CN"/>
        </w:rPr>
        <w:t>17.</w:t>
      </w:r>
      <w:r>
        <w:rPr>
          <w:rFonts w:ascii="仿宋_GB2312" w:hAnsi="仿宋_GB2312" w:eastAsia="仿宋_GB2312"/>
          <w:sz w:val="32"/>
        </w:rPr>
        <w:t>完成县委交办的其他任务。</w:t>
      </w:r>
    </w:p>
    <w:p w14:paraId="66C098B0">
      <w:pPr>
        <w:spacing w:line="640" w:lineRule="exact"/>
        <w:ind w:firstLine="640"/>
        <w:jc w:val="both"/>
        <w:outlineLvl w:val="2"/>
      </w:pPr>
      <w:r>
        <w:rPr>
          <w:rFonts w:ascii="黑体" w:hAnsi="黑体" w:eastAsia="黑体"/>
          <w:sz w:val="32"/>
        </w:rPr>
        <w:t>二、机构设置及人员情况</w:t>
      </w:r>
    </w:p>
    <w:p w14:paraId="29BD14E9">
      <w:pPr>
        <w:spacing w:line="580" w:lineRule="exact"/>
        <w:ind w:firstLine="640"/>
        <w:jc w:val="both"/>
      </w:pPr>
      <w:r>
        <w:rPr>
          <w:rFonts w:ascii="仿宋_GB2312" w:hAnsi="仿宋_GB2312" w:eastAsia="仿宋_GB2312"/>
          <w:sz w:val="32"/>
        </w:rPr>
        <w:t>中共塔什库尔干塔吉克自治县委员会办公室2024年度，实有人数50人，其中：在职人员33人，增加10人；离休人员0人，增加0人；退休人员17人,增加0人。</w:t>
      </w:r>
    </w:p>
    <w:p w14:paraId="2F92BC72">
      <w:pPr>
        <w:spacing w:line="580" w:lineRule="exact"/>
        <w:ind w:firstLine="640"/>
        <w:jc w:val="both"/>
      </w:pPr>
      <w:r>
        <w:rPr>
          <w:rFonts w:ascii="仿宋_GB2312" w:hAnsi="仿宋_GB2312" w:eastAsia="仿宋_GB2312"/>
          <w:sz w:val="32"/>
        </w:rPr>
        <w:t>单位无下属预算单位，下设4个科室，分别是：综合办公室、县委机要保密办公室、档案办公室、财务办公室</w:t>
      </w:r>
      <w:r>
        <w:rPr>
          <w:rFonts w:hint="eastAsia" w:ascii="仿宋_GB2312" w:hAnsi="仿宋_GB2312" w:eastAsia="仿宋_GB2312"/>
          <w:sz w:val="32"/>
          <w:lang w:eastAsia="zh-CN"/>
        </w:rPr>
        <w:t>。</w:t>
      </w:r>
    </w:p>
    <w:p w14:paraId="457E22F5">
      <w:r>
        <w:br w:type="page"/>
      </w:r>
    </w:p>
    <w:p w14:paraId="152C50CC">
      <w:pPr>
        <w:spacing w:line="240" w:lineRule="auto"/>
        <w:jc w:val="center"/>
        <w:outlineLvl w:val="1"/>
      </w:pPr>
      <w:r>
        <w:rPr>
          <w:rFonts w:ascii="黑体" w:hAnsi="黑体" w:eastAsia="黑体"/>
          <w:sz w:val="32"/>
        </w:rPr>
        <w:t>第二部分 部门决算情况说明</w:t>
      </w:r>
    </w:p>
    <w:p w14:paraId="71D37B50">
      <w:pPr>
        <w:spacing w:line="640" w:lineRule="exact"/>
        <w:ind w:firstLine="640"/>
        <w:jc w:val="both"/>
        <w:outlineLvl w:val="2"/>
      </w:pPr>
      <w:r>
        <w:rPr>
          <w:rFonts w:ascii="黑体" w:hAnsi="黑体" w:eastAsia="黑体"/>
          <w:sz w:val="32"/>
        </w:rPr>
        <w:t>一、收入支出决算总体情况说明</w:t>
      </w:r>
    </w:p>
    <w:p w14:paraId="3A715B1F">
      <w:pPr>
        <w:spacing w:line="580" w:lineRule="exact"/>
        <w:ind w:firstLine="640"/>
        <w:jc w:val="both"/>
      </w:pPr>
      <w:r>
        <w:rPr>
          <w:rFonts w:ascii="仿宋_GB2312" w:hAnsi="仿宋_GB2312" w:eastAsia="仿宋_GB2312"/>
          <w:b/>
          <w:sz w:val="32"/>
        </w:rPr>
        <w:t>2024年度收入总计1,587.97万元，</w:t>
      </w:r>
      <w:r>
        <w:rPr>
          <w:rFonts w:ascii="仿宋_GB2312" w:hAnsi="仿宋_GB2312" w:eastAsia="仿宋_GB2312"/>
          <w:b w:val="0"/>
          <w:sz w:val="32"/>
        </w:rPr>
        <w:t>其中：本年收入合计1,587.97万元，使用非财政拨款结余（含专用结余）0.00万元，年初结转和结余0.00万元。</w:t>
      </w:r>
    </w:p>
    <w:p w14:paraId="04477C8A">
      <w:pPr>
        <w:spacing w:line="580" w:lineRule="exact"/>
        <w:ind w:firstLine="640"/>
        <w:jc w:val="both"/>
      </w:pPr>
      <w:r>
        <w:rPr>
          <w:rFonts w:ascii="仿宋_GB2312" w:hAnsi="仿宋_GB2312" w:eastAsia="仿宋_GB2312"/>
          <w:b/>
          <w:sz w:val="32"/>
        </w:rPr>
        <w:t>2024年度支出总计1,587.97万元，</w:t>
      </w:r>
      <w:r>
        <w:rPr>
          <w:rFonts w:ascii="仿宋_GB2312" w:hAnsi="仿宋_GB2312" w:eastAsia="仿宋_GB2312"/>
          <w:b w:val="0"/>
          <w:sz w:val="32"/>
        </w:rPr>
        <w:t>其中：本年支出合计1,587.97万元，结余分配0.00万元，年末结转和结余0.00万元。</w:t>
      </w:r>
    </w:p>
    <w:p w14:paraId="7539AF41">
      <w:pPr>
        <w:spacing w:line="580" w:lineRule="exact"/>
        <w:ind w:firstLine="640"/>
        <w:jc w:val="both"/>
      </w:pPr>
      <w:r>
        <w:rPr>
          <w:rFonts w:ascii="仿宋_GB2312" w:hAnsi="仿宋_GB2312" w:eastAsia="仿宋_GB2312"/>
          <w:b w:val="0"/>
          <w:sz w:val="32"/>
        </w:rPr>
        <w:t>收入支出总体与上年相比，减少316.93万元，下降16.64%，主要原因是：本年较上年减少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2021年汇报片拍摄制作项目、旅游宣传彩铃经费项目、机要通信线路租赁费项目等。</w:t>
      </w:r>
    </w:p>
    <w:p w14:paraId="4E68937E">
      <w:pPr>
        <w:spacing w:line="640" w:lineRule="exact"/>
        <w:ind w:firstLine="640"/>
        <w:jc w:val="both"/>
        <w:outlineLvl w:val="2"/>
      </w:pPr>
      <w:r>
        <w:rPr>
          <w:rFonts w:ascii="黑体" w:hAnsi="黑体" w:eastAsia="黑体"/>
          <w:sz w:val="32"/>
        </w:rPr>
        <w:t>二、收入决算情况说明</w:t>
      </w:r>
    </w:p>
    <w:p w14:paraId="07FB7C5F">
      <w:pPr>
        <w:spacing w:line="580" w:lineRule="exact"/>
        <w:ind w:firstLine="640"/>
        <w:jc w:val="both"/>
      </w:pPr>
      <w:r>
        <w:rPr>
          <w:rFonts w:ascii="仿宋_GB2312" w:hAnsi="仿宋_GB2312" w:eastAsia="仿宋_GB2312"/>
          <w:b/>
          <w:sz w:val="32"/>
        </w:rPr>
        <w:t>本年收入1,587.97万元，</w:t>
      </w:r>
      <w:r>
        <w:rPr>
          <w:rFonts w:ascii="仿宋_GB2312" w:hAnsi="仿宋_GB2312" w:eastAsia="仿宋_GB2312"/>
          <w:b w:val="0"/>
          <w:sz w:val="32"/>
        </w:rPr>
        <w:t>其中：财政拨款收入1,587.97万元，占100.00%；上级补助收入0.00万元，占0.00%；事业收入0.00万元，占0.00%；经营收入0.00万元，占0.00%；附属单位上缴收入0.00万元，占0.00%；其他收入0.00万元，占0.00%。</w:t>
      </w:r>
    </w:p>
    <w:p w14:paraId="180240D9">
      <w:pPr>
        <w:spacing w:line="640" w:lineRule="exact"/>
        <w:ind w:firstLine="640"/>
        <w:jc w:val="both"/>
        <w:outlineLvl w:val="2"/>
      </w:pPr>
      <w:r>
        <w:rPr>
          <w:rFonts w:ascii="黑体" w:hAnsi="黑体" w:eastAsia="黑体"/>
          <w:sz w:val="32"/>
        </w:rPr>
        <w:t>三、支出决算情况说明</w:t>
      </w:r>
    </w:p>
    <w:p w14:paraId="278B5AA9">
      <w:pPr>
        <w:spacing w:line="580" w:lineRule="exact"/>
        <w:ind w:firstLine="640"/>
        <w:jc w:val="both"/>
      </w:pPr>
      <w:r>
        <w:rPr>
          <w:rFonts w:ascii="仿宋_GB2312" w:hAnsi="仿宋_GB2312" w:eastAsia="仿宋_GB2312"/>
          <w:b/>
          <w:sz w:val="32"/>
        </w:rPr>
        <w:t>本年支出1,587.97万元，</w:t>
      </w:r>
      <w:r>
        <w:rPr>
          <w:rFonts w:ascii="仿宋_GB2312" w:hAnsi="仿宋_GB2312" w:eastAsia="仿宋_GB2312"/>
          <w:b w:val="0"/>
          <w:sz w:val="32"/>
        </w:rPr>
        <w:t>其中：基本支出651.33万元，占41.02%；项目支出936.64万元，占58.98%；上缴上级支出0.00万元，占0.00%；经营支出0.00万元，占0.00%；对附属单位补助支出0.00万元，占0.00%。</w:t>
      </w:r>
    </w:p>
    <w:p w14:paraId="014A6059">
      <w:pPr>
        <w:spacing w:line="640" w:lineRule="exact"/>
        <w:ind w:firstLine="640"/>
        <w:jc w:val="both"/>
        <w:outlineLvl w:val="2"/>
      </w:pPr>
      <w:r>
        <w:rPr>
          <w:rFonts w:ascii="黑体" w:hAnsi="黑体" w:eastAsia="黑体"/>
          <w:sz w:val="32"/>
        </w:rPr>
        <w:t>四、财政拨款收入支出决算总体情况说明</w:t>
      </w:r>
    </w:p>
    <w:p w14:paraId="50897CB1">
      <w:pPr>
        <w:spacing w:line="580" w:lineRule="exact"/>
        <w:ind w:firstLine="640"/>
        <w:jc w:val="both"/>
      </w:pPr>
      <w:r>
        <w:rPr>
          <w:rFonts w:ascii="仿宋_GB2312" w:hAnsi="仿宋_GB2312" w:eastAsia="仿宋_GB2312"/>
          <w:b/>
          <w:sz w:val="32"/>
        </w:rPr>
        <w:t>2024年度财政拨款收入总计1,587.97万元，</w:t>
      </w:r>
      <w:r>
        <w:rPr>
          <w:rFonts w:ascii="仿宋_GB2312" w:hAnsi="仿宋_GB2312" w:eastAsia="仿宋_GB2312"/>
          <w:b w:val="0"/>
          <w:sz w:val="32"/>
        </w:rPr>
        <w:t>其中：年初财政拨款结转和结余0.00万元，本年财政拨款收入1,587.97万元。</w:t>
      </w:r>
      <w:r>
        <w:rPr>
          <w:rFonts w:ascii="仿宋_GB2312" w:hAnsi="仿宋_GB2312" w:eastAsia="仿宋_GB2312"/>
          <w:b/>
          <w:sz w:val="32"/>
        </w:rPr>
        <w:t>财政拨款支出总计1,587.97万元，</w:t>
      </w:r>
      <w:r>
        <w:rPr>
          <w:rFonts w:ascii="仿宋_GB2312" w:hAnsi="仿宋_GB2312" w:eastAsia="仿宋_GB2312"/>
          <w:b w:val="0"/>
          <w:sz w:val="32"/>
        </w:rPr>
        <w:t>其中：年末财政拨款结转和结余0.00万元，本年财政拨款支出1,587.97万元。</w:t>
      </w:r>
    </w:p>
    <w:p w14:paraId="01BFC8A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减少316.93万元，下降16.64%，主要原因是：本年较上年减少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2021年汇报片拍摄制作项目、旅游宣传彩铃经费项目、机要通信线路租赁费项目等。</w:t>
      </w:r>
      <w:r>
        <w:rPr>
          <w:rFonts w:ascii="仿宋_GB2312" w:hAnsi="仿宋_GB2312" w:eastAsia="仿宋_GB2312"/>
          <w:b/>
          <w:sz w:val="32"/>
        </w:rPr>
        <w:t>与年初预算相比，</w:t>
      </w:r>
      <w:r>
        <w:rPr>
          <w:rFonts w:ascii="仿宋_GB2312" w:hAnsi="仿宋_GB2312" w:eastAsia="仿宋_GB2312"/>
          <w:b w:val="0"/>
          <w:sz w:val="32"/>
        </w:rPr>
        <w:t>年初预算数1,661.62万元，决算数1,587.97万元，预决算差异率-4.43%，主要原因是：本年</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标识牌制作项目、旅游宣传视频汇报片制作项目、干部周转房室内装修项目等项目未执行完，年中调减经费，导致预决算存在差异。</w:t>
      </w:r>
    </w:p>
    <w:p w14:paraId="622B1011">
      <w:pPr>
        <w:spacing w:line="640" w:lineRule="exact"/>
        <w:ind w:firstLine="640"/>
        <w:jc w:val="both"/>
        <w:outlineLvl w:val="2"/>
      </w:pPr>
      <w:r>
        <w:rPr>
          <w:rFonts w:ascii="黑体" w:hAnsi="黑体" w:eastAsia="黑体"/>
          <w:sz w:val="32"/>
        </w:rPr>
        <w:t>五、一般公共预算财政拨款支出决算情况说明</w:t>
      </w:r>
    </w:p>
    <w:p w14:paraId="0D625CF0">
      <w:pPr>
        <w:spacing w:line="640" w:lineRule="exact"/>
        <w:ind w:firstLine="640"/>
        <w:jc w:val="both"/>
        <w:outlineLvl w:val="3"/>
      </w:pPr>
      <w:r>
        <w:rPr>
          <w:rFonts w:ascii="楷体_GB2312" w:hAnsi="楷体_GB2312" w:eastAsia="楷体_GB2312"/>
          <w:b/>
          <w:sz w:val="32"/>
        </w:rPr>
        <w:t>（一）一般公共预算财政拨款支出决算总体情况</w:t>
      </w:r>
    </w:p>
    <w:p w14:paraId="725E4D13">
      <w:pPr>
        <w:spacing w:line="580" w:lineRule="exact"/>
        <w:ind w:firstLine="640"/>
        <w:jc w:val="both"/>
      </w:pPr>
      <w:r>
        <w:rPr>
          <w:rFonts w:ascii="仿宋_GB2312" w:hAnsi="仿宋_GB2312" w:eastAsia="仿宋_GB2312"/>
          <w:b/>
          <w:sz w:val="32"/>
        </w:rPr>
        <w:t>2024年度一般公共预算财政拨款支出1,587.97万元，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减少316.93万元，下降16.64%，主要原因是：本年较上年减少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2021年汇报片拍摄制作项目、旅游宣传彩铃经费项目、机要通信线路租赁费项目等。</w:t>
      </w:r>
      <w:r>
        <w:rPr>
          <w:rFonts w:ascii="仿宋_GB2312" w:hAnsi="仿宋_GB2312" w:eastAsia="仿宋_GB2312"/>
          <w:b/>
          <w:sz w:val="32"/>
        </w:rPr>
        <w:t>与年初预算相比,</w:t>
      </w:r>
      <w:r>
        <w:rPr>
          <w:rFonts w:ascii="仿宋_GB2312" w:hAnsi="仿宋_GB2312" w:eastAsia="仿宋_GB2312"/>
          <w:b w:val="0"/>
          <w:sz w:val="32"/>
        </w:rPr>
        <w:t>年初预算数1,661.62万元，决算数1,587.97万元，预决算差异率-4.43%，主要原因是：本年</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标识牌制作项目、旅游宣传视频汇报片制作项目、干部周转房室内装修项目等项目未执行完，年中调减经费，导致预决算存在差异。</w:t>
      </w:r>
    </w:p>
    <w:p w14:paraId="5239B78C">
      <w:pPr>
        <w:spacing w:line="640" w:lineRule="exact"/>
        <w:ind w:firstLine="640"/>
        <w:jc w:val="both"/>
        <w:outlineLvl w:val="3"/>
      </w:pPr>
      <w:r>
        <w:rPr>
          <w:rFonts w:ascii="楷体_GB2312" w:hAnsi="楷体_GB2312" w:eastAsia="楷体_GB2312"/>
          <w:b/>
          <w:sz w:val="32"/>
        </w:rPr>
        <w:t>（二）一般公共预算财政拨款支出决算结构情况</w:t>
      </w:r>
    </w:p>
    <w:p w14:paraId="1C1FA6F0">
      <w:pPr>
        <w:spacing w:line="580" w:lineRule="exact"/>
        <w:ind w:firstLine="640"/>
        <w:jc w:val="both"/>
      </w:pPr>
      <w:r>
        <w:rPr>
          <w:rFonts w:ascii="仿宋_GB2312" w:hAnsi="仿宋_GB2312" w:eastAsia="仿宋_GB2312"/>
          <w:b w:val="0"/>
          <w:sz w:val="32"/>
        </w:rPr>
        <w:t>1.一般公共服务支出(类)1,409.45万元,占88.76%。</w:t>
      </w:r>
    </w:p>
    <w:p w14:paraId="17386C27">
      <w:pPr>
        <w:spacing w:line="580" w:lineRule="exact"/>
        <w:ind w:firstLine="640"/>
        <w:jc w:val="both"/>
      </w:pPr>
      <w:r>
        <w:rPr>
          <w:rFonts w:ascii="仿宋_GB2312" w:hAnsi="仿宋_GB2312" w:eastAsia="仿宋_GB2312"/>
          <w:b w:val="0"/>
          <w:sz w:val="32"/>
        </w:rPr>
        <w:t>2.社会保障和就业支出(类)86.18万元,占5.43%。</w:t>
      </w:r>
    </w:p>
    <w:p w14:paraId="1B5A8FCE">
      <w:pPr>
        <w:spacing w:line="580" w:lineRule="exact"/>
        <w:ind w:firstLine="640"/>
        <w:jc w:val="both"/>
      </w:pPr>
      <w:r>
        <w:rPr>
          <w:rFonts w:ascii="仿宋_GB2312" w:hAnsi="仿宋_GB2312" w:eastAsia="仿宋_GB2312"/>
          <w:b w:val="0"/>
          <w:sz w:val="32"/>
        </w:rPr>
        <w:t>3.卫生健康支出(类)28.45万元,占1.79%。</w:t>
      </w:r>
    </w:p>
    <w:p w14:paraId="009A9844">
      <w:pPr>
        <w:spacing w:line="580" w:lineRule="exact"/>
        <w:ind w:firstLine="640"/>
        <w:jc w:val="both"/>
      </w:pPr>
      <w:r>
        <w:rPr>
          <w:rFonts w:ascii="仿宋_GB2312" w:hAnsi="仿宋_GB2312" w:eastAsia="仿宋_GB2312"/>
          <w:b w:val="0"/>
          <w:sz w:val="32"/>
        </w:rPr>
        <w:t>4.住房保障支出(类)49.16万元,占3.10%。</w:t>
      </w:r>
    </w:p>
    <w:p w14:paraId="649FA760">
      <w:pPr>
        <w:spacing w:line="580" w:lineRule="exact"/>
        <w:ind w:firstLine="640"/>
        <w:jc w:val="both"/>
      </w:pPr>
      <w:r>
        <w:rPr>
          <w:rFonts w:ascii="仿宋_GB2312" w:hAnsi="仿宋_GB2312" w:eastAsia="仿宋_GB2312"/>
          <w:b w:val="0"/>
          <w:sz w:val="32"/>
        </w:rPr>
        <w:t>5.其他支出(类)14.74万元,占0.93%。</w:t>
      </w:r>
    </w:p>
    <w:p w14:paraId="794DF831">
      <w:pPr>
        <w:spacing w:line="640" w:lineRule="exact"/>
        <w:ind w:firstLine="640"/>
        <w:jc w:val="both"/>
        <w:outlineLvl w:val="3"/>
      </w:pPr>
      <w:r>
        <w:rPr>
          <w:rFonts w:ascii="楷体_GB2312" w:hAnsi="楷体_GB2312" w:eastAsia="楷体_GB2312"/>
          <w:b/>
          <w:sz w:val="32"/>
        </w:rPr>
        <w:t>（三）一般公共预算财政拨款支出决算具体情况</w:t>
      </w:r>
    </w:p>
    <w:p w14:paraId="6DAA12C6">
      <w:pPr>
        <w:spacing w:line="580" w:lineRule="exact"/>
        <w:ind w:firstLine="640"/>
        <w:jc w:val="both"/>
      </w:pPr>
      <w:r>
        <w:rPr>
          <w:rFonts w:ascii="仿宋_GB2312" w:hAnsi="仿宋_GB2312" w:eastAsia="仿宋_GB2312"/>
          <w:b w:val="0"/>
          <w:sz w:val="32"/>
        </w:rPr>
        <w:t>1.一般公共服务支出(类)党委办公厅（室）及相关机构事务(款)行政运行(项):支出决算数为228.29万元，比上年决算减少193.44万元，下降45.87%,主要原因是：本年度公务用车运行维护费较上年减少。</w:t>
      </w:r>
    </w:p>
    <w:p w14:paraId="27F52143">
      <w:pPr>
        <w:spacing w:line="580" w:lineRule="exact"/>
        <w:ind w:firstLine="640"/>
        <w:jc w:val="both"/>
      </w:pPr>
      <w:r>
        <w:rPr>
          <w:rFonts w:ascii="仿宋_GB2312" w:hAnsi="仿宋_GB2312" w:eastAsia="仿宋_GB2312"/>
          <w:b w:val="0"/>
          <w:sz w:val="32"/>
        </w:rPr>
        <w:t>2.一般公共服务支出(类)党委办公厅（室）及相关机构事务(款)事业运行(项):支出决算数为259.26万元，比上年决算增加19.38万元，增长8.08%,主要原因是：本年新增事业在职人员，人员经费增加，导致经费较上年有所增加。</w:t>
      </w:r>
    </w:p>
    <w:p w14:paraId="3D8BF561">
      <w:pPr>
        <w:spacing w:line="580" w:lineRule="exact"/>
        <w:ind w:firstLine="640"/>
        <w:jc w:val="both"/>
      </w:pPr>
      <w:r>
        <w:rPr>
          <w:rFonts w:ascii="仿宋_GB2312" w:hAnsi="仿宋_GB2312" w:eastAsia="仿宋_GB2312"/>
          <w:b w:val="0"/>
          <w:sz w:val="32"/>
        </w:rPr>
        <w:t>3.一般公共服务支出(类)党委办公厅（室）及相关机构事务(款)其他党委办公厅（室）及相关机构事务支出(项):支出决算数为921.90万元，比上年决算减少104.78万元，下降10.21%,主要原因是：本年较上年减少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2021年汇报片拍摄制作项目、旅游宣传彩铃经费项目、机要通信线路租赁费项目等。</w:t>
      </w:r>
    </w:p>
    <w:p w14:paraId="26833FA9">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4.社会保障和就业支出(类)行政事业单位养老支出(款)行政单位离退休(项):支出决算数为22.21万元，比上年决算减少1.83万元，下降7.61%,主要原因是：本年减少退休人员补发绩效。</w:t>
      </w:r>
    </w:p>
    <w:p w14:paraId="3BCAB1B4">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59.55万元，比上年决算增加7.64万元，增长14.72%,主要原因是：本年在职人员增加，养老保险缴费较上年增加。</w:t>
      </w:r>
    </w:p>
    <w:p w14:paraId="1D5A712A">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4.41万元，比上年决算减少40.73万元，下降90.23%,主要原因是：本年在职人员调出1人，无退休人员，职业年金做实部分减少，导致职业年金支出较上年减少。</w:t>
      </w:r>
    </w:p>
    <w:p w14:paraId="295813D3">
      <w:pPr>
        <w:spacing w:line="580" w:lineRule="exact"/>
        <w:ind w:firstLine="640"/>
        <w:jc w:val="both"/>
      </w:pPr>
      <w:r>
        <w:rPr>
          <w:rFonts w:ascii="仿宋_GB2312" w:hAnsi="仿宋_GB2312" w:eastAsia="仿宋_GB2312"/>
          <w:b w:val="0"/>
          <w:sz w:val="32"/>
        </w:rPr>
        <w:t>7.社会保障和就业支出(类)社会福利(款)殡葬(项):支出决算数为0.00万元，比上年决算减少26.88万元，下降100.00%,主要原因是：本年无去世人员，未发放丧葬费抚恤金。</w:t>
      </w:r>
    </w:p>
    <w:p w14:paraId="47FD03BB">
      <w:pPr>
        <w:spacing w:line="580" w:lineRule="exact"/>
        <w:ind w:firstLine="640"/>
        <w:jc w:val="both"/>
      </w:pPr>
      <w:r>
        <w:rPr>
          <w:rFonts w:ascii="仿宋_GB2312" w:hAnsi="仿宋_GB2312" w:eastAsia="仿宋_GB2312"/>
          <w:b w:val="0"/>
          <w:sz w:val="32"/>
        </w:rPr>
        <w:t>8.卫生健康支出(类)行政事业单位医疗(款)行政单位医疗(项):支出决算数为25.42万元，比上年决算增加3.09万元，增长13.84%,主要原因是：本年在职人员增加，行政单位医疗较上年增加。</w:t>
      </w:r>
    </w:p>
    <w:p w14:paraId="7882BD12">
      <w:pPr>
        <w:spacing w:line="580" w:lineRule="exact"/>
        <w:ind w:firstLine="640"/>
        <w:jc w:val="both"/>
      </w:pPr>
      <w:r>
        <w:rPr>
          <w:rFonts w:ascii="仿宋_GB2312" w:hAnsi="仿宋_GB2312" w:eastAsia="仿宋_GB2312"/>
          <w:b w:val="0"/>
          <w:sz w:val="32"/>
        </w:rPr>
        <w:t>9.卫生健康支出(类)行政事业单位医疗(款)公务员医疗补助(项):支出决算数为3.03万元，比上年决算增加0.47万元，增长18.36%,主要原因是：本年在职人员增加，公务员医疗补助较上年增加。</w:t>
      </w:r>
    </w:p>
    <w:p w14:paraId="3D200473">
      <w:pPr>
        <w:spacing w:line="580" w:lineRule="exact"/>
        <w:ind w:firstLine="640"/>
        <w:jc w:val="both"/>
      </w:pPr>
      <w:r>
        <w:rPr>
          <w:rFonts w:ascii="仿宋_GB2312" w:hAnsi="仿宋_GB2312" w:eastAsia="仿宋_GB2312"/>
          <w:b w:val="0"/>
          <w:sz w:val="32"/>
        </w:rPr>
        <w:t>10.住房保障支出(类)住房改革支出(款)住房公积金(项):支出决算数为49.16万元，比上年决算增加9.33万元，增长23.42%,主要原因是：本年在职人员增加，住房公积金支出较上年增加。</w:t>
      </w:r>
    </w:p>
    <w:p w14:paraId="0E38938D">
      <w:pPr>
        <w:spacing w:line="580" w:lineRule="exact"/>
        <w:ind w:firstLine="640"/>
        <w:jc w:val="both"/>
      </w:pPr>
      <w:r>
        <w:rPr>
          <w:rFonts w:ascii="仿宋_GB2312" w:hAnsi="仿宋_GB2312" w:eastAsia="仿宋_GB2312"/>
          <w:b w:val="0"/>
          <w:sz w:val="32"/>
        </w:rPr>
        <w:t>11.其他支出(类)其他支出(款)其他支出(项):支出决算数为14.74万元，比上年决算增加10.82万元，增长276.02%,主要原因是：本年增加为民办实事工作经费项目。</w:t>
      </w:r>
    </w:p>
    <w:p w14:paraId="277F4CA5">
      <w:pPr>
        <w:spacing w:line="640" w:lineRule="exact"/>
        <w:ind w:firstLine="640"/>
        <w:jc w:val="both"/>
        <w:outlineLvl w:val="2"/>
      </w:pPr>
      <w:r>
        <w:rPr>
          <w:rFonts w:ascii="黑体" w:hAnsi="黑体" w:eastAsia="黑体"/>
          <w:sz w:val="32"/>
        </w:rPr>
        <w:t>六、一般公共预算财政拨款基本支出决算情况说明</w:t>
      </w:r>
    </w:p>
    <w:p w14:paraId="0429B727">
      <w:pPr>
        <w:spacing w:line="580" w:lineRule="exact"/>
        <w:ind w:firstLine="640"/>
        <w:jc w:val="both"/>
      </w:pPr>
      <w:r>
        <w:rPr>
          <w:rFonts w:ascii="仿宋_GB2312" w:hAnsi="仿宋_GB2312" w:eastAsia="仿宋_GB2312"/>
          <w:b w:val="0"/>
          <w:sz w:val="32"/>
        </w:rPr>
        <w:t>2024年度一般公共预算财政拨款基本支出651.33万元，其中：</w:t>
      </w:r>
      <w:r>
        <w:rPr>
          <w:rFonts w:ascii="仿宋_GB2312" w:hAnsi="仿宋_GB2312" w:eastAsia="仿宋_GB2312"/>
          <w:b/>
          <w:sz w:val="32"/>
        </w:rPr>
        <w:t>人员经费602.77万元，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包括：基本工资、津贴补贴、奖金、绩效工资、机关事业单位基本养老保险缴费、职业年金缴费、职工基本医疗保险缴费、公务员医疗补助缴费、其他社会保障缴费、住房公积金、退休费、生活补助。</w:t>
      </w:r>
    </w:p>
    <w:p w14:paraId="7125605A">
      <w:pPr>
        <w:spacing w:line="580" w:lineRule="exact"/>
        <w:ind w:firstLine="640"/>
        <w:jc w:val="both"/>
      </w:pPr>
      <w:r>
        <w:rPr>
          <w:rFonts w:ascii="仿宋_GB2312" w:hAnsi="仿宋_GB2312" w:eastAsia="仿宋_GB2312"/>
          <w:b/>
          <w:sz w:val="32"/>
        </w:rPr>
        <w:t>公用经费48.56万元，</w:t>
      </w:r>
      <w:r>
        <w:rPr>
          <w:rFonts w:ascii="仿宋_GB2312" w:hAnsi="仿宋_GB2312" w:eastAsia="仿宋_GB2312"/>
          <w:b w:val="0"/>
          <w:sz w:val="32"/>
        </w:rPr>
        <w:t>包括：办公费、水费、电费、邮电费、取暖费、差旅费、公务用车运行维护费。</w:t>
      </w:r>
    </w:p>
    <w:p w14:paraId="5BB522D2">
      <w:pPr>
        <w:spacing w:line="640" w:lineRule="exact"/>
        <w:ind w:firstLine="640"/>
        <w:jc w:val="both"/>
        <w:outlineLvl w:val="2"/>
      </w:pPr>
      <w:r>
        <w:rPr>
          <w:rFonts w:ascii="黑体" w:hAnsi="黑体" w:eastAsia="黑体"/>
          <w:sz w:val="32"/>
        </w:rPr>
        <w:t>七、政府性基金预算财政拨款收入支出决算情况说明</w:t>
      </w:r>
    </w:p>
    <w:p w14:paraId="1B270FED">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F7CE81C">
      <w:pPr>
        <w:spacing w:line="640" w:lineRule="exact"/>
        <w:ind w:firstLine="640"/>
        <w:jc w:val="both"/>
        <w:outlineLvl w:val="2"/>
      </w:pPr>
      <w:r>
        <w:rPr>
          <w:rFonts w:ascii="黑体" w:hAnsi="黑体" w:eastAsia="黑体"/>
          <w:sz w:val="32"/>
        </w:rPr>
        <w:t>八、国有资本经营预算财政拨款收入支出决算情况说明</w:t>
      </w:r>
    </w:p>
    <w:p w14:paraId="657A574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FBD99BD">
      <w:pPr>
        <w:spacing w:line="640" w:lineRule="exact"/>
        <w:ind w:firstLine="640"/>
        <w:jc w:val="both"/>
        <w:outlineLvl w:val="2"/>
      </w:pPr>
      <w:r>
        <w:rPr>
          <w:rFonts w:ascii="黑体" w:hAnsi="黑体" w:eastAsia="黑体"/>
          <w:sz w:val="32"/>
        </w:rPr>
        <w:t>九、财政拨款“三公”经费支出决算情况说明</w:t>
      </w:r>
    </w:p>
    <w:p w14:paraId="065112A8">
      <w:pPr>
        <w:spacing w:line="580" w:lineRule="exact"/>
        <w:ind w:firstLine="640"/>
        <w:jc w:val="both"/>
      </w:pPr>
      <w:r>
        <w:rPr>
          <w:rFonts w:ascii="仿宋_GB2312" w:hAnsi="仿宋_GB2312" w:eastAsia="仿宋_GB2312"/>
          <w:b/>
          <w:sz w:val="32"/>
        </w:rPr>
        <w:t>2024年度财政拨款“三公”经费支出44.44万元，</w:t>
      </w:r>
      <w:r>
        <w:rPr>
          <w:rFonts w:ascii="仿宋_GB2312" w:hAnsi="仿宋_GB2312" w:eastAsia="仿宋_GB2312"/>
          <w:b w:val="0"/>
          <w:sz w:val="32"/>
        </w:rPr>
        <w:t>比上年减少32.36万元，下降42.14%，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44.44万元，占100.00%，比上年减少32.36万元，下降42.14%，主要原因是：严格落实中央八项规定精神，厉行节约，减少公务用车运行维护费。公务接待费支出0.00万元，占0.00%，比上年增加0.00万元，增长0.00%，主要原因是：2023年与2024年均未安排公务接待费支出。</w:t>
      </w:r>
    </w:p>
    <w:p w14:paraId="29269775">
      <w:pPr>
        <w:spacing w:line="580" w:lineRule="exact"/>
        <w:ind w:firstLine="640"/>
        <w:jc w:val="both"/>
      </w:pPr>
      <w:r>
        <w:rPr>
          <w:rFonts w:ascii="仿宋_GB2312" w:hAnsi="仿宋_GB2312" w:eastAsia="仿宋_GB2312"/>
          <w:b/>
          <w:sz w:val="32"/>
        </w:rPr>
        <w:t>具体情况如下：</w:t>
      </w:r>
    </w:p>
    <w:p w14:paraId="0879431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F2EB7CF">
      <w:pPr>
        <w:spacing w:line="580" w:lineRule="exact"/>
        <w:ind w:firstLine="640"/>
        <w:jc w:val="both"/>
      </w:pPr>
      <w:r>
        <w:rPr>
          <w:rFonts w:ascii="仿宋_GB2312" w:hAnsi="仿宋_GB2312" w:eastAsia="仿宋_GB2312"/>
          <w:b w:val="0"/>
          <w:sz w:val="32"/>
        </w:rPr>
        <w:t>公务用车购置及运行维护费44.44万元，其中：公务用车购置费0.00万元，公务用车运行维护费44.44万元。公务用车运行维护费开支内容包括车辆燃油费、车辆保险费、维修维护费、过路费等。公务用车购置数0辆，公务用车保有量6辆。国有资产占用情况中固定资产车辆6辆，与公务用车保有量差异原因是：本单位固定资产车辆与公务用车保有量一致无差异。</w:t>
      </w:r>
    </w:p>
    <w:p w14:paraId="575265E0">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422931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44.50万元，决算数44.44万元，预决算差异率-0.13%，主要原因是：严格落实中央八项规定精神，厉行节约，减少经费支出。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44.50万元，决算数44.44万元，预决算差异率-0.13%，主要原因是：严格落实中央八项规定精神，厉行节约，减少经费支出。公务接待费全年预算数0.00万元，决算数0.00万元，预决算差异率0.00%，主要原因是：本单位无公务接待费。</w:t>
      </w:r>
    </w:p>
    <w:p w14:paraId="44C8A342">
      <w:pPr>
        <w:spacing w:line="640" w:lineRule="exact"/>
        <w:ind w:firstLine="640"/>
        <w:jc w:val="both"/>
        <w:outlineLvl w:val="2"/>
      </w:pPr>
      <w:r>
        <w:rPr>
          <w:rFonts w:ascii="黑体" w:hAnsi="黑体" w:eastAsia="黑体"/>
          <w:sz w:val="32"/>
        </w:rPr>
        <w:t>十、其他重要事项的情况说明</w:t>
      </w:r>
    </w:p>
    <w:p w14:paraId="62237FD6">
      <w:pPr>
        <w:spacing w:line="640" w:lineRule="exact"/>
        <w:ind w:firstLine="640"/>
        <w:jc w:val="both"/>
        <w:outlineLvl w:val="3"/>
      </w:pPr>
      <w:r>
        <w:rPr>
          <w:rFonts w:ascii="楷体_GB2312" w:hAnsi="楷体_GB2312" w:eastAsia="楷体_GB2312"/>
          <w:b/>
          <w:sz w:val="32"/>
        </w:rPr>
        <w:t>（一）机关运行经费及公用经费支出情况</w:t>
      </w:r>
    </w:p>
    <w:p w14:paraId="0EFB1252">
      <w:pPr>
        <w:spacing w:line="580" w:lineRule="exact"/>
        <w:ind w:firstLine="640"/>
        <w:jc w:val="both"/>
      </w:pPr>
      <w:r>
        <w:rPr>
          <w:rFonts w:ascii="仿宋_GB2312" w:hAnsi="仿宋_GB2312" w:eastAsia="仿宋_GB2312"/>
          <w:b w:val="0"/>
          <w:sz w:val="32"/>
        </w:rPr>
        <w:t>2024年度中共塔什库尔干塔吉克自治县委员会办公室（行政单位和参照公务员法管理事业单位）机关运行经费支出48.56万元，比上年减少161.97万元，下降76.93%，主要原因是：本年度单位部分公用经费列入项目支出，导致本年度机关运行经费较上年大幅下降。</w:t>
      </w:r>
    </w:p>
    <w:p w14:paraId="2BF5DD1E">
      <w:pPr>
        <w:spacing w:line="640" w:lineRule="exact"/>
        <w:ind w:firstLine="640"/>
        <w:jc w:val="both"/>
        <w:outlineLvl w:val="3"/>
      </w:pPr>
      <w:r>
        <w:rPr>
          <w:rFonts w:ascii="楷体_GB2312" w:hAnsi="楷体_GB2312" w:eastAsia="楷体_GB2312"/>
          <w:b/>
          <w:sz w:val="32"/>
        </w:rPr>
        <w:t>（二）政府采购情况</w:t>
      </w:r>
    </w:p>
    <w:p w14:paraId="0340812B">
      <w:pPr>
        <w:spacing w:line="580" w:lineRule="exact"/>
        <w:ind w:firstLine="640"/>
        <w:jc w:val="both"/>
      </w:pPr>
      <w:r>
        <w:rPr>
          <w:rFonts w:ascii="仿宋_GB2312" w:hAnsi="仿宋_GB2312" w:eastAsia="仿宋_GB2312"/>
          <w:b w:val="0"/>
          <w:sz w:val="32"/>
        </w:rPr>
        <w:t>2024年度政府采购支出总额62.33万元，其中：政府采购货物支出42.56万元、政府采购工程支出0.00万元、政府采购服务支出19.77万元。</w:t>
      </w:r>
    </w:p>
    <w:p w14:paraId="5CF47214">
      <w:pPr>
        <w:spacing w:line="580" w:lineRule="exact"/>
        <w:ind w:firstLine="640"/>
        <w:jc w:val="both"/>
      </w:pPr>
      <w:r>
        <w:rPr>
          <w:rFonts w:ascii="仿宋_GB2312" w:hAnsi="仿宋_GB2312" w:eastAsia="仿宋_GB2312"/>
          <w:b w:val="0"/>
          <w:sz w:val="32"/>
        </w:rPr>
        <w:t>授予中小企业合同金额59.10万元，占政府采购支出总额的94.82%，其中：授予小微企业合同金额31.03万元，占政府采购支出总额的49.78%。</w:t>
      </w:r>
    </w:p>
    <w:p w14:paraId="702EFC44">
      <w:pPr>
        <w:spacing w:line="640" w:lineRule="exact"/>
        <w:ind w:firstLine="640"/>
        <w:jc w:val="both"/>
        <w:outlineLvl w:val="3"/>
      </w:pPr>
      <w:r>
        <w:rPr>
          <w:rFonts w:ascii="楷体_GB2312" w:hAnsi="楷体_GB2312" w:eastAsia="楷体_GB2312"/>
          <w:b/>
          <w:sz w:val="32"/>
        </w:rPr>
        <w:t>（三）国有资产占用情况说明</w:t>
      </w:r>
    </w:p>
    <w:p w14:paraId="1B0284D7">
      <w:pPr>
        <w:spacing w:line="580" w:lineRule="exact"/>
        <w:ind w:firstLine="640"/>
        <w:jc w:val="both"/>
      </w:pPr>
      <w:r>
        <w:rPr>
          <w:rFonts w:ascii="仿宋_GB2312" w:hAnsi="仿宋_GB2312" w:eastAsia="仿宋_GB2312"/>
          <w:b w:val="0"/>
          <w:sz w:val="32"/>
        </w:rPr>
        <w:t>截至2024年12月31日，房屋2,181.00平方米，价值260.00万元。车辆6辆，价值133.96万元，其中：副部（省）级及以上领导用车0辆、主要负责人用车0辆、机要通信用车0辆、应急保障用车0辆、执法执勤用车0辆、特种专业技术用车0辆、离退休干部服务用车0辆、其他用车6辆，其他用车主要是：一般公务用车。单价100万元（含）以上设备（不含车辆）0台（套）。</w:t>
      </w:r>
    </w:p>
    <w:p w14:paraId="649ED7BF">
      <w:pPr>
        <w:spacing w:line="640" w:lineRule="exact"/>
        <w:ind w:firstLine="640"/>
        <w:jc w:val="both"/>
        <w:outlineLvl w:val="2"/>
      </w:pPr>
      <w:r>
        <w:rPr>
          <w:rFonts w:ascii="黑体" w:hAnsi="黑体" w:eastAsia="黑体"/>
          <w:sz w:val="32"/>
        </w:rPr>
        <w:t>十一、预算绩效的情况说明</w:t>
      </w:r>
    </w:p>
    <w:p w14:paraId="5CDE5583">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根据预算绩效管理要求，本单位2024年度预算绩效管理形成整体支出绩效自评表1个，全年预算总额1,587.97万元，实际执行总额1,587.97万元；预算绩效评价项目</w:t>
      </w:r>
      <w:r>
        <w:rPr>
          <w:rFonts w:hint="eastAsia" w:ascii="仿宋_GB2312" w:hAnsi="仿宋_GB2312" w:eastAsia="仿宋_GB2312"/>
          <w:b w:val="0"/>
          <w:sz w:val="32"/>
          <w:lang w:val="en-US" w:eastAsia="zh-CN"/>
        </w:rPr>
        <w:t>7</w:t>
      </w:r>
      <w:r>
        <w:rPr>
          <w:rFonts w:ascii="仿宋_GB2312" w:hAnsi="仿宋_GB2312" w:eastAsia="仿宋_GB2312"/>
          <w:b w:val="0"/>
          <w:sz w:val="32"/>
        </w:rPr>
        <w:t>个，全年预算数</w:t>
      </w:r>
      <w:r>
        <w:rPr>
          <w:rFonts w:hint="eastAsia" w:ascii="仿宋_GB2312" w:hAnsi="仿宋_GB2312" w:eastAsia="仿宋_GB2312"/>
          <w:b w:val="0"/>
          <w:sz w:val="32"/>
        </w:rPr>
        <w:t>936.76</w:t>
      </w:r>
      <w:r>
        <w:rPr>
          <w:rFonts w:ascii="仿宋_GB2312" w:hAnsi="仿宋_GB2312" w:eastAsia="仿宋_GB2312"/>
          <w:b w:val="0"/>
          <w:sz w:val="32"/>
        </w:rPr>
        <w:t>万元，全年执行数</w:t>
      </w:r>
      <w:r>
        <w:rPr>
          <w:rFonts w:hint="eastAsia" w:ascii="仿宋_GB2312" w:hAnsi="仿宋_GB2312" w:eastAsia="仿宋_GB2312"/>
          <w:b w:val="0"/>
          <w:sz w:val="32"/>
        </w:rPr>
        <w:t>936.63</w:t>
      </w:r>
      <w:r>
        <w:rPr>
          <w:rFonts w:ascii="仿宋_GB2312" w:hAnsi="仿宋_GB2312" w:eastAsia="仿宋_GB2312"/>
          <w:b w:val="0"/>
          <w:sz w:val="32"/>
        </w:rPr>
        <w:t>万元。预算绩效管理取得的成效：一是本项目能够严格按照《项目实施方案》执行，项目执行情况较好；二是加强组织领导，本项目绩效评价工作，有县委办主要领导亲自挂帅，分管县领导具体负责，从项目到资金，均能够很</w:t>
      </w:r>
      <w:r>
        <w:rPr>
          <w:rFonts w:hint="eastAsia" w:ascii="仿宋_GB2312" w:hAnsi="仿宋_GB2312" w:eastAsia="仿宋_GB2312"/>
          <w:b w:val="0"/>
          <w:sz w:val="32"/>
          <w:lang w:eastAsia="zh-CN"/>
        </w:rPr>
        <w:t>好地</w:t>
      </w:r>
      <w:r>
        <w:rPr>
          <w:rFonts w:ascii="仿宋_GB2312" w:hAnsi="仿宋_GB2312" w:eastAsia="仿宋_GB2312"/>
          <w:b w:val="0"/>
          <w:sz w:val="32"/>
        </w:rPr>
        <w:t>执行；三是加强沟通协调，单位及时向县领导汇报项目建设进度，加强与施工单位的沟通，确保项目按期完工。发现的问题及原因：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下一步改进措施：一是加大绩效工作宣传力度，强化绩效理念。完善绩效指标，提高整体绩效目标质量。提升预算精细化管理水平。针对绩效评价过程中的问题，科学地做好支出进度安排，并在实施过</w:t>
      </w:r>
      <w:r>
        <w:rPr>
          <w:rFonts w:hint="eastAsia" w:ascii="仿宋_GB2312" w:hAnsi="仿宋_GB2312" w:eastAsia="仿宋_GB2312"/>
          <w:b w:val="0"/>
          <w:sz w:val="32"/>
          <w:lang w:eastAsia="zh-CN"/>
        </w:rPr>
        <w:t>程中</w:t>
      </w:r>
      <w:r>
        <w:rPr>
          <w:rFonts w:ascii="仿宋_GB2312" w:hAnsi="仿宋_GB2312" w:eastAsia="仿宋_GB2312"/>
          <w:b w:val="0"/>
          <w:sz w:val="32"/>
        </w:rPr>
        <w:t>加强监督，加快支出进度；二是年初做好资金计划，按照项目进度及时拨付资金，使资金使用效益最大化，减少不必要的浪费，节约成本，加强预算绩效目标管理工作。明确预算项目绩效目标编制要求，分类别建立科学合理、细化量化、可比可测预算绩效指标体系，突出结果导向，重点考核实绩；三</w:t>
      </w:r>
      <w:r>
        <w:rPr>
          <w:rFonts w:hint="eastAsia" w:ascii="仿宋_GB2312" w:hAnsi="仿宋_GB2312" w:eastAsia="仿宋_GB2312"/>
          <w:b w:val="0"/>
          <w:sz w:val="32"/>
          <w:lang w:eastAsia="zh-CN"/>
        </w:rPr>
        <w:t>是加</w:t>
      </w:r>
      <w:r>
        <w:rPr>
          <w:rFonts w:ascii="仿宋_GB2312" w:hAnsi="仿宋_GB2312" w:eastAsia="仿宋_GB2312"/>
          <w:b w:val="0"/>
          <w:sz w:val="32"/>
        </w:rPr>
        <w:t>强绩效业务学习及培训，提高业务人员绩效管理意识，进一步加强预算绩效管理工作，有效推动单位下一年度预算绩效管理工作常态化、规范化；四是借助第三方专业机构力量，贯彻落实全面预算绩效管理工作，建立全过程预算绩效管理链条，将绩效各个环节紧密贯通。具体附整体支出绩效自评表，项目支出绩效自评表和评价报告。</w:t>
      </w:r>
    </w:p>
    <w:p w14:paraId="15AC52D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9412E21">
        <w:tblPrEx>
          <w:tblCellMar>
            <w:top w:w="0" w:type="dxa"/>
            <w:left w:w="108" w:type="dxa"/>
            <w:bottom w:w="0" w:type="dxa"/>
            <w:right w:w="108" w:type="dxa"/>
          </w:tblCellMar>
        </w:tblPrEx>
        <w:tc>
          <w:tcPr>
            <w:tcW w:w="8847" w:type="dxa"/>
            <w:gridSpan w:val="9"/>
            <w:vAlign w:val="center"/>
          </w:tcPr>
          <w:p w14:paraId="24A57DB7">
            <w:pPr>
              <w:jc w:val="center"/>
            </w:pPr>
            <w:r>
              <w:rPr>
                <w:rFonts w:ascii="宋体" w:hAnsi="宋体" w:eastAsia="宋体"/>
                <w:sz w:val="24"/>
              </w:rPr>
              <w:t>单位整体支出绩效自评表</w:t>
            </w:r>
          </w:p>
        </w:tc>
      </w:tr>
      <w:tr w14:paraId="4722E34E">
        <w:tblPrEx>
          <w:tblCellMar>
            <w:top w:w="0" w:type="dxa"/>
            <w:left w:w="108" w:type="dxa"/>
            <w:bottom w:w="0" w:type="dxa"/>
            <w:right w:w="108" w:type="dxa"/>
          </w:tblCellMar>
        </w:tblPrEx>
        <w:tc>
          <w:tcPr>
            <w:tcW w:w="8847" w:type="dxa"/>
            <w:gridSpan w:val="9"/>
            <w:vAlign w:val="center"/>
          </w:tcPr>
          <w:p w14:paraId="4286A801">
            <w:pPr>
              <w:jc w:val="center"/>
            </w:pPr>
            <w:r>
              <w:rPr>
                <w:rFonts w:ascii="宋体" w:hAnsi="宋体" w:eastAsia="宋体"/>
                <w:sz w:val="24"/>
              </w:rPr>
              <w:t>（2024年度）</w:t>
            </w:r>
          </w:p>
        </w:tc>
      </w:tr>
      <w:tr w14:paraId="0B84805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7AB44">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663DD51">
            <w:pPr>
              <w:jc w:val="center"/>
            </w:pPr>
            <w:r>
              <w:rPr>
                <w:rFonts w:ascii="宋体" w:hAnsi="宋体" w:eastAsia="宋体"/>
                <w:sz w:val="16"/>
              </w:rPr>
              <w:t>中共塔什库尔干塔吉克自治县委员会办公室</w:t>
            </w:r>
          </w:p>
        </w:tc>
      </w:tr>
      <w:tr w14:paraId="2F3CF1D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6E3846">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EFE21">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3C86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E2E1B">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91660">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6C27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2BF2B">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37103">
            <w:pPr>
              <w:jc w:val="center"/>
            </w:pPr>
            <w:r>
              <w:rPr>
                <w:rFonts w:ascii="宋体" w:hAnsi="宋体" w:eastAsia="宋体"/>
                <w:sz w:val="16"/>
              </w:rPr>
              <w:t>得分</w:t>
            </w:r>
          </w:p>
        </w:tc>
      </w:tr>
      <w:tr w14:paraId="3E162E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E57D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5EC66">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0D0E0">
            <w:pPr>
              <w:jc w:val="center"/>
            </w:pPr>
            <w:r>
              <w:rPr>
                <w:rFonts w:ascii="宋体" w:hAnsi="宋体" w:eastAsia="宋体"/>
                <w:sz w:val="16"/>
              </w:rPr>
              <w:t>1,611.62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D7A1E">
            <w:pPr>
              <w:jc w:val="center"/>
            </w:pPr>
            <w:r>
              <w:rPr>
                <w:rFonts w:ascii="宋体" w:hAnsi="宋体" w:eastAsia="宋体"/>
                <w:sz w:val="16"/>
              </w:rPr>
              <w:t>1,587.97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C2FB8">
            <w:pPr>
              <w:jc w:val="center"/>
            </w:pPr>
            <w:r>
              <w:rPr>
                <w:rFonts w:ascii="宋体" w:hAnsi="宋体" w:eastAsia="宋体"/>
                <w:sz w:val="16"/>
              </w:rPr>
              <w:t>1,587.97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9915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9E859">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1375A">
            <w:pPr>
              <w:jc w:val="center"/>
            </w:pPr>
            <w:r>
              <w:rPr>
                <w:rFonts w:ascii="宋体" w:hAnsi="宋体" w:eastAsia="宋体"/>
                <w:sz w:val="16"/>
              </w:rPr>
              <w:t>10</w:t>
            </w:r>
          </w:p>
        </w:tc>
      </w:tr>
      <w:tr w14:paraId="49ACFC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D3302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802A6">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5D09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78D69">
            <w:pPr>
              <w:jc w:val="center"/>
            </w:pPr>
            <w:r>
              <w:rPr>
                <w:rFonts w:ascii="宋体" w:hAnsi="宋体" w:eastAsia="宋体"/>
                <w:sz w:val="16"/>
              </w:rPr>
              <w:t>82.29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100D0">
            <w:pPr>
              <w:jc w:val="center"/>
            </w:pPr>
            <w:r>
              <w:rPr>
                <w:rFonts w:ascii="宋体" w:hAnsi="宋体" w:eastAsia="宋体"/>
                <w:sz w:val="16"/>
              </w:rPr>
              <w:t>82.29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0601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2B23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418C5">
            <w:pPr>
              <w:jc w:val="center"/>
            </w:pPr>
            <w:r>
              <w:rPr>
                <w:rFonts w:ascii="宋体" w:hAnsi="宋体" w:eastAsia="宋体"/>
                <w:sz w:val="16"/>
              </w:rPr>
              <w:t>—</w:t>
            </w:r>
          </w:p>
        </w:tc>
      </w:tr>
      <w:tr w14:paraId="1F58CA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0AD43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5E77E">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AA6CE">
            <w:pPr>
              <w:jc w:val="center"/>
            </w:pPr>
            <w:r>
              <w:rPr>
                <w:rFonts w:ascii="宋体" w:hAnsi="宋体" w:eastAsia="宋体"/>
                <w:sz w:val="16"/>
              </w:rPr>
              <w:t>1,611.62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4FECC">
            <w:pPr>
              <w:jc w:val="center"/>
            </w:pPr>
            <w:r>
              <w:rPr>
                <w:rFonts w:ascii="宋体" w:hAnsi="宋体" w:eastAsia="宋体"/>
                <w:sz w:val="16"/>
              </w:rPr>
              <w:t>1,505.68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BECF9">
            <w:pPr>
              <w:jc w:val="center"/>
            </w:pPr>
            <w:r>
              <w:rPr>
                <w:rFonts w:ascii="宋体" w:hAnsi="宋体" w:eastAsia="宋体"/>
                <w:sz w:val="16"/>
              </w:rPr>
              <w:t>1,505.68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F9EA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5A067">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E2426">
            <w:pPr>
              <w:jc w:val="center"/>
            </w:pPr>
            <w:r>
              <w:rPr>
                <w:rFonts w:ascii="宋体" w:hAnsi="宋体" w:eastAsia="宋体"/>
                <w:sz w:val="16"/>
              </w:rPr>
              <w:t>—</w:t>
            </w:r>
          </w:p>
        </w:tc>
      </w:tr>
      <w:tr w14:paraId="34422E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19F1B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32B45">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2ADA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3EB8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AD06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ABAE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AA4C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5EF11">
            <w:pPr>
              <w:jc w:val="center"/>
            </w:pPr>
            <w:r>
              <w:rPr>
                <w:rFonts w:ascii="宋体" w:hAnsi="宋体" w:eastAsia="宋体"/>
                <w:sz w:val="16"/>
              </w:rPr>
              <w:t>—</w:t>
            </w:r>
          </w:p>
        </w:tc>
      </w:tr>
      <w:tr w14:paraId="6C37FC8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45301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ACD81E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EBBAFA">
            <w:pPr>
              <w:jc w:val="center"/>
            </w:pPr>
            <w:r>
              <w:rPr>
                <w:rFonts w:ascii="宋体" w:hAnsi="宋体" w:eastAsia="宋体"/>
                <w:sz w:val="16"/>
              </w:rPr>
              <w:t>实际完成目标</w:t>
            </w:r>
          </w:p>
        </w:tc>
      </w:tr>
      <w:tr w14:paraId="3E5F84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9F7FC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B21D352">
            <w:pPr>
              <w:jc w:val="both"/>
            </w:pPr>
            <w:r>
              <w:rPr>
                <w:rFonts w:ascii="宋体" w:hAnsi="宋体" w:eastAsia="宋体"/>
                <w:sz w:val="16"/>
              </w:rPr>
              <w:t>2024年，县委办公室将始终坚持以习近平新时代中国特色社会主义思想为指导，紧紧围绕</w:t>
            </w:r>
            <w:r>
              <w:rPr>
                <w:rFonts w:hint="eastAsia" w:ascii="宋体" w:hAnsi="宋体"/>
                <w:sz w:val="16"/>
                <w:lang w:eastAsia="zh-CN"/>
              </w:rPr>
              <w:t>塔什库尔干塔吉克自治县</w:t>
            </w:r>
            <w:r>
              <w:rPr>
                <w:rFonts w:ascii="宋体" w:hAnsi="宋体" w:eastAsia="宋体"/>
                <w:sz w:val="16"/>
              </w:rPr>
              <w:t>整体工作大局，认真贯彻县委各项重大决策部署，积极主动开展服务，扎扎实实抓好工作，切实发挥参谋助手、督导检查、综合协调和保障服务作用，确保全年各项工作任务顺利完成。</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8E10CA">
            <w:pPr>
              <w:jc w:val="both"/>
            </w:pPr>
            <w:r>
              <w:rPr>
                <w:rFonts w:ascii="宋体" w:hAnsi="宋体" w:eastAsia="宋体"/>
                <w:sz w:val="16"/>
              </w:rPr>
              <w:t>2024年，县委办公室始终坚持以习近平新时代中国特色社会主义思想为指导，紧紧围绕</w:t>
            </w:r>
            <w:r>
              <w:rPr>
                <w:rFonts w:hint="eastAsia" w:ascii="宋体" w:hAnsi="宋体"/>
                <w:sz w:val="16"/>
                <w:lang w:eastAsia="zh-CN"/>
              </w:rPr>
              <w:t>塔什库尔干塔吉克自治县</w:t>
            </w:r>
            <w:r>
              <w:rPr>
                <w:rFonts w:ascii="宋体" w:hAnsi="宋体" w:eastAsia="宋体"/>
                <w:sz w:val="16"/>
              </w:rPr>
              <w:t>整体工作大局，认真贯彻县委各项重大决策部署，积极主动开展服务，扎扎实实抓好工作，切实发挥参谋助手、督导检查、综合协调和保障服务作用。2024年全年共开展主题党日活动12次、涉密人员“一人一档”建立人数421人、召开县委深改委会议3次、选派</w:t>
            </w:r>
            <w:r>
              <w:rPr>
                <w:rFonts w:hint="eastAsia" w:ascii="宋体" w:hAnsi="宋体"/>
                <w:sz w:val="16"/>
                <w:lang w:eastAsia="zh-CN"/>
              </w:rPr>
              <w:t>为民办实事</w:t>
            </w:r>
            <w:r>
              <w:rPr>
                <w:rFonts w:ascii="宋体" w:hAnsi="宋体" w:eastAsia="宋体"/>
                <w:sz w:val="16"/>
              </w:rPr>
              <w:t>工作队成员2人、召开组织生活会1次，确保全年各项工作任务顺利完成。</w:t>
            </w:r>
          </w:p>
        </w:tc>
      </w:tr>
      <w:tr w14:paraId="1BAD27D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14D1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9D28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261F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43960">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5FF31">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D468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654C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B2374">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DE6C2">
            <w:pPr>
              <w:jc w:val="center"/>
            </w:pPr>
            <w:r>
              <w:rPr>
                <w:rFonts w:ascii="宋体" w:hAnsi="宋体" w:eastAsia="宋体"/>
                <w:sz w:val="16"/>
              </w:rPr>
              <w:t>得分</w:t>
            </w:r>
          </w:p>
        </w:tc>
      </w:tr>
      <w:tr w14:paraId="2C6E6C8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57F4BB">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499D2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E2368">
            <w:pPr>
              <w:jc w:val="center"/>
            </w:pPr>
            <w:r>
              <w:rPr>
                <w:rFonts w:ascii="宋体" w:hAnsi="宋体" w:eastAsia="宋体"/>
                <w:sz w:val="16"/>
              </w:rPr>
              <w:t>开展党组织活动次数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A76A3">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D9E4F">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963A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02199">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769B5">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1A42B">
            <w:pPr>
              <w:jc w:val="center"/>
            </w:pPr>
            <w:r>
              <w:rPr>
                <w:rFonts w:ascii="宋体" w:hAnsi="宋体" w:eastAsia="宋体"/>
                <w:sz w:val="16"/>
              </w:rPr>
              <w:t>20</w:t>
            </w:r>
          </w:p>
        </w:tc>
      </w:tr>
      <w:tr w14:paraId="7463FC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6DC39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7C491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F1AEA">
            <w:pPr>
              <w:jc w:val="center"/>
            </w:pPr>
            <w:r>
              <w:rPr>
                <w:rFonts w:ascii="宋体" w:hAnsi="宋体" w:eastAsia="宋体"/>
                <w:sz w:val="16"/>
              </w:rPr>
              <w:t>涉密人员“一人一档”建立人数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1696B">
            <w:pPr>
              <w:jc w:val="center"/>
            </w:pPr>
            <w:r>
              <w:rPr>
                <w:rFonts w:ascii="宋体" w:hAnsi="宋体" w:eastAsia="宋体"/>
                <w:sz w:val="16"/>
              </w:rPr>
              <w:t>&gt;=421人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47ADE">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0F4E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27D81">
            <w:pPr>
              <w:jc w:val="center"/>
            </w:pPr>
            <w:r>
              <w:rPr>
                <w:rFonts w:ascii="宋体" w:hAnsi="宋体" w:eastAsia="宋体"/>
                <w:sz w:val="16"/>
              </w:rPr>
              <w:t>421人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D91A7">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7D671">
            <w:pPr>
              <w:jc w:val="center"/>
            </w:pPr>
            <w:r>
              <w:rPr>
                <w:rFonts w:ascii="宋体" w:hAnsi="宋体" w:eastAsia="宋体"/>
                <w:sz w:val="16"/>
              </w:rPr>
              <w:t>20</w:t>
            </w:r>
          </w:p>
        </w:tc>
      </w:tr>
      <w:tr w14:paraId="70116D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26AA2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19114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FD284">
            <w:pPr>
              <w:jc w:val="center"/>
            </w:pPr>
            <w:r>
              <w:rPr>
                <w:rFonts w:ascii="宋体" w:hAnsi="宋体" w:eastAsia="宋体"/>
                <w:sz w:val="16"/>
              </w:rPr>
              <w:t>召开县委深改委会议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B4ECE">
            <w:pPr>
              <w:jc w:val="center"/>
            </w:pPr>
            <w:r>
              <w:rPr>
                <w:rFonts w:ascii="宋体" w:hAnsi="宋体" w:eastAsia="宋体"/>
                <w:sz w:val="16"/>
              </w:rPr>
              <w:t>&gt;=3次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605A2">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BE2E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C26BD">
            <w:pPr>
              <w:jc w:val="center"/>
            </w:pPr>
            <w:r>
              <w:rPr>
                <w:rFonts w:ascii="宋体" w:hAnsi="宋体" w:eastAsia="宋体"/>
                <w:sz w:val="16"/>
              </w:rPr>
              <w: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EAB7F">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09D27">
            <w:pPr>
              <w:jc w:val="center"/>
            </w:pPr>
            <w:r>
              <w:rPr>
                <w:rFonts w:ascii="宋体" w:hAnsi="宋体" w:eastAsia="宋体"/>
                <w:sz w:val="16"/>
              </w:rPr>
              <w:t>20</w:t>
            </w:r>
          </w:p>
        </w:tc>
      </w:tr>
      <w:tr w14:paraId="488C28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345A7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87688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8353E">
            <w:pPr>
              <w:jc w:val="center"/>
            </w:pPr>
            <w:r>
              <w:rPr>
                <w:rFonts w:ascii="宋体" w:hAnsi="宋体" w:eastAsia="宋体"/>
                <w:sz w:val="16"/>
              </w:rPr>
              <w:t>选派</w:t>
            </w:r>
            <w:r>
              <w:rPr>
                <w:rFonts w:hint="eastAsia" w:ascii="宋体" w:hAnsi="宋体"/>
                <w:sz w:val="16"/>
                <w:lang w:eastAsia="zh-CN"/>
              </w:rPr>
              <w:t>为民办实事</w:t>
            </w:r>
            <w:r>
              <w:rPr>
                <w:rFonts w:ascii="宋体" w:hAnsi="宋体" w:eastAsia="宋体"/>
                <w:sz w:val="16"/>
              </w:rPr>
              <w:t>工作队成员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C2180">
            <w:pPr>
              <w:jc w:val="center"/>
            </w:pPr>
            <w:r>
              <w:rPr>
                <w:rFonts w:ascii="宋体" w:hAnsi="宋体" w:eastAsia="宋体"/>
                <w:sz w:val="16"/>
              </w:rPr>
              <w:t>&gt;=2人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8BB7B">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53629">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A6C0E">
            <w:pPr>
              <w:jc w:val="center"/>
            </w:pPr>
            <w:r>
              <w:rPr>
                <w:rFonts w:ascii="宋体" w:hAnsi="宋体" w:eastAsia="宋体"/>
                <w:sz w:val="16"/>
              </w:rPr>
              <w:t>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963C4">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64172">
            <w:pPr>
              <w:jc w:val="center"/>
            </w:pPr>
            <w:r>
              <w:rPr>
                <w:rFonts w:ascii="宋体" w:hAnsi="宋体" w:eastAsia="宋体"/>
                <w:sz w:val="16"/>
              </w:rPr>
              <w:t>15</w:t>
            </w:r>
          </w:p>
        </w:tc>
      </w:tr>
      <w:tr w14:paraId="731E60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122C5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7CB53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87443">
            <w:pPr>
              <w:jc w:val="center"/>
            </w:pPr>
            <w:r>
              <w:rPr>
                <w:rFonts w:ascii="宋体" w:hAnsi="宋体" w:eastAsia="宋体"/>
                <w:sz w:val="16"/>
              </w:rPr>
              <w:t>召开组织生活会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147D7">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B4490">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42DFA">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0178C">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850B9">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D8EC6">
            <w:pPr>
              <w:jc w:val="center"/>
            </w:pPr>
            <w:r>
              <w:rPr>
                <w:rFonts w:ascii="宋体" w:hAnsi="宋体" w:eastAsia="宋体"/>
                <w:sz w:val="16"/>
              </w:rPr>
              <w:t>15</w:t>
            </w:r>
          </w:p>
        </w:tc>
      </w:tr>
    </w:tbl>
    <w:p w14:paraId="543BA5B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5AE5569D">
        <w:tblPrEx>
          <w:tblCellMar>
            <w:top w:w="0" w:type="dxa"/>
            <w:left w:w="108" w:type="dxa"/>
            <w:bottom w:w="0" w:type="dxa"/>
            <w:right w:w="108" w:type="dxa"/>
          </w:tblCellMar>
        </w:tblPrEx>
        <w:tc>
          <w:tcPr>
            <w:tcW w:w="8848" w:type="dxa"/>
            <w:gridSpan w:val="14"/>
            <w:vAlign w:val="center"/>
          </w:tcPr>
          <w:p w14:paraId="30DB6114">
            <w:pPr>
              <w:jc w:val="center"/>
            </w:pPr>
            <w:r>
              <w:rPr>
                <w:rFonts w:ascii="宋体" w:hAnsi="宋体" w:eastAsia="宋体"/>
                <w:sz w:val="24"/>
              </w:rPr>
              <w:t>项目支出绩效自评表</w:t>
            </w:r>
          </w:p>
        </w:tc>
      </w:tr>
      <w:tr w14:paraId="65806CED">
        <w:tblPrEx>
          <w:tblCellMar>
            <w:top w:w="0" w:type="dxa"/>
            <w:left w:w="108" w:type="dxa"/>
            <w:bottom w:w="0" w:type="dxa"/>
            <w:right w:w="108" w:type="dxa"/>
          </w:tblCellMar>
        </w:tblPrEx>
        <w:tc>
          <w:tcPr>
            <w:tcW w:w="8848" w:type="dxa"/>
            <w:gridSpan w:val="14"/>
            <w:vAlign w:val="center"/>
          </w:tcPr>
          <w:p w14:paraId="79DA4212">
            <w:pPr>
              <w:jc w:val="center"/>
            </w:pPr>
            <w:r>
              <w:rPr>
                <w:rFonts w:ascii="宋体" w:hAnsi="宋体" w:eastAsia="宋体"/>
                <w:sz w:val="24"/>
              </w:rPr>
              <w:t>(2024年度)</w:t>
            </w:r>
          </w:p>
        </w:tc>
      </w:tr>
      <w:tr w14:paraId="3A505C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C2AD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A04B8C2">
            <w:pPr>
              <w:jc w:val="center"/>
            </w:pPr>
            <w:r>
              <w:rPr>
                <w:rFonts w:ascii="宋体" w:hAnsi="宋体" w:eastAsia="宋体"/>
                <w:sz w:val="16"/>
              </w:rPr>
              <w:t>2024年三干会会议经费项目</w:t>
            </w:r>
          </w:p>
        </w:tc>
      </w:tr>
      <w:tr w14:paraId="1F19C9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4416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DA5D2A">
            <w:pPr>
              <w:jc w:val="center"/>
            </w:pPr>
            <w:r>
              <w:rPr>
                <w:rFonts w:ascii="宋体" w:hAnsi="宋体" w:eastAsia="宋体"/>
                <w:sz w:val="16"/>
              </w:rPr>
              <w:t>中共塔什库尔干塔吉克自治县委员会办公室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AD9F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C9EF34">
            <w:pPr>
              <w:jc w:val="center"/>
            </w:pPr>
            <w:r>
              <w:rPr>
                <w:rFonts w:ascii="宋体" w:hAnsi="宋体" w:eastAsia="宋体"/>
                <w:sz w:val="16"/>
              </w:rPr>
              <w:t>中共塔什库尔干塔吉克自治县委员会办公室</w:t>
            </w:r>
          </w:p>
        </w:tc>
      </w:tr>
      <w:tr w14:paraId="7F2A0E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FC7D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0BF9B">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8790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F114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5100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5684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3EBC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92122">
            <w:pPr>
              <w:jc w:val="center"/>
            </w:pPr>
            <w:r>
              <w:rPr>
                <w:rFonts w:ascii="宋体" w:hAnsi="宋体" w:eastAsia="宋体"/>
                <w:sz w:val="16"/>
              </w:rPr>
              <w:t>得分</w:t>
            </w:r>
          </w:p>
        </w:tc>
      </w:tr>
      <w:tr w14:paraId="63E7A3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45128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3409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70338">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10637">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F565B">
            <w:pPr>
              <w:jc w:val="center"/>
            </w:pPr>
            <w:r>
              <w:rPr>
                <w:rFonts w:ascii="宋体" w:hAnsi="宋体" w:eastAsia="宋体"/>
                <w:sz w:val="16"/>
              </w:rPr>
              <w:t>19.98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B33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CA6DA">
            <w:pPr>
              <w:jc w:val="center"/>
            </w:pPr>
            <w:r>
              <w:rPr>
                <w:rFonts w:ascii="宋体" w:hAnsi="宋体" w:eastAsia="宋体"/>
                <w:sz w:val="16"/>
              </w:rPr>
              <w:t>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71CF9">
            <w:pPr>
              <w:jc w:val="center"/>
            </w:pPr>
            <w:r>
              <w:rPr>
                <w:rFonts w:ascii="宋体" w:hAnsi="宋体" w:eastAsia="宋体"/>
                <w:sz w:val="16"/>
              </w:rPr>
              <w:t>10.00分</w:t>
            </w:r>
          </w:p>
        </w:tc>
      </w:tr>
      <w:tr w14:paraId="30AB56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0FB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4C24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B9DC7">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1533C">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05C1E">
            <w:pPr>
              <w:jc w:val="center"/>
            </w:pPr>
            <w:r>
              <w:rPr>
                <w:rFonts w:ascii="宋体" w:hAnsi="宋体" w:eastAsia="宋体"/>
                <w:sz w:val="16"/>
              </w:rPr>
              <w:t>19.98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32A2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524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9E877">
            <w:pPr>
              <w:jc w:val="center"/>
            </w:pPr>
            <w:r>
              <w:rPr>
                <w:rFonts w:ascii="宋体" w:hAnsi="宋体" w:eastAsia="宋体"/>
                <w:sz w:val="16"/>
              </w:rPr>
              <w:t>—</w:t>
            </w:r>
          </w:p>
        </w:tc>
      </w:tr>
      <w:tr w14:paraId="2D9F72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F82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C235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443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F74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72B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450E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1BD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575D0">
            <w:pPr>
              <w:jc w:val="center"/>
            </w:pPr>
            <w:r>
              <w:rPr>
                <w:rFonts w:ascii="宋体" w:hAnsi="宋体" w:eastAsia="宋体"/>
                <w:sz w:val="16"/>
              </w:rPr>
              <w:t>—</w:t>
            </w:r>
          </w:p>
        </w:tc>
      </w:tr>
      <w:tr w14:paraId="3A297B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66EB7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A364E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D95967">
            <w:pPr>
              <w:jc w:val="center"/>
            </w:pPr>
            <w:r>
              <w:rPr>
                <w:rFonts w:ascii="宋体" w:hAnsi="宋体" w:eastAsia="宋体"/>
                <w:sz w:val="16"/>
              </w:rPr>
              <w:t>实际完成情况</w:t>
            </w:r>
          </w:p>
        </w:tc>
      </w:tr>
      <w:tr w14:paraId="206CB8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2D5B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FFC407">
            <w:pPr>
              <w:jc w:val="both"/>
            </w:pPr>
            <w:r>
              <w:rPr>
                <w:rFonts w:ascii="宋体" w:hAnsi="宋体" w:eastAsia="宋体"/>
                <w:sz w:val="16"/>
              </w:rPr>
              <w:t>该项目用于为贯彻落实中央、自治区、地区经济工作会议精神，按照各级党代会的部署要求，预计投入资金20万元，保障县委扩大会议会期达到2天，会议次数达到2次，参会人数达到229人，并使得资金及时拨付率达</w:t>
            </w:r>
            <w:r>
              <w:rPr>
                <w:rFonts w:hint="eastAsia" w:ascii="宋体" w:hAnsi="宋体"/>
                <w:sz w:val="16"/>
                <w:lang w:eastAsia="zh-CN"/>
              </w:rPr>
              <w:t>100%</w:t>
            </w:r>
            <w:r>
              <w:rPr>
                <w:rFonts w:ascii="宋体" w:hAnsi="宋体" w:eastAsia="宋体"/>
                <w:sz w:val="16"/>
              </w:rPr>
              <w:t>，使得住宿补助成本低于180元每人每天，交通务工补助成本低于80元每人每天，餐费补助成本低于120元每人每天，期望通过该项目的实施切实有效总结过去一年的工作，全面安排新的一年经济社会发展的任务措施，动员全县上下，进一步统一思想，坚定信心，全力以赴加快推进各项经济建设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A45000">
            <w:pPr>
              <w:jc w:val="both"/>
            </w:pPr>
            <w:r>
              <w:rPr>
                <w:rFonts w:hint="eastAsia" w:ascii="宋体" w:hAnsi="宋体"/>
                <w:sz w:val="16"/>
                <w:lang w:eastAsia="zh-CN"/>
              </w:rPr>
              <w:t>截至2024</w:t>
            </w:r>
            <w:r>
              <w:rPr>
                <w:rFonts w:ascii="宋体" w:hAnsi="宋体" w:eastAsia="宋体"/>
                <w:sz w:val="16"/>
              </w:rPr>
              <w:t>年12月31日，该项目已支付资金19.98万元，其中13.56万元用于采购会议物资1批；0.9万元用于会议住宿补助；5.52万元用于会议餐费补助，项目的实施进一步贯彻落实了中央、自治区、地区经济工作会议精神，落实了各级党代会的部署要求，确保了为期2天的县委扩大会议正常召开，会议次数达到了2次，参会人数达到229人，并使得资金及时拨付率达到了100%。通过该项目的实施切实有效总结了过去一年的工作，全面安排了新的一年经济社会发展的任务措施，动员全县上下，进一步统一思想，坚定信心，全力以赴加快推进各项经济建设工作，使得参加三干会议人员满意度达到了100%。</w:t>
            </w:r>
          </w:p>
        </w:tc>
      </w:tr>
      <w:tr w14:paraId="19022D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06DAF0">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2B56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307D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D579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3452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0082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9764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C610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39EA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9EDF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4413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8B39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EFCB7">
            <w:pPr>
              <w:jc w:val="center"/>
            </w:pPr>
            <w:r>
              <w:rPr>
                <w:rFonts w:ascii="宋体" w:hAnsi="宋体" w:eastAsia="宋体"/>
                <w:sz w:val="16"/>
              </w:rPr>
              <w:t>偏差原因分析及改进措施</w:t>
            </w:r>
          </w:p>
        </w:tc>
      </w:tr>
      <w:tr w14:paraId="5E6A43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81AC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FD57D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D43B5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7FFD3">
            <w:pPr>
              <w:jc w:val="center"/>
            </w:pPr>
            <w:r>
              <w:rPr>
                <w:rFonts w:ascii="宋体" w:hAnsi="宋体" w:eastAsia="宋体"/>
                <w:sz w:val="16"/>
              </w:rPr>
              <w:t>三干会会议的会期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921EB">
            <w:pPr>
              <w:jc w:val="center"/>
            </w:pPr>
            <w:r>
              <w:rPr>
                <w:rFonts w:ascii="宋体" w:hAnsi="宋体" w:eastAsia="宋体"/>
                <w:sz w:val="16"/>
              </w:rPr>
              <w:t>&gt;=2天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40F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BB855">
            <w:pPr>
              <w:jc w:val="center"/>
            </w:pPr>
            <w:r>
              <w:rPr>
                <w:rFonts w:ascii="宋体" w:hAnsi="宋体" w:eastAsia="宋体"/>
                <w:sz w:val="16"/>
              </w:rPr>
              <w: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C2C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2CD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BD2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3CBD8">
            <w:pPr>
              <w:jc w:val="center"/>
            </w:pPr>
            <w:r>
              <w:rPr>
                <w:rFonts w:ascii="宋体" w:hAnsi="宋体" w:eastAsia="宋体"/>
                <w:sz w:val="16"/>
              </w:rPr>
              <w: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3E64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1384A">
            <w:pPr>
              <w:jc w:val="center"/>
            </w:pPr>
          </w:p>
        </w:tc>
      </w:tr>
      <w:tr w14:paraId="5D9837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3E6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BBC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9F1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EEAD5">
            <w:pPr>
              <w:jc w:val="center"/>
            </w:pPr>
            <w:r>
              <w:rPr>
                <w:rFonts w:ascii="宋体" w:hAnsi="宋体" w:eastAsia="宋体"/>
                <w:sz w:val="16"/>
              </w:rPr>
              <w:t>三干会全体会议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588D5">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D5085">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C2DF6">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BA8D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66C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B88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EEF1B">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93C7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6B854">
            <w:pPr>
              <w:jc w:val="center"/>
            </w:pPr>
          </w:p>
        </w:tc>
      </w:tr>
      <w:tr w14:paraId="30E864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8A3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618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00D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0CCE0">
            <w:pPr>
              <w:jc w:val="center"/>
            </w:pPr>
            <w:r>
              <w:rPr>
                <w:rFonts w:ascii="宋体" w:hAnsi="宋体" w:eastAsia="宋体"/>
                <w:sz w:val="16"/>
              </w:rPr>
              <w:t>参加三干会会议人数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5134F">
            <w:pPr>
              <w:jc w:val="center"/>
            </w:pPr>
            <w:r>
              <w:rPr>
                <w:rFonts w:ascii="宋体" w:hAnsi="宋体" w:eastAsia="宋体"/>
                <w:sz w:val="16"/>
              </w:rPr>
              <w:t>&gt;=229人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85183">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74AAD">
            <w:pPr>
              <w:jc w:val="center"/>
            </w:pPr>
            <w:r>
              <w:rPr>
                <w:rFonts w:ascii="宋体" w:hAnsi="宋体" w:eastAsia="宋体"/>
                <w:sz w:val="16"/>
              </w:rPr>
              <w:t>230人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879B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811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570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7397B">
            <w:pPr>
              <w:jc w:val="center"/>
            </w:pPr>
            <w:r>
              <w:rPr>
                <w:rFonts w:ascii="宋体" w:hAnsi="宋体" w:eastAsia="宋体"/>
                <w:sz w:val="16"/>
              </w:rPr>
              <w:t>=229人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1AFC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88D97">
            <w:pPr>
              <w:jc w:val="center"/>
            </w:pPr>
          </w:p>
        </w:tc>
      </w:tr>
      <w:tr w14:paraId="32DBD6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F29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DE7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1A0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4BCB9">
            <w:pPr>
              <w:jc w:val="center"/>
            </w:pPr>
            <w:r>
              <w:rPr>
                <w:rFonts w:ascii="宋体" w:hAnsi="宋体" w:eastAsia="宋体"/>
                <w:sz w:val="16"/>
              </w:rPr>
              <w:t>会议物资采购批次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8631F">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4A6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9625A">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53E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0F9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D20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58F97">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B11A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0E9C8">
            <w:pPr>
              <w:jc w:val="center"/>
            </w:pPr>
          </w:p>
        </w:tc>
      </w:tr>
      <w:tr w14:paraId="52E46A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191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1AC7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D38C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6B586">
            <w:pPr>
              <w:jc w:val="center"/>
            </w:pPr>
            <w:r>
              <w:rPr>
                <w:rFonts w:ascii="宋体" w:hAnsi="宋体" w:eastAsia="宋体"/>
                <w:sz w:val="16"/>
              </w:rPr>
              <w:t>会议既定议程完成率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92C0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872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1F3A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B42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6FA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993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D20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9BB93">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61F6F">
            <w:pPr>
              <w:jc w:val="center"/>
            </w:pPr>
            <w:r>
              <w:rPr>
                <w:rFonts w:ascii="宋体" w:hAnsi="宋体" w:eastAsia="宋体"/>
                <w:sz w:val="16"/>
              </w:rPr>
              <w:t>偏差原因：该项目完成情况较好，会议既定议程完成率较高，因此指标出现正偏差；改进措施：基于当前良好表现，重新审视绩效目标，在以后绩效目标设置时设置更具挑战性的目标，以推动业务持续发展。</w:t>
            </w:r>
          </w:p>
        </w:tc>
      </w:tr>
      <w:tr w14:paraId="741A99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517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D0CC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AF0C4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995A4">
            <w:pPr>
              <w:jc w:val="center"/>
            </w:pPr>
            <w:r>
              <w:rPr>
                <w:rFonts w:ascii="宋体" w:hAnsi="宋体" w:eastAsia="宋体"/>
                <w:sz w:val="16"/>
              </w:rPr>
              <w:t>项目资金及时发放率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9E9F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A32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4305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39ED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108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573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A16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1AD5E">
            <w:pPr>
              <w:jc w:val="center"/>
            </w:pPr>
            <w:r>
              <w:rPr>
                <w:rFonts w:ascii="宋体" w:hAnsi="宋体" w:eastAsia="宋体"/>
                <w:sz w:val="16"/>
              </w:rPr>
              <w:t>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E07B4">
            <w:pPr>
              <w:jc w:val="center"/>
            </w:pPr>
            <w:r>
              <w:rPr>
                <w:rFonts w:ascii="宋体" w:hAnsi="宋体" w:eastAsia="宋体"/>
                <w:sz w:val="16"/>
              </w:rPr>
              <w:t>偏差原因：该项目完成情况较好，资金拨付比较及时，因此指标出现正偏差。改进措施：基于当前良好表现，重新审视绩效目标，在以后绩效目标设置时设置更具挑战性的目标，以推动业务持续发展。</w:t>
            </w:r>
          </w:p>
        </w:tc>
      </w:tr>
      <w:tr w14:paraId="135C00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614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C72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135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2AFCC">
            <w:pPr>
              <w:jc w:val="center"/>
            </w:pPr>
            <w:r>
              <w:rPr>
                <w:rFonts w:ascii="宋体" w:hAnsi="宋体" w:eastAsia="宋体"/>
                <w:sz w:val="16"/>
              </w:rPr>
              <w:t>会议完成时间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55E72">
            <w:pPr>
              <w:jc w:val="center"/>
            </w:pPr>
            <w:r>
              <w:rPr>
                <w:rFonts w:ascii="宋体" w:hAnsi="宋体" w:eastAsia="宋体"/>
                <w:sz w:val="16"/>
              </w:rPr>
              <w:t>=2024年2月29日前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275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E56D5">
            <w:pPr>
              <w:jc w:val="center"/>
            </w:pPr>
            <w:r>
              <w:rPr>
                <w:rFonts w:ascii="宋体" w:hAnsi="宋体" w:eastAsia="宋体"/>
                <w:sz w:val="16"/>
              </w:rPr>
              <w:t>2023年2月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024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E12D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094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B4C57">
            <w:pPr>
              <w:jc w:val="center"/>
            </w:pPr>
            <w:r>
              <w:rPr>
                <w:rFonts w:ascii="宋体" w:hAnsi="宋体" w:eastAsia="宋体"/>
                <w:sz w:val="16"/>
              </w:rPr>
              <w:t>=2024年2月20日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1544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7037C">
            <w:pPr>
              <w:jc w:val="center"/>
            </w:pPr>
          </w:p>
        </w:tc>
      </w:tr>
      <w:tr w14:paraId="325388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90E0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A0FF0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138D8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DC22D">
            <w:pPr>
              <w:jc w:val="center"/>
            </w:pPr>
            <w:r>
              <w:rPr>
                <w:rFonts w:ascii="宋体" w:hAnsi="宋体" w:eastAsia="宋体"/>
                <w:sz w:val="16"/>
              </w:rPr>
              <w:t>三干会会议人员住宿费补助金额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78DE6">
            <w:pPr>
              <w:jc w:val="center"/>
            </w:pPr>
            <w:r>
              <w:rPr>
                <w:rFonts w:ascii="宋体" w:hAnsi="宋体" w:eastAsia="宋体"/>
                <w:sz w:val="16"/>
              </w:rPr>
              <w:t>&lt;=0.9万元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16AC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827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E85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5AE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970D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79238">
            <w:pPr>
              <w:jc w:val="center"/>
            </w:pPr>
            <w:r>
              <w:rPr>
                <w:rFonts w:ascii="宋体" w:hAnsi="宋体" w:eastAsia="宋体"/>
                <w:sz w:val="16"/>
              </w:rPr>
              <w:t>=0.9万元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191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8A640">
            <w:pPr>
              <w:jc w:val="center"/>
            </w:pPr>
          </w:p>
        </w:tc>
      </w:tr>
      <w:tr w14:paraId="76600F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F0C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FD3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0D2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C629F">
            <w:pPr>
              <w:jc w:val="center"/>
            </w:pPr>
            <w:r>
              <w:rPr>
                <w:rFonts w:ascii="宋体" w:hAnsi="宋体" w:eastAsia="宋体"/>
                <w:sz w:val="16"/>
              </w:rPr>
              <w:t>三干会会议用品采购金额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EC04E">
            <w:pPr>
              <w:jc w:val="center"/>
            </w:pPr>
            <w:r>
              <w:rPr>
                <w:rFonts w:ascii="宋体" w:hAnsi="宋体" w:eastAsia="宋体"/>
                <w:sz w:val="16"/>
              </w:rPr>
              <w:t>&lt;=13.58万元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85A4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C28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F83D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580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A95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0D5DB">
            <w:pPr>
              <w:jc w:val="center"/>
            </w:pPr>
            <w:r>
              <w:rPr>
                <w:rFonts w:ascii="宋体" w:hAnsi="宋体" w:eastAsia="宋体"/>
                <w:sz w:val="16"/>
              </w:rPr>
              <w:t>=13.56万元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9F09D">
            <w:pPr>
              <w:jc w:val="center"/>
            </w:pPr>
            <w:r>
              <w:rPr>
                <w:rFonts w:ascii="宋体" w:hAnsi="宋体" w:eastAsia="宋体"/>
                <w:sz w:val="16"/>
              </w:rPr>
              <w:t>4.99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ED0B7">
            <w:pPr>
              <w:jc w:val="center"/>
            </w:pPr>
            <w:r>
              <w:rPr>
                <w:rFonts w:ascii="宋体" w:hAnsi="宋体" w:eastAsia="宋体"/>
                <w:sz w:val="16"/>
              </w:rPr>
              <w:t>偏差原因：根据实际工作开展情况，严格按照资金拨付计划拨付资金，因此出现偏差值；改进措施：根据项目需求，后续合理设置绩效指标，合理规划和调配资金，保障工作按时按量进行，避免资金闲置，提高资金使用效率</w:t>
            </w:r>
          </w:p>
        </w:tc>
      </w:tr>
      <w:tr w14:paraId="3B6704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033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11C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8DD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92B19">
            <w:pPr>
              <w:jc w:val="center"/>
            </w:pPr>
            <w:r>
              <w:rPr>
                <w:rFonts w:ascii="宋体" w:hAnsi="宋体" w:eastAsia="宋体"/>
                <w:sz w:val="16"/>
              </w:rPr>
              <w:t>三干会会议人员餐费补助金额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6B67A">
            <w:pPr>
              <w:jc w:val="center"/>
            </w:pPr>
            <w:r>
              <w:rPr>
                <w:rFonts w:ascii="宋体" w:hAnsi="宋体" w:eastAsia="宋体"/>
                <w:sz w:val="16"/>
              </w:rPr>
              <w:t>&lt;=5.52万元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9F85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DC9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B7C0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0E2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D40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D200E">
            <w:pPr>
              <w:jc w:val="center"/>
            </w:pPr>
            <w:r>
              <w:rPr>
                <w:rFonts w:ascii="宋体" w:hAnsi="宋体" w:eastAsia="宋体"/>
                <w:sz w:val="16"/>
              </w:rPr>
              <w:t>=5.52万元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D25F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22AA6">
            <w:pPr>
              <w:jc w:val="center"/>
            </w:pPr>
          </w:p>
        </w:tc>
      </w:tr>
      <w:tr w14:paraId="2199A2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F8C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1521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CCAC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1DD53">
            <w:pPr>
              <w:jc w:val="center"/>
            </w:pPr>
            <w:r>
              <w:rPr>
                <w:rFonts w:ascii="宋体" w:hAnsi="宋体" w:eastAsia="宋体"/>
                <w:sz w:val="16"/>
              </w:rPr>
              <w:t>通过会议有效保障开展各项工作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5438C">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562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9B414">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B609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DC54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FA5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5CEDF">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3BB0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E0666">
            <w:pPr>
              <w:jc w:val="center"/>
            </w:pPr>
          </w:p>
        </w:tc>
      </w:tr>
      <w:tr w14:paraId="0C511E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559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C384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E9AD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EA138">
            <w:pPr>
              <w:jc w:val="center"/>
            </w:pPr>
            <w:r>
              <w:rPr>
                <w:rFonts w:ascii="宋体" w:hAnsi="宋体" w:eastAsia="宋体"/>
                <w:sz w:val="16"/>
              </w:rPr>
              <w:t>三干会会议受益人员满意度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6FC8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6B2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0A36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94E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45D8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B5A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254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91F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C55C3">
            <w:pPr>
              <w:jc w:val="center"/>
            </w:pPr>
            <w:r>
              <w:rPr>
                <w:rFonts w:ascii="宋体" w:hAnsi="宋体" w:eastAsia="宋体"/>
                <w:sz w:val="16"/>
              </w:rPr>
              <w:t>偏差原因：该项目完成情况较好，实际三干会会议受益人员满意度较高，因此指标出现正偏差；改进措施：基于当前良好表现，重新审视绩效目标，在以后绩效目标设置时设置更具挑战性的目标，以推动业务持续发展。</w:t>
            </w:r>
          </w:p>
        </w:tc>
      </w:tr>
      <w:tr w14:paraId="57AF70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3743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05E9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8DDA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963084">
            <w:pPr>
              <w:jc w:val="center"/>
            </w:pPr>
            <w:r>
              <w:rPr>
                <w:rFonts w:ascii="宋体" w:hAnsi="宋体" w:eastAsia="宋体"/>
                <w:sz w:val="16"/>
              </w:rPr>
              <w:t>99.2分</w:t>
            </w:r>
          </w:p>
        </w:tc>
      </w:tr>
    </w:tbl>
    <w:p w14:paraId="4C9EFDE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788"/>
      </w:tblGrid>
      <w:tr w14:paraId="26DA637B">
        <w:tblPrEx>
          <w:tblCellMar>
            <w:top w:w="0" w:type="dxa"/>
            <w:left w:w="108" w:type="dxa"/>
            <w:bottom w:w="0" w:type="dxa"/>
            <w:right w:w="108" w:type="dxa"/>
          </w:tblCellMar>
        </w:tblPrEx>
        <w:tc>
          <w:tcPr>
            <w:tcW w:w="9004" w:type="dxa"/>
            <w:gridSpan w:val="14"/>
            <w:vAlign w:val="center"/>
          </w:tcPr>
          <w:p w14:paraId="0758C860">
            <w:pPr>
              <w:jc w:val="center"/>
            </w:pPr>
            <w:r>
              <w:rPr>
                <w:rFonts w:ascii="宋体" w:hAnsi="宋体" w:eastAsia="宋体"/>
                <w:sz w:val="24"/>
              </w:rPr>
              <w:t>项目支出绩效自评表</w:t>
            </w:r>
          </w:p>
        </w:tc>
      </w:tr>
      <w:tr w14:paraId="06F84AB8">
        <w:tblPrEx>
          <w:tblCellMar>
            <w:top w:w="0" w:type="dxa"/>
            <w:left w:w="108" w:type="dxa"/>
            <w:bottom w:w="0" w:type="dxa"/>
            <w:right w:w="108" w:type="dxa"/>
          </w:tblCellMar>
        </w:tblPrEx>
        <w:tc>
          <w:tcPr>
            <w:tcW w:w="9004" w:type="dxa"/>
            <w:gridSpan w:val="14"/>
            <w:vAlign w:val="center"/>
          </w:tcPr>
          <w:p w14:paraId="34D0FE3C">
            <w:pPr>
              <w:jc w:val="center"/>
            </w:pPr>
            <w:r>
              <w:rPr>
                <w:rFonts w:ascii="宋体" w:hAnsi="宋体" w:eastAsia="宋体"/>
                <w:sz w:val="24"/>
              </w:rPr>
              <w:t>(2024年度)</w:t>
            </w:r>
          </w:p>
        </w:tc>
      </w:tr>
      <w:tr w14:paraId="2C5796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87B72">
            <w:pPr>
              <w:jc w:val="center"/>
            </w:pPr>
            <w:r>
              <w:rPr>
                <w:rFonts w:ascii="宋体" w:hAnsi="宋体" w:eastAsia="宋体"/>
                <w:sz w:val="16"/>
              </w:rPr>
              <w:t>项目名称</w:t>
            </w:r>
          </w:p>
        </w:tc>
        <w:tc>
          <w:tcPr>
            <w:tcW w:w="8372"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86EC54B">
            <w:pPr>
              <w:jc w:val="center"/>
            </w:pPr>
            <w:r>
              <w:rPr>
                <w:rFonts w:ascii="宋体" w:hAnsi="宋体" w:eastAsia="宋体"/>
                <w:sz w:val="16"/>
              </w:rPr>
              <w:t>2024年为民</w:t>
            </w:r>
            <w:r>
              <w:rPr>
                <w:rFonts w:hint="eastAsia" w:ascii="宋体" w:hAnsi="宋体"/>
                <w:sz w:val="16"/>
                <w:lang w:eastAsia="zh-CN"/>
              </w:rPr>
              <w:t>办实事</w:t>
            </w:r>
            <w:r>
              <w:rPr>
                <w:rFonts w:ascii="宋体" w:hAnsi="宋体" w:eastAsia="宋体"/>
                <w:sz w:val="16"/>
              </w:rPr>
              <w:t>工作经费</w:t>
            </w:r>
          </w:p>
        </w:tc>
      </w:tr>
      <w:tr w14:paraId="0E9C9E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9F36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2F2B51">
            <w:pPr>
              <w:jc w:val="center"/>
            </w:pPr>
            <w:r>
              <w:rPr>
                <w:rFonts w:ascii="宋体" w:hAnsi="宋体" w:eastAsia="宋体"/>
                <w:sz w:val="16"/>
              </w:rPr>
              <w:t>中共塔什库尔干塔吉克自治县委员会办公室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7B4A7">
            <w:pPr>
              <w:jc w:val="center"/>
            </w:pPr>
            <w:r>
              <w:rPr>
                <w:rFonts w:ascii="宋体" w:hAnsi="宋体" w:eastAsia="宋体"/>
                <w:sz w:val="16"/>
              </w:rPr>
              <w:t>实施单位</w:t>
            </w:r>
          </w:p>
        </w:tc>
        <w:tc>
          <w:tcPr>
            <w:tcW w:w="331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A7267B">
            <w:pPr>
              <w:jc w:val="center"/>
            </w:pPr>
            <w:r>
              <w:rPr>
                <w:rFonts w:ascii="宋体" w:hAnsi="宋体" w:eastAsia="宋体"/>
                <w:sz w:val="16"/>
              </w:rPr>
              <w:t>中共塔什库尔干塔吉克自治县委员会办公室</w:t>
            </w:r>
          </w:p>
        </w:tc>
      </w:tr>
      <w:tr w14:paraId="498C3C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F9A61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5005C">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3583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30C8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4217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F3DF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1EED9">
            <w:pPr>
              <w:jc w:val="center"/>
            </w:pPr>
            <w:r>
              <w:rPr>
                <w:rFonts w:ascii="宋体" w:hAnsi="宋体" w:eastAsia="宋体"/>
                <w:sz w:val="16"/>
              </w:rPr>
              <w:t>执行率</w:t>
            </w:r>
          </w:p>
        </w:tc>
        <w:tc>
          <w:tcPr>
            <w:tcW w:w="788" w:type="dxa"/>
            <w:tcBorders>
              <w:top w:val="single" w:color="auto" w:sz="10" w:space="0"/>
              <w:left w:val="single" w:color="auto" w:sz="10" w:space="0"/>
              <w:bottom w:val="single" w:color="auto" w:sz="10" w:space="0"/>
              <w:right w:val="single" w:color="auto" w:sz="10" w:space="0"/>
              <w:insideV w:val="single" w:sz="10" w:space="0"/>
            </w:tcBorders>
            <w:vAlign w:val="center"/>
          </w:tcPr>
          <w:p w14:paraId="79F369C8">
            <w:pPr>
              <w:jc w:val="center"/>
            </w:pPr>
            <w:r>
              <w:rPr>
                <w:rFonts w:ascii="宋体" w:hAnsi="宋体" w:eastAsia="宋体"/>
                <w:sz w:val="16"/>
              </w:rPr>
              <w:t>得分</w:t>
            </w:r>
          </w:p>
        </w:tc>
      </w:tr>
      <w:tr w14:paraId="71D7CD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BF492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70EF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E35C7">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1B91B">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57403">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FD7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71F94">
            <w:pPr>
              <w:jc w:val="center"/>
            </w:pPr>
            <w:r>
              <w:rPr>
                <w:rFonts w:ascii="宋体" w:hAnsi="宋体" w:eastAsia="宋体"/>
                <w:sz w:val="16"/>
              </w:rPr>
              <w:t>100.0%</w:t>
            </w:r>
          </w:p>
        </w:tc>
        <w:tc>
          <w:tcPr>
            <w:tcW w:w="788" w:type="dxa"/>
            <w:tcBorders>
              <w:top w:val="single" w:color="auto" w:sz="10" w:space="0"/>
              <w:left w:val="single" w:color="auto" w:sz="10" w:space="0"/>
              <w:bottom w:val="single" w:color="auto" w:sz="10" w:space="0"/>
              <w:right w:val="single" w:color="auto" w:sz="10" w:space="0"/>
              <w:insideV w:val="single" w:sz="10" w:space="0"/>
            </w:tcBorders>
            <w:vAlign w:val="center"/>
          </w:tcPr>
          <w:p w14:paraId="401F3611">
            <w:pPr>
              <w:jc w:val="center"/>
            </w:pPr>
            <w:r>
              <w:rPr>
                <w:rFonts w:ascii="宋体" w:hAnsi="宋体" w:eastAsia="宋体"/>
                <w:sz w:val="16"/>
              </w:rPr>
              <w:t>10.00分</w:t>
            </w:r>
          </w:p>
        </w:tc>
      </w:tr>
      <w:tr w14:paraId="0F7ED0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FA4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B20F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2D649">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8AB8F">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81275">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4A05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E81AC">
            <w:pPr>
              <w:jc w:val="center"/>
            </w:pPr>
            <w:r>
              <w:rPr>
                <w:rFonts w:ascii="宋体" w:hAnsi="宋体" w:eastAsia="宋体"/>
                <w:sz w:val="16"/>
              </w:rPr>
              <w:t>—</w:t>
            </w:r>
          </w:p>
        </w:tc>
        <w:tc>
          <w:tcPr>
            <w:tcW w:w="788" w:type="dxa"/>
            <w:tcBorders>
              <w:top w:val="single" w:color="auto" w:sz="10" w:space="0"/>
              <w:left w:val="single" w:color="auto" w:sz="10" w:space="0"/>
              <w:bottom w:val="single" w:color="auto" w:sz="10" w:space="0"/>
              <w:right w:val="single" w:color="auto" w:sz="10" w:space="0"/>
              <w:insideV w:val="single" w:sz="10" w:space="0"/>
            </w:tcBorders>
            <w:vAlign w:val="center"/>
          </w:tcPr>
          <w:p w14:paraId="203097E4">
            <w:pPr>
              <w:jc w:val="center"/>
            </w:pPr>
            <w:r>
              <w:rPr>
                <w:rFonts w:ascii="宋体" w:hAnsi="宋体" w:eastAsia="宋体"/>
                <w:sz w:val="16"/>
              </w:rPr>
              <w:t>—</w:t>
            </w:r>
          </w:p>
        </w:tc>
      </w:tr>
      <w:tr w14:paraId="4B33DD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537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1B52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CD0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57B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157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B2C5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0AC24">
            <w:pPr>
              <w:jc w:val="center"/>
            </w:pPr>
            <w:r>
              <w:rPr>
                <w:rFonts w:ascii="宋体" w:hAnsi="宋体" w:eastAsia="宋体"/>
                <w:sz w:val="16"/>
              </w:rPr>
              <w:t>—</w:t>
            </w:r>
          </w:p>
        </w:tc>
        <w:tc>
          <w:tcPr>
            <w:tcW w:w="788" w:type="dxa"/>
            <w:tcBorders>
              <w:top w:val="single" w:color="auto" w:sz="10" w:space="0"/>
              <w:left w:val="single" w:color="auto" w:sz="10" w:space="0"/>
              <w:bottom w:val="single" w:color="auto" w:sz="10" w:space="0"/>
              <w:right w:val="single" w:color="auto" w:sz="10" w:space="0"/>
              <w:insideV w:val="single" w:sz="10" w:space="0"/>
            </w:tcBorders>
            <w:vAlign w:val="center"/>
          </w:tcPr>
          <w:p w14:paraId="3D1D8AD7">
            <w:pPr>
              <w:jc w:val="center"/>
            </w:pPr>
            <w:r>
              <w:rPr>
                <w:rFonts w:ascii="宋体" w:hAnsi="宋体" w:eastAsia="宋体"/>
                <w:sz w:val="16"/>
              </w:rPr>
              <w:t>—</w:t>
            </w:r>
          </w:p>
        </w:tc>
      </w:tr>
      <w:tr w14:paraId="769EA5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E4F28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2B4183">
            <w:pPr>
              <w:jc w:val="center"/>
            </w:pPr>
            <w:r>
              <w:rPr>
                <w:rFonts w:ascii="宋体" w:hAnsi="宋体" w:eastAsia="宋体"/>
                <w:sz w:val="16"/>
              </w:rPr>
              <w:t>预期目标</w:t>
            </w:r>
          </w:p>
        </w:tc>
        <w:tc>
          <w:tcPr>
            <w:tcW w:w="394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C4FC8F">
            <w:pPr>
              <w:jc w:val="center"/>
            </w:pPr>
            <w:r>
              <w:rPr>
                <w:rFonts w:ascii="宋体" w:hAnsi="宋体" w:eastAsia="宋体"/>
                <w:sz w:val="16"/>
              </w:rPr>
              <w:t>实际完成情况</w:t>
            </w:r>
          </w:p>
        </w:tc>
      </w:tr>
      <w:tr w14:paraId="7A4C12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EB8B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884726">
            <w:pPr>
              <w:jc w:val="both"/>
            </w:pPr>
            <w:r>
              <w:rPr>
                <w:rFonts w:ascii="宋体" w:hAnsi="宋体" w:eastAsia="宋体"/>
                <w:sz w:val="16"/>
              </w:rPr>
              <w:t>按照《塔什库尔干塔吉克自治县</w:t>
            </w:r>
            <w:r>
              <w:rPr>
                <w:rFonts w:hint="eastAsia" w:ascii="宋体" w:hAnsi="宋体"/>
                <w:sz w:val="16"/>
                <w:lang w:eastAsia="zh-CN"/>
              </w:rPr>
              <w:t>为民办实事</w:t>
            </w:r>
            <w:r>
              <w:rPr>
                <w:rFonts w:ascii="宋体" w:hAnsi="宋体" w:eastAsia="宋体"/>
                <w:sz w:val="16"/>
              </w:rPr>
              <w:t>工作专项经费使用管理方案（试行）》要求，预计投入资金7万元，保障村数达到1个村，经费保障率达到100%，经费支付及时性达到100%，有效保障村级为民办实事工作，使得群众满意率达到95%以上，进一步统一思想，坚定信心，全力以赴加快推进为民办实事工作。</w:t>
            </w:r>
          </w:p>
        </w:tc>
        <w:tc>
          <w:tcPr>
            <w:tcW w:w="394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691653">
            <w:pPr>
              <w:jc w:val="both"/>
            </w:pPr>
            <w:r>
              <w:rPr>
                <w:rFonts w:hint="eastAsia" w:ascii="宋体" w:hAnsi="宋体"/>
                <w:sz w:val="16"/>
                <w:lang w:eastAsia="zh-CN"/>
              </w:rPr>
              <w:t>截至</w:t>
            </w:r>
            <w:r>
              <w:rPr>
                <w:rFonts w:ascii="宋体" w:hAnsi="宋体" w:eastAsia="宋体"/>
                <w:sz w:val="16"/>
              </w:rPr>
              <w:t>2024年12月31日，该项目按照《塔什库尔干塔吉克自治县</w:t>
            </w:r>
            <w:r>
              <w:rPr>
                <w:rFonts w:hint="eastAsia" w:ascii="宋体" w:hAnsi="宋体"/>
                <w:sz w:val="16"/>
                <w:lang w:eastAsia="zh-CN"/>
              </w:rPr>
              <w:t>为民办实事</w:t>
            </w:r>
            <w:r>
              <w:rPr>
                <w:rFonts w:ascii="宋体" w:hAnsi="宋体" w:eastAsia="宋体"/>
                <w:sz w:val="16"/>
              </w:rPr>
              <w:t>工作专项经费使用管理方案（试行）》要求，已支付资金7万元，用于支付提孜那甫乡提孜那甫村为民办实事费用，项目经费保障率达100%，经费支付及时性达100%，项目实施有效保障了村级为民办实事工作，进一步统一思想，坚定信心，全力以赴加快推进了为民办实事工作，使得群众满意率达100%。</w:t>
            </w:r>
          </w:p>
        </w:tc>
      </w:tr>
      <w:tr w14:paraId="11D73D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1615AC">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B0E4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2D2E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76A7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8930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D934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900A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97A7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3870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5107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0521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20220">
            <w:pPr>
              <w:jc w:val="center"/>
            </w:pPr>
            <w:r>
              <w:rPr>
                <w:rFonts w:ascii="宋体" w:hAnsi="宋体" w:eastAsia="宋体"/>
                <w:sz w:val="16"/>
              </w:rPr>
              <w:t>得分</w:t>
            </w:r>
          </w:p>
        </w:tc>
        <w:tc>
          <w:tcPr>
            <w:tcW w:w="14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67F53">
            <w:pPr>
              <w:jc w:val="center"/>
            </w:pPr>
            <w:r>
              <w:rPr>
                <w:rFonts w:ascii="宋体" w:hAnsi="宋体" w:eastAsia="宋体"/>
                <w:sz w:val="16"/>
              </w:rPr>
              <w:t>偏差原因分析及改进措施</w:t>
            </w:r>
          </w:p>
        </w:tc>
      </w:tr>
      <w:tr w14:paraId="44BC5C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FD99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A561F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69D95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BF625">
            <w:pPr>
              <w:jc w:val="center"/>
            </w:pPr>
            <w:r>
              <w:rPr>
                <w:rFonts w:ascii="宋体" w:hAnsi="宋体" w:eastAsia="宋体"/>
                <w:sz w:val="16"/>
              </w:rPr>
              <w:t>为民办实事经费保障村数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9901F">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E37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CEF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3D7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88F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E92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DE04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4B85A">
            <w:pPr>
              <w:jc w:val="center"/>
            </w:pPr>
            <w:r>
              <w:rPr>
                <w:rFonts w:ascii="宋体" w:hAnsi="宋体" w:eastAsia="宋体"/>
                <w:sz w:val="16"/>
              </w:rPr>
              <w:t>10</w:t>
            </w:r>
          </w:p>
        </w:tc>
        <w:tc>
          <w:tcPr>
            <w:tcW w:w="14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494C3">
            <w:pPr>
              <w:jc w:val="center"/>
            </w:pPr>
          </w:p>
        </w:tc>
      </w:tr>
      <w:tr w14:paraId="654985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0C3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2D0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5DD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C6E13">
            <w:pPr>
              <w:jc w:val="center"/>
            </w:pPr>
            <w:r>
              <w:rPr>
                <w:rFonts w:ascii="宋体" w:hAnsi="宋体" w:eastAsia="宋体"/>
                <w:sz w:val="16"/>
              </w:rPr>
              <w:t>为民办实事经费保障</w:t>
            </w:r>
            <w:r>
              <w:rPr>
                <w:rFonts w:hint="eastAsia" w:ascii="宋体" w:hAnsi="宋体"/>
                <w:sz w:val="16"/>
                <w:lang w:eastAsia="zh-CN"/>
              </w:rPr>
              <w:t>为民办实事</w:t>
            </w:r>
            <w:r>
              <w:rPr>
                <w:rFonts w:ascii="宋体" w:hAnsi="宋体" w:eastAsia="宋体"/>
                <w:sz w:val="16"/>
              </w:rPr>
              <w:t>工作队个数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6778F">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3E4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451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303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522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CC4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C898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92EF1">
            <w:pPr>
              <w:jc w:val="center"/>
            </w:pPr>
            <w:r>
              <w:rPr>
                <w:rFonts w:ascii="宋体" w:hAnsi="宋体" w:eastAsia="宋体"/>
                <w:sz w:val="16"/>
              </w:rPr>
              <w:t>10</w:t>
            </w:r>
          </w:p>
        </w:tc>
        <w:tc>
          <w:tcPr>
            <w:tcW w:w="14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F162D">
            <w:pPr>
              <w:jc w:val="center"/>
            </w:pPr>
          </w:p>
        </w:tc>
      </w:tr>
      <w:tr w14:paraId="48BE4A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126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8AD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954C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5C475">
            <w:pPr>
              <w:jc w:val="center"/>
            </w:pPr>
            <w:r>
              <w:rPr>
                <w:rFonts w:ascii="宋体" w:hAnsi="宋体" w:eastAsia="宋体"/>
                <w:sz w:val="16"/>
              </w:rPr>
              <w:t>为民办实事经费保障率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78B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16B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D12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D69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2F2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A68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AFF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30362">
            <w:pPr>
              <w:jc w:val="center"/>
            </w:pPr>
            <w:r>
              <w:rPr>
                <w:rFonts w:ascii="宋体" w:hAnsi="宋体" w:eastAsia="宋体"/>
                <w:sz w:val="16"/>
              </w:rPr>
              <w:t>10</w:t>
            </w:r>
          </w:p>
        </w:tc>
        <w:tc>
          <w:tcPr>
            <w:tcW w:w="14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B9E73">
            <w:pPr>
              <w:jc w:val="center"/>
            </w:pPr>
          </w:p>
        </w:tc>
      </w:tr>
      <w:tr w14:paraId="6E1652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407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C53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D1B2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DC9A4">
            <w:pPr>
              <w:jc w:val="center"/>
            </w:pPr>
            <w:r>
              <w:rPr>
                <w:rFonts w:ascii="宋体" w:hAnsi="宋体" w:eastAsia="宋体"/>
                <w:sz w:val="16"/>
              </w:rPr>
              <w:t>为民办实事经费支付及时性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2CC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9C9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2CB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42F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AFA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4F6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C4D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D24F0">
            <w:pPr>
              <w:jc w:val="center"/>
            </w:pPr>
            <w:r>
              <w:rPr>
                <w:rFonts w:ascii="宋体" w:hAnsi="宋体" w:eastAsia="宋体"/>
                <w:sz w:val="16"/>
              </w:rPr>
              <w:t>10</w:t>
            </w:r>
          </w:p>
        </w:tc>
        <w:tc>
          <w:tcPr>
            <w:tcW w:w="14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7D250">
            <w:pPr>
              <w:jc w:val="center"/>
            </w:pPr>
          </w:p>
        </w:tc>
      </w:tr>
      <w:tr w14:paraId="503B16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56F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D801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EFE8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DEC0B">
            <w:pPr>
              <w:jc w:val="center"/>
            </w:pPr>
            <w:r>
              <w:rPr>
                <w:rFonts w:ascii="宋体" w:hAnsi="宋体" w:eastAsia="宋体"/>
                <w:sz w:val="16"/>
              </w:rPr>
              <w:t>为民办实事经费数额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29C81">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AEB1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0C6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96EB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CAD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723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EFAC9">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6B633">
            <w:pPr>
              <w:jc w:val="center"/>
            </w:pPr>
            <w:r>
              <w:rPr>
                <w:rFonts w:ascii="宋体" w:hAnsi="宋体" w:eastAsia="宋体"/>
                <w:sz w:val="16"/>
              </w:rPr>
              <w:t>20</w:t>
            </w:r>
          </w:p>
        </w:tc>
        <w:tc>
          <w:tcPr>
            <w:tcW w:w="14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54ADA">
            <w:pPr>
              <w:jc w:val="center"/>
            </w:pPr>
          </w:p>
        </w:tc>
      </w:tr>
      <w:tr w14:paraId="7E337D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99F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C2FC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E0F7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380BC">
            <w:pPr>
              <w:jc w:val="center"/>
            </w:pPr>
            <w:r>
              <w:rPr>
                <w:rFonts w:ascii="宋体" w:hAnsi="宋体" w:eastAsia="宋体"/>
                <w:sz w:val="16"/>
              </w:rPr>
              <w:t>保障村级为民办实事工作有效开展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E14B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2EC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C25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CCCD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516D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DFA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E0CF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A8BBB">
            <w:pPr>
              <w:jc w:val="center"/>
            </w:pPr>
            <w:r>
              <w:rPr>
                <w:rFonts w:ascii="宋体" w:hAnsi="宋体" w:eastAsia="宋体"/>
                <w:sz w:val="16"/>
              </w:rPr>
              <w:t>20</w:t>
            </w:r>
          </w:p>
        </w:tc>
        <w:tc>
          <w:tcPr>
            <w:tcW w:w="14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0E071">
            <w:pPr>
              <w:jc w:val="center"/>
            </w:pPr>
          </w:p>
        </w:tc>
      </w:tr>
      <w:tr w14:paraId="1764C9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A9D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FE88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3C11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1CCBE">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5201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3D4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9CB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550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7DF5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CDC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CD7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E69C5">
            <w:pPr>
              <w:jc w:val="center"/>
            </w:pPr>
            <w:r>
              <w:rPr>
                <w:rFonts w:ascii="宋体" w:hAnsi="宋体" w:eastAsia="宋体"/>
                <w:sz w:val="16"/>
              </w:rPr>
              <w:t>10</w:t>
            </w:r>
          </w:p>
        </w:tc>
        <w:tc>
          <w:tcPr>
            <w:tcW w:w="14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C1DDD">
            <w:pPr>
              <w:jc w:val="center"/>
            </w:pPr>
            <w:r>
              <w:rPr>
                <w:rFonts w:ascii="宋体" w:hAnsi="宋体" w:eastAsia="宋体"/>
                <w:sz w:val="16"/>
              </w:rPr>
              <w:t>偏差原因分析：该项目完成情况较好，实际群众满意度较高，因此指标出现正偏差。改进措施：基于当前良好表现，重新审视绩效目标，在以后绩效目标设置时设置更具挑战性的目标，以推动业务持续发展。</w:t>
            </w:r>
          </w:p>
        </w:tc>
      </w:tr>
      <w:tr w14:paraId="690044D4">
        <w:tblPrEx>
          <w:tblCellMar>
            <w:top w:w="0" w:type="dxa"/>
            <w:left w:w="108" w:type="dxa"/>
            <w:bottom w:w="0" w:type="dxa"/>
            <w:right w:w="108" w:type="dxa"/>
          </w:tblCellMar>
        </w:tblPrEx>
        <w:trPr>
          <w:trHeight w:val="90" w:hRule="atLeast"/>
        </w:trPr>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F609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1648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31D21">
            <w:pPr>
              <w:jc w:val="center"/>
            </w:pPr>
            <w:r>
              <w:rPr>
                <w:rFonts w:ascii="宋体" w:hAnsi="宋体" w:eastAsia="宋体"/>
                <w:sz w:val="16"/>
              </w:rPr>
              <w:t>得分</w:t>
            </w:r>
          </w:p>
        </w:tc>
        <w:tc>
          <w:tcPr>
            <w:tcW w:w="331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0776FD">
            <w:pPr>
              <w:jc w:val="center"/>
            </w:pPr>
            <w:r>
              <w:rPr>
                <w:rFonts w:ascii="宋体" w:hAnsi="宋体" w:eastAsia="宋体"/>
                <w:sz w:val="16"/>
              </w:rPr>
              <w:t>100分</w:t>
            </w:r>
          </w:p>
        </w:tc>
      </w:tr>
    </w:tbl>
    <w:p w14:paraId="529257B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67AE1F0D">
        <w:tblPrEx>
          <w:tblCellMar>
            <w:top w:w="0" w:type="dxa"/>
            <w:left w:w="108" w:type="dxa"/>
            <w:bottom w:w="0" w:type="dxa"/>
            <w:right w:w="108" w:type="dxa"/>
          </w:tblCellMar>
        </w:tblPrEx>
        <w:tc>
          <w:tcPr>
            <w:tcW w:w="8848" w:type="dxa"/>
            <w:gridSpan w:val="14"/>
            <w:vAlign w:val="center"/>
          </w:tcPr>
          <w:p w14:paraId="54B74858">
            <w:pPr>
              <w:jc w:val="center"/>
            </w:pPr>
            <w:r>
              <w:rPr>
                <w:rFonts w:ascii="宋体" w:hAnsi="宋体" w:eastAsia="宋体"/>
                <w:sz w:val="24"/>
              </w:rPr>
              <w:t>项目支出绩效自评表</w:t>
            </w:r>
          </w:p>
        </w:tc>
      </w:tr>
      <w:tr w14:paraId="233A7DBD">
        <w:tblPrEx>
          <w:tblCellMar>
            <w:top w:w="0" w:type="dxa"/>
            <w:left w:w="108" w:type="dxa"/>
            <w:bottom w:w="0" w:type="dxa"/>
            <w:right w:w="108" w:type="dxa"/>
          </w:tblCellMar>
        </w:tblPrEx>
        <w:tc>
          <w:tcPr>
            <w:tcW w:w="8848" w:type="dxa"/>
            <w:gridSpan w:val="14"/>
            <w:vAlign w:val="center"/>
          </w:tcPr>
          <w:p w14:paraId="120DBAA3">
            <w:pPr>
              <w:jc w:val="center"/>
            </w:pPr>
            <w:r>
              <w:rPr>
                <w:rFonts w:ascii="宋体" w:hAnsi="宋体" w:eastAsia="宋体"/>
                <w:sz w:val="24"/>
              </w:rPr>
              <w:t>(2024年度)</w:t>
            </w:r>
          </w:p>
        </w:tc>
      </w:tr>
      <w:tr w14:paraId="04C1CF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9F6E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0169FCD">
            <w:pPr>
              <w:jc w:val="center"/>
            </w:pPr>
            <w:r>
              <w:rPr>
                <w:rFonts w:hint="eastAsia" w:ascii="宋体" w:hAnsi="宋体"/>
                <w:sz w:val="16"/>
                <w:lang w:eastAsia="zh-CN"/>
              </w:rPr>
              <w:t>塔什库尔干塔吉克自治县</w:t>
            </w:r>
            <w:r>
              <w:rPr>
                <w:rFonts w:ascii="宋体" w:hAnsi="宋体" w:eastAsia="宋体"/>
                <w:sz w:val="16"/>
              </w:rPr>
              <w:t>委办公室2023年新分配汽车维修项目</w:t>
            </w:r>
          </w:p>
        </w:tc>
      </w:tr>
      <w:tr w14:paraId="4CECED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A032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231C5D">
            <w:pPr>
              <w:jc w:val="center"/>
            </w:pPr>
            <w:r>
              <w:rPr>
                <w:rFonts w:ascii="宋体" w:hAnsi="宋体" w:eastAsia="宋体"/>
                <w:sz w:val="16"/>
              </w:rPr>
              <w:t>中共塔什库尔干塔吉克自治县委员会办公室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86B2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DEF2C0">
            <w:pPr>
              <w:jc w:val="center"/>
            </w:pPr>
            <w:r>
              <w:rPr>
                <w:rFonts w:ascii="宋体" w:hAnsi="宋体" w:eastAsia="宋体"/>
                <w:sz w:val="16"/>
              </w:rPr>
              <w:t>中共塔什库尔干塔吉克自治县委员会办公室</w:t>
            </w:r>
          </w:p>
        </w:tc>
      </w:tr>
      <w:tr w14:paraId="763E17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7E3929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2AFBC">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1B96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32F6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525F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C250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48A7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DD211">
            <w:pPr>
              <w:jc w:val="center"/>
            </w:pPr>
            <w:r>
              <w:rPr>
                <w:rFonts w:ascii="宋体" w:hAnsi="宋体" w:eastAsia="宋体"/>
                <w:sz w:val="16"/>
              </w:rPr>
              <w:t>得分</w:t>
            </w:r>
          </w:p>
        </w:tc>
      </w:tr>
      <w:tr w14:paraId="489B68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D74F1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E21D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072A5">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29E5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12B3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921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41D7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D1E32">
            <w:pPr>
              <w:jc w:val="center"/>
            </w:pPr>
            <w:r>
              <w:rPr>
                <w:rFonts w:ascii="宋体" w:hAnsi="宋体" w:eastAsia="宋体"/>
                <w:sz w:val="16"/>
              </w:rPr>
              <w:t>10.00分</w:t>
            </w:r>
          </w:p>
        </w:tc>
      </w:tr>
      <w:tr w14:paraId="1B4B04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BD5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75C8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C940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CA8E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9D86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12B4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CA0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EA6DE">
            <w:pPr>
              <w:jc w:val="center"/>
            </w:pPr>
            <w:r>
              <w:rPr>
                <w:rFonts w:ascii="宋体" w:hAnsi="宋体" w:eastAsia="宋体"/>
                <w:sz w:val="16"/>
              </w:rPr>
              <w:t>—</w:t>
            </w:r>
          </w:p>
        </w:tc>
      </w:tr>
      <w:tr w14:paraId="0FDDC0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3E8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7C79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76A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D7D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2D6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7EA0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5F6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22C59">
            <w:pPr>
              <w:jc w:val="center"/>
            </w:pPr>
            <w:r>
              <w:rPr>
                <w:rFonts w:ascii="宋体" w:hAnsi="宋体" w:eastAsia="宋体"/>
                <w:sz w:val="16"/>
              </w:rPr>
              <w:t>—</w:t>
            </w:r>
          </w:p>
        </w:tc>
      </w:tr>
      <w:tr w14:paraId="36EEE0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65E5C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92FCB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8D1BD7">
            <w:pPr>
              <w:jc w:val="center"/>
            </w:pPr>
            <w:r>
              <w:rPr>
                <w:rFonts w:ascii="宋体" w:hAnsi="宋体" w:eastAsia="宋体"/>
                <w:sz w:val="16"/>
              </w:rPr>
              <w:t>实际完成情况</w:t>
            </w:r>
          </w:p>
        </w:tc>
      </w:tr>
      <w:tr w14:paraId="5323C1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6D6C1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CAADF0">
            <w:pPr>
              <w:jc w:val="both"/>
            </w:pPr>
            <w:r>
              <w:rPr>
                <w:rFonts w:ascii="宋体" w:hAnsi="宋体" w:eastAsia="宋体"/>
                <w:sz w:val="16"/>
              </w:rPr>
              <w:t>该项目用于为进一步保障县委办公室公车出行安全，预计投入资金10万元，使车辆维修次数达到1次，并使得车辆验收合格率达</w:t>
            </w:r>
            <w:r>
              <w:rPr>
                <w:rFonts w:hint="eastAsia" w:ascii="宋体" w:hAnsi="宋体"/>
                <w:sz w:val="16"/>
                <w:lang w:eastAsia="zh-CN"/>
              </w:rPr>
              <w:t>100%</w:t>
            </w:r>
            <w:r>
              <w:rPr>
                <w:rFonts w:ascii="宋体" w:hAnsi="宋体" w:eastAsia="宋体"/>
                <w:sz w:val="16"/>
              </w:rPr>
              <w:t>以上，资金及时拨付率达</w:t>
            </w:r>
            <w:r>
              <w:rPr>
                <w:rFonts w:hint="eastAsia" w:ascii="宋体" w:hAnsi="宋体"/>
                <w:sz w:val="16"/>
                <w:lang w:eastAsia="zh-CN"/>
              </w:rPr>
              <w:t>95%</w:t>
            </w:r>
            <w:r>
              <w:rPr>
                <w:rFonts w:ascii="宋体" w:hAnsi="宋体" w:eastAsia="宋体"/>
                <w:sz w:val="16"/>
              </w:rPr>
              <w:t>以上，使得公务用车维修成本低于10万元，期望通过该项目的实施切实有效保障公务用车正常出行，使得受益对象满意度</w:t>
            </w:r>
            <w:r>
              <w:rPr>
                <w:rFonts w:hint="eastAsia" w:ascii="宋体" w:hAnsi="宋体"/>
                <w:sz w:val="16"/>
                <w:lang w:eastAsia="zh-CN"/>
              </w:rPr>
              <w:t>95%</w:t>
            </w:r>
            <w:r>
              <w:rPr>
                <w:rFonts w:ascii="宋体" w:hAnsi="宋体" w:eastAsia="宋体"/>
                <w:sz w:val="16"/>
              </w:rPr>
              <w:t>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4D9027">
            <w:pPr>
              <w:jc w:val="both"/>
            </w:pPr>
            <w:r>
              <w:rPr>
                <w:rFonts w:hint="eastAsia" w:ascii="宋体" w:hAnsi="宋体"/>
                <w:sz w:val="16"/>
                <w:lang w:eastAsia="zh-CN"/>
              </w:rPr>
              <w:t>截至2024</w:t>
            </w:r>
            <w:r>
              <w:rPr>
                <w:rFonts w:ascii="宋体" w:hAnsi="宋体" w:eastAsia="宋体"/>
                <w:sz w:val="16"/>
              </w:rPr>
              <w:t>年12月31日，该项目已支付资金10万元，用于县委2023年新分配的办公室公车的维修费用，全年汽车维修次数达3次，并使得车辆维修验收合格率达到了100%，资金及时拨付率达了100%，该项目于2024年12月24日实施完成，通过该项目的实施，切实有效保障了公务用车正常出行，使得单位人员满意度达到100%。</w:t>
            </w:r>
          </w:p>
        </w:tc>
      </w:tr>
      <w:tr w14:paraId="73E514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C48F9D">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3B3F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9618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F019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EDF8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7E26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5E0A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0797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9FB9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EAF4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976F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044F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F7706">
            <w:pPr>
              <w:jc w:val="center"/>
            </w:pPr>
            <w:r>
              <w:rPr>
                <w:rFonts w:ascii="宋体" w:hAnsi="宋体" w:eastAsia="宋体"/>
                <w:sz w:val="16"/>
              </w:rPr>
              <w:t>偏差原因分析及改进措施</w:t>
            </w:r>
          </w:p>
        </w:tc>
      </w:tr>
      <w:tr w14:paraId="1B0DCB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B0DE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8F1C2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CE74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10F7E">
            <w:pPr>
              <w:jc w:val="center"/>
            </w:pPr>
            <w:r>
              <w:rPr>
                <w:rFonts w:ascii="宋体" w:hAnsi="宋体" w:eastAsia="宋体"/>
                <w:sz w:val="16"/>
              </w:rPr>
              <w:t>公务用车维修次数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43FA8">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3EE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9351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9FC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91D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7F1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B24BF">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E416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7055C">
            <w:pPr>
              <w:jc w:val="center"/>
            </w:pPr>
            <w:r>
              <w:rPr>
                <w:rFonts w:ascii="宋体" w:hAnsi="宋体" w:eastAsia="宋体"/>
                <w:sz w:val="16"/>
              </w:rPr>
              <w:t>偏差原因分析：该项目预期指标值设置不够精准，实际公车维修次数比预期多，因此指标出现正偏差。改进措施：根据项目需求，后续合理设置绩效指标，合理规划和调配资金，保障工作按时按量进行。</w:t>
            </w:r>
          </w:p>
        </w:tc>
      </w:tr>
      <w:tr w14:paraId="32154B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44D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EF2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E307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3B530">
            <w:pPr>
              <w:jc w:val="center"/>
            </w:pPr>
            <w:r>
              <w:rPr>
                <w:rFonts w:ascii="宋体" w:hAnsi="宋体" w:eastAsia="宋体"/>
                <w:sz w:val="16"/>
              </w:rPr>
              <w:t>车辆维修验收合格率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43CB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EBB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0C8F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F8C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9AD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25D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681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DB095">
            <w:pPr>
              <w:jc w:val="center"/>
            </w:pPr>
            <w:r>
              <w:rPr>
                <w:rFonts w:ascii="宋体" w:hAnsi="宋体" w:eastAsia="宋体"/>
                <w:sz w:val="16"/>
              </w:rPr>
              <w:t>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28F04">
            <w:pPr>
              <w:jc w:val="center"/>
            </w:pPr>
            <w:r>
              <w:rPr>
                <w:rFonts w:ascii="宋体" w:hAnsi="宋体" w:eastAsia="宋体"/>
                <w:sz w:val="16"/>
              </w:rPr>
              <w:t>偏差原因分析：该项目完成情况较好，车辆维修验收合格率比较高，因此指标出现正偏差。改进措施：基于当前良好表现，重新审视绩效目标，在以后绩效目标设置时设置更具挑战性的目标，以推动业务持续发展。</w:t>
            </w:r>
          </w:p>
        </w:tc>
      </w:tr>
      <w:tr w14:paraId="3E0737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E88C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47E0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E4395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EC4F0">
            <w:pPr>
              <w:jc w:val="center"/>
            </w:pPr>
            <w:r>
              <w:rPr>
                <w:rFonts w:ascii="宋体" w:hAnsi="宋体" w:eastAsia="宋体"/>
                <w:sz w:val="16"/>
              </w:rPr>
              <w:t>资金及时拨付率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0B08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C93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B526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2B3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56E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AC4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84F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7BC41">
            <w:pPr>
              <w:jc w:val="center"/>
            </w:pPr>
            <w:r>
              <w:rPr>
                <w:rFonts w:ascii="宋体" w:hAnsi="宋体" w:eastAsia="宋体"/>
                <w:sz w:val="16"/>
              </w:rPr>
              <w:t>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4D62D">
            <w:pPr>
              <w:jc w:val="center"/>
            </w:pPr>
            <w:r>
              <w:rPr>
                <w:rFonts w:ascii="宋体" w:hAnsi="宋体" w:eastAsia="宋体"/>
                <w:sz w:val="16"/>
              </w:rPr>
              <w:t>偏差原因分析：该项目完成情况较好，资金拨付比较及时，因此指标出现正偏差。改进措施：基于当前良好表现，重新审视绩效目标，在以后绩效目标设置时设置更具挑战性的目标，以推动业务持续发展。</w:t>
            </w:r>
          </w:p>
        </w:tc>
      </w:tr>
      <w:tr w14:paraId="19C035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C59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3D4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9AC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0375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C7D56">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6ED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98C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3BC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CD87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57F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3C26E">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F80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68CCD">
            <w:pPr>
              <w:jc w:val="center"/>
            </w:pPr>
          </w:p>
        </w:tc>
      </w:tr>
      <w:tr w14:paraId="5B8969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F9C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C044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9555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9ADB9">
            <w:pPr>
              <w:jc w:val="center"/>
            </w:pPr>
            <w:r>
              <w:rPr>
                <w:rFonts w:ascii="宋体" w:hAnsi="宋体" w:eastAsia="宋体"/>
                <w:sz w:val="16"/>
              </w:rPr>
              <w:t>公务用车维修成本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4A4EA">
            <w:pPr>
              <w:jc w:val="center"/>
            </w:pPr>
            <w:r>
              <w:rPr>
                <w:rFonts w:ascii="宋体" w:hAnsi="宋体" w:eastAsia="宋体"/>
                <w:sz w:val="16"/>
              </w:rPr>
              <w:t>&lt;=10万元/辆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03B5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2FD9E">
            <w:pPr>
              <w:jc w:val="center"/>
            </w:pPr>
            <w:r>
              <w:rPr>
                <w:rFonts w:ascii="宋体" w:hAnsi="宋体" w:eastAsia="宋体"/>
                <w:sz w:val="16"/>
              </w:rPr>
              <w:t>10万元/辆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099D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AC5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2B0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F595D">
            <w:pPr>
              <w:jc w:val="center"/>
            </w:pPr>
            <w:r>
              <w:rPr>
                <w:rFonts w:ascii="宋体" w:hAnsi="宋体" w:eastAsia="宋体"/>
                <w:sz w:val="16"/>
              </w:rPr>
              <w:t>=10万元/辆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5B7A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B05C8">
            <w:pPr>
              <w:jc w:val="center"/>
            </w:pPr>
          </w:p>
        </w:tc>
      </w:tr>
      <w:tr w14:paraId="3A56FC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7AF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7EB1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05D1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07429">
            <w:pPr>
              <w:jc w:val="center"/>
            </w:pPr>
            <w:r>
              <w:rPr>
                <w:rFonts w:ascii="宋体" w:hAnsi="宋体" w:eastAsia="宋体"/>
                <w:sz w:val="16"/>
              </w:rPr>
              <w:t>切实有效保障公务用车正常出行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8701A">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9AE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751C1">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664B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3D5E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E06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B87D9">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E256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8EF60">
            <w:pPr>
              <w:jc w:val="center"/>
            </w:pPr>
          </w:p>
        </w:tc>
      </w:tr>
      <w:tr w14:paraId="5DE77C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2F1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DF7F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906A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226E4">
            <w:pPr>
              <w:jc w:val="center"/>
            </w:pPr>
            <w:r>
              <w:rPr>
                <w:rFonts w:ascii="宋体" w:hAnsi="宋体" w:eastAsia="宋体"/>
                <w:sz w:val="16"/>
              </w:rPr>
              <w:t>单位人员满意度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D978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BFB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C1F7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420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B7EA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D09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96E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D5C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B9318">
            <w:pPr>
              <w:jc w:val="center"/>
            </w:pPr>
            <w:r>
              <w:rPr>
                <w:rFonts w:ascii="宋体" w:hAnsi="宋体" w:eastAsia="宋体"/>
                <w:sz w:val="16"/>
              </w:rPr>
              <w:t>偏差原因：该项目完成情况较好，实际单位人员满意度较高，因此指标出现正偏差。改进措施：基于当前良好表现，重新审视绩效目标，在以后绩效目标设置时设置更具挑战性的目标，以推动业务持续发展。</w:t>
            </w:r>
          </w:p>
        </w:tc>
      </w:tr>
      <w:tr w14:paraId="19ECBB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D449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2F51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8FC3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3266BC">
            <w:pPr>
              <w:jc w:val="center"/>
            </w:pPr>
            <w:r>
              <w:rPr>
                <w:rFonts w:ascii="宋体" w:hAnsi="宋体" w:eastAsia="宋体"/>
                <w:sz w:val="16"/>
              </w:rPr>
              <w:t>89分</w:t>
            </w:r>
          </w:p>
        </w:tc>
      </w:tr>
    </w:tbl>
    <w:p w14:paraId="31E9FF3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0D42A823">
        <w:tblPrEx>
          <w:tblCellMar>
            <w:top w:w="0" w:type="dxa"/>
            <w:left w:w="108" w:type="dxa"/>
            <w:bottom w:w="0" w:type="dxa"/>
            <w:right w:w="108" w:type="dxa"/>
          </w:tblCellMar>
        </w:tblPrEx>
        <w:tc>
          <w:tcPr>
            <w:tcW w:w="8848" w:type="dxa"/>
            <w:gridSpan w:val="14"/>
            <w:vAlign w:val="center"/>
          </w:tcPr>
          <w:p w14:paraId="1E3E21D9">
            <w:pPr>
              <w:jc w:val="center"/>
            </w:pPr>
            <w:r>
              <w:rPr>
                <w:rFonts w:ascii="宋体" w:hAnsi="宋体" w:eastAsia="宋体"/>
                <w:sz w:val="24"/>
              </w:rPr>
              <w:t>项目支出绩效自评表</w:t>
            </w:r>
          </w:p>
        </w:tc>
      </w:tr>
      <w:tr w14:paraId="604C88F8">
        <w:tblPrEx>
          <w:tblCellMar>
            <w:top w:w="0" w:type="dxa"/>
            <w:left w:w="108" w:type="dxa"/>
            <w:bottom w:w="0" w:type="dxa"/>
            <w:right w:w="108" w:type="dxa"/>
          </w:tblCellMar>
        </w:tblPrEx>
        <w:tc>
          <w:tcPr>
            <w:tcW w:w="8848" w:type="dxa"/>
            <w:gridSpan w:val="14"/>
            <w:vAlign w:val="center"/>
          </w:tcPr>
          <w:p w14:paraId="3A12CB9D">
            <w:pPr>
              <w:jc w:val="center"/>
            </w:pPr>
            <w:r>
              <w:rPr>
                <w:rFonts w:ascii="宋体" w:hAnsi="宋体" w:eastAsia="宋体"/>
                <w:sz w:val="24"/>
              </w:rPr>
              <w:t>(2024年度)</w:t>
            </w:r>
          </w:p>
        </w:tc>
      </w:tr>
      <w:tr w14:paraId="181A8B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1594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0EA4AA9">
            <w:pPr>
              <w:jc w:val="center"/>
            </w:pPr>
            <w:r>
              <w:rPr>
                <w:rFonts w:hint="eastAsia" w:ascii="宋体" w:hAnsi="宋体"/>
                <w:sz w:val="16"/>
                <w:lang w:eastAsia="zh-CN"/>
              </w:rPr>
              <w:t>塔什库尔干塔吉克自治县</w:t>
            </w:r>
            <w:r>
              <w:rPr>
                <w:rFonts w:ascii="宋体" w:hAnsi="宋体" w:eastAsia="宋体"/>
                <w:sz w:val="16"/>
              </w:rPr>
              <w:t>委办公室2024年办公经费缺口项目</w:t>
            </w:r>
          </w:p>
        </w:tc>
      </w:tr>
      <w:tr w14:paraId="5FB57A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D17A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E7113F">
            <w:pPr>
              <w:jc w:val="center"/>
            </w:pPr>
            <w:r>
              <w:rPr>
                <w:rFonts w:ascii="宋体" w:hAnsi="宋体" w:eastAsia="宋体"/>
                <w:sz w:val="16"/>
              </w:rPr>
              <w:t>中共塔什库尔干塔吉克自治县委员会办公室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BC1F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ECD03F">
            <w:pPr>
              <w:jc w:val="center"/>
            </w:pPr>
            <w:r>
              <w:rPr>
                <w:rFonts w:ascii="宋体" w:hAnsi="宋体" w:eastAsia="宋体"/>
                <w:sz w:val="16"/>
              </w:rPr>
              <w:t>中共塔什库尔干塔吉克自治县委员会办公室</w:t>
            </w:r>
          </w:p>
        </w:tc>
      </w:tr>
      <w:tr w14:paraId="1A63AE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988F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96D9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D8D0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E0D5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1186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5E76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367A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F9C8F">
            <w:pPr>
              <w:jc w:val="center"/>
            </w:pPr>
            <w:r>
              <w:rPr>
                <w:rFonts w:ascii="宋体" w:hAnsi="宋体" w:eastAsia="宋体"/>
                <w:sz w:val="16"/>
              </w:rPr>
              <w:t>得分</w:t>
            </w:r>
          </w:p>
        </w:tc>
      </w:tr>
      <w:tr w14:paraId="6C3B73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45EAE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730F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BAA0A">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7888D">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03B70">
            <w:pPr>
              <w:jc w:val="center"/>
            </w:pPr>
            <w:r>
              <w:rPr>
                <w:rFonts w:ascii="宋体" w:hAnsi="宋体" w:eastAsia="宋体"/>
                <w:sz w:val="16"/>
              </w:rPr>
              <w:t>99.89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0D0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98DEA">
            <w:pPr>
              <w:jc w:val="center"/>
            </w:pPr>
            <w:r>
              <w:rPr>
                <w:rFonts w:ascii="宋体" w:hAnsi="宋体" w:eastAsia="宋体"/>
                <w:sz w:val="16"/>
              </w:rPr>
              <w:t>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523D3">
            <w:pPr>
              <w:jc w:val="center"/>
            </w:pPr>
            <w:r>
              <w:rPr>
                <w:rFonts w:ascii="宋体" w:hAnsi="宋体" w:eastAsia="宋体"/>
                <w:sz w:val="16"/>
              </w:rPr>
              <w:t>10.00分</w:t>
            </w:r>
          </w:p>
        </w:tc>
      </w:tr>
      <w:tr w14:paraId="6CC1A0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C58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11F6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E41C1">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4701A">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F0D18">
            <w:pPr>
              <w:jc w:val="center"/>
            </w:pPr>
            <w:r>
              <w:rPr>
                <w:rFonts w:ascii="宋体" w:hAnsi="宋体" w:eastAsia="宋体"/>
                <w:sz w:val="16"/>
              </w:rPr>
              <w:t>99.89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E9BD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41A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F20A8">
            <w:pPr>
              <w:jc w:val="center"/>
            </w:pPr>
            <w:r>
              <w:rPr>
                <w:rFonts w:ascii="宋体" w:hAnsi="宋体" w:eastAsia="宋体"/>
                <w:sz w:val="16"/>
              </w:rPr>
              <w:t>—</w:t>
            </w:r>
          </w:p>
        </w:tc>
      </w:tr>
      <w:tr w14:paraId="10E2C3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5E6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BE73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86D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9A5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FEF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3401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594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6AF63">
            <w:pPr>
              <w:jc w:val="center"/>
            </w:pPr>
            <w:r>
              <w:rPr>
                <w:rFonts w:ascii="宋体" w:hAnsi="宋体" w:eastAsia="宋体"/>
                <w:sz w:val="16"/>
              </w:rPr>
              <w:t>—</w:t>
            </w:r>
          </w:p>
        </w:tc>
      </w:tr>
      <w:tr w14:paraId="0A717E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E0001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8DA86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0EAF33">
            <w:pPr>
              <w:jc w:val="center"/>
            </w:pPr>
            <w:r>
              <w:rPr>
                <w:rFonts w:ascii="宋体" w:hAnsi="宋体" w:eastAsia="宋体"/>
                <w:sz w:val="16"/>
              </w:rPr>
              <w:t>实际完成情况</w:t>
            </w:r>
          </w:p>
        </w:tc>
      </w:tr>
      <w:tr w14:paraId="386B16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9FB5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0196EA">
            <w:pPr>
              <w:jc w:val="both"/>
            </w:pPr>
            <w:r>
              <w:rPr>
                <w:rFonts w:ascii="宋体" w:hAnsi="宋体" w:eastAsia="宋体"/>
                <w:sz w:val="16"/>
              </w:rPr>
              <w:t>该项目用于为进一步保障县委办公室各项工作的正常开展，预计投入资金100万元，使得经费保障人数等于45人，经费保障月数达到12个月，并使得资金保障率达</w:t>
            </w:r>
            <w:r>
              <w:rPr>
                <w:rFonts w:hint="eastAsia" w:ascii="宋体" w:hAnsi="宋体"/>
                <w:sz w:val="16"/>
                <w:lang w:eastAsia="zh-CN"/>
              </w:rPr>
              <w:t>100%</w:t>
            </w:r>
            <w:r>
              <w:rPr>
                <w:rFonts w:ascii="宋体" w:hAnsi="宋体" w:eastAsia="宋体"/>
                <w:sz w:val="16"/>
              </w:rPr>
              <w:t>，资金及时拨付率达</w:t>
            </w:r>
            <w:r>
              <w:rPr>
                <w:rFonts w:hint="eastAsia" w:ascii="宋体" w:hAnsi="宋体"/>
                <w:sz w:val="16"/>
                <w:lang w:eastAsia="zh-CN"/>
              </w:rPr>
              <w:t>95%</w:t>
            </w:r>
            <w:r>
              <w:rPr>
                <w:rFonts w:ascii="宋体" w:hAnsi="宋体" w:eastAsia="宋体"/>
                <w:sz w:val="16"/>
              </w:rPr>
              <w:t>以上，使得运转经费月成本低于8.33万元/月，期望通过该项目的实施，切实有效保障县委办公室各项工作的正常开展，使得受益对象满意度</w:t>
            </w:r>
            <w:r>
              <w:rPr>
                <w:rFonts w:hint="eastAsia" w:ascii="宋体" w:hAnsi="宋体"/>
                <w:sz w:val="16"/>
                <w:lang w:eastAsia="zh-CN"/>
              </w:rPr>
              <w:t>95%</w:t>
            </w:r>
            <w:r>
              <w:rPr>
                <w:rFonts w:ascii="宋体" w:hAnsi="宋体" w:eastAsia="宋体"/>
                <w:sz w:val="16"/>
              </w:rPr>
              <w:t>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00B3AA">
            <w:pPr>
              <w:jc w:val="both"/>
            </w:pPr>
            <w:r>
              <w:rPr>
                <w:rFonts w:hint="eastAsia" w:ascii="宋体" w:hAnsi="宋体"/>
                <w:sz w:val="16"/>
                <w:lang w:eastAsia="zh-CN"/>
              </w:rPr>
              <w:t>截至2024</w:t>
            </w:r>
            <w:r>
              <w:rPr>
                <w:rFonts w:ascii="宋体" w:hAnsi="宋体" w:eastAsia="宋体"/>
                <w:sz w:val="16"/>
              </w:rPr>
              <w:t>年12月31日,该项目已支付资金99.89万元，用于保障县委办公室正常运转，运转经费月单位成本为8.32万元，经费保障人数达到了45人，经费保障月数达到了12个月，资金保障率达到了100%，资金及时拨付率为100%，通过该项目的实施，切实有效保障了县委办公室各项工作的正常开展，使得受益人员的满意度达到了100%。</w:t>
            </w:r>
          </w:p>
        </w:tc>
      </w:tr>
      <w:tr w14:paraId="30A651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C06D7C">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9EFF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B18D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B3C9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A9BD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968A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B215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0C5C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9146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4EC2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6D9A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039F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29913">
            <w:pPr>
              <w:jc w:val="center"/>
            </w:pPr>
            <w:r>
              <w:rPr>
                <w:rFonts w:ascii="宋体" w:hAnsi="宋体" w:eastAsia="宋体"/>
                <w:sz w:val="16"/>
              </w:rPr>
              <w:t>偏差原因分析及改进措施</w:t>
            </w:r>
          </w:p>
        </w:tc>
      </w:tr>
      <w:tr w14:paraId="6A16E3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3D9A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C2E00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4291C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DC5AC">
            <w:pPr>
              <w:jc w:val="center"/>
            </w:pPr>
            <w:r>
              <w:rPr>
                <w:rFonts w:ascii="宋体" w:hAnsi="宋体" w:eastAsia="宋体"/>
                <w:sz w:val="16"/>
              </w:rPr>
              <w:t>经费保障人数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E1B6C">
            <w:pPr>
              <w:jc w:val="center"/>
            </w:pPr>
            <w:r>
              <w:rPr>
                <w:rFonts w:ascii="宋体" w:hAnsi="宋体" w:eastAsia="宋体"/>
                <w:sz w:val="16"/>
              </w:rPr>
              <w:t>&gt;=45人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06A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F47D4">
            <w:pPr>
              <w:jc w:val="center"/>
            </w:pPr>
            <w:r>
              <w:rPr>
                <w:rFonts w:ascii="宋体" w:hAnsi="宋体" w:eastAsia="宋体"/>
                <w:sz w:val="16"/>
              </w:rPr>
              <w:t>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17E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14E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939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39EAB">
            <w:pPr>
              <w:jc w:val="center"/>
            </w:pPr>
            <w:r>
              <w:rPr>
                <w:rFonts w:ascii="宋体" w:hAnsi="宋体" w:eastAsia="宋体"/>
                <w:sz w:val="16"/>
              </w:rPr>
              <w:t>=45人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7BF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76D9E">
            <w:pPr>
              <w:jc w:val="center"/>
            </w:pPr>
          </w:p>
        </w:tc>
      </w:tr>
      <w:tr w14:paraId="56B1A0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517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D21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F51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16B59">
            <w:pPr>
              <w:jc w:val="center"/>
            </w:pPr>
            <w:r>
              <w:rPr>
                <w:rFonts w:ascii="宋体" w:hAnsi="宋体" w:eastAsia="宋体"/>
                <w:sz w:val="16"/>
              </w:rPr>
              <w:t>经费保障月数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7EA93">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CB5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CABFC">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24F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636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4B0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197F0">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6BF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64532">
            <w:pPr>
              <w:jc w:val="center"/>
            </w:pPr>
          </w:p>
        </w:tc>
      </w:tr>
      <w:tr w14:paraId="1924D5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989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1F8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8992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CD425">
            <w:pPr>
              <w:jc w:val="center"/>
            </w:pPr>
            <w:r>
              <w:rPr>
                <w:rFonts w:ascii="宋体" w:hAnsi="宋体" w:eastAsia="宋体"/>
                <w:sz w:val="16"/>
              </w:rPr>
              <w:t>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ACC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91D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B62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A79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F41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2EB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C43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0AA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558BD">
            <w:pPr>
              <w:jc w:val="center"/>
            </w:pPr>
          </w:p>
        </w:tc>
      </w:tr>
      <w:tr w14:paraId="3EB205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A9A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A55C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EEF60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7A790">
            <w:pPr>
              <w:jc w:val="center"/>
            </w:pPr>
            <w:r>
              <w:rPr>
                <w:rFonts w:ascii="宋体" w:hAnsi="宋体" w:eastAsia="宋体"/>
                <w:sz w:val="16"/>
              </w:rPr>
              <w:t>资金及时拨付率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B523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BDF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0404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F09C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419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9EC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51C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3CC77">
            <w:pPr>
              <w:jc w:val="center"/>
            </w:pPr>
            <w:r>
              <w:rPr>
                <w:rFonts w:ascii="宋体" w:hAnsi="宋体" w:eastAsia="宋体"/>
                <w:sz w:val="16"/>
              </w:rPr>
              <w:t>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52EC6">
            <w:pPr>
              <w:jc w:val="center"/>
            </w:pPr>
            <w:r>
              <w:rPr>
                <w:rFonts w:ascii="宋体" w:hAnsi="宋体" w:eastAsia="宋体"/>
                <w:sz w:val="16"/>
              </w:rPr>
              <w:t>偏差原因分析：该项目完成情况较好，资金拨付比较及时，因此指标出现正偏差。改进措施：基于当前良好表现，重新审视绩效目标，在以后绩效目标设置时设置更具挑战性的目标，以推动业务持续发展。</w:t>
            </w:r>
          </w:p>
        </w:tc>
      </w:tr>
      <w:tr w14:paraId="1A80A0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A2C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1A2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C32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244B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A9B4E">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B2E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7EB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2ED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7ADA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D14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6135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0B12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7ED3A">
            <w:pPr>
              <w:jc w:val="center"/>
            </w:pPr>
          </w:p>
        </w:tc>
      </w:tr>
      <w:tr w14:paraId="598016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C5B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18FC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3501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325E6">
            <w:pPr>
              <w:jc w:val="center"/>
            </w:pPr>
            <w:r>
              <w:rPr>
                <w:rFonts w:ascii="宋体" w:hAnsi="宋体" w:eastAsia="宋体"/>
                <w:sz w:val="16"/>
              </w:rPr>
              <w:t>运转经费月成本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4A89C">
            <w:pPr>
              <w:jc w:val="center"/>
            </w:pPr>
            <w:r>
              <w:rPr>
                <w:rFonts w:ascii="宋体" w:hAnsi="宋体" w:eastAsia="宋体"/>
                <w:sz w:val="16"/>
              </w:rPr>
              <w:t>&lt;=8.33万元/月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4824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28EA6">
            <w:pPr>
              <w:jc w:val="center"/>
            </w:pPr>
            <w:r>
              <w:rPr>
                <w:rFonts w:ascii="宋体" w:hAnsi="宋体" w:eastAsia="宋体"/>
                <w:sz w:val="16"/>
              </w:rPr>
              <w:t>8.33万元/月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0E7F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1B4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54BC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692BD">
            <w:pPr>
              <w:jc w:val="center"/>
            </w:pPr>
            <w:r>
              <w:rPr>
                <w:rFonts w:ascii="宋体" w:hAnsi="宋体" w:eastAsia="宋体"/>
                <w:sz w:val="16"/>
              </w:rPr>
              <w:t>=8.32万元/月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00C8F">
            <w:pPr>
              <w:jc w:val="center"/>
            </w:pPr>
            <w:r>
              <w:rPr>
                <w:rFonts w:ascii="宋体" w:hAnsi="宋体" w:eastAsia="宋体"/>
                <w:sz w:val="16"/>
              </w:rPr>
              <w:t>19.94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C5C25">
            <w:pPr>
              <w:jc w:val="center"/>
            </w:pPr>
            <w:r>
              <w:rPr>
                <w:rFonts w:ascii="宋体" w:hAnsi="宋体" w:eastAsia="宋体"/>
                <w:sz w:val="16"/>
              </w:rPr>
              <w:t>偏差原因分析：该项目资金严格按照预算绩效管理办法执行，结合项目实际支出，因此出现偏差。改进措施：根据项目需求，后续合理设置绩效指标，合理规划和调配资金，保障工作按时按量进行，避免资金闲置，提高资金使用效率。</w:t>
            </w:r>
          </w:p>
        </w:tc>
      </w:tr>
      <w:tr w14:paraId="1814A3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EE7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EF59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1A81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46C54">
            <w:pPr>
              <w:jc w:val="center"/>
            </w:pPr>
            <w:r>
              <w:rPr>
                <w:rFonts w:ascii="宋体" w:hAnsi="宋体" w:eastAsia="宋体"/>
                <w:sz w:val="16"/>
              </w:rPr>
              <w:t>保障县委办公室各项工作的正常开展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E9755">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BD2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0DEF8">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2409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E9AB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5F1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0533D">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7107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07109">
            <w:pPr>
              <w:jc w:val="center"/>
            </w:pPr>
          </w:p>
        </w:tc>
      </w:tr>
      <w:tr w14:paraId="2768B8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430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E13C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3820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6E7F7">
            <w:pPr>
              <w:jc w:val="center"/>
            </w:pPr>
            <w:r>
              <w:rPr>
                <w:rFonts w:ascii="宋体" w:hAnsi="宋体" w:eastAsia="宋体"/>
                <w:sz w:val="16"/>
              </w:rPr>
              <w:t>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8371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86C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6813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436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5018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3AE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E4F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6D7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D6272">
            <w:pPr>
              <w:jc w:val="center"/>
            </w:pPr>
            <w:r>
              <w:rPr>
                <w:rFonts w:ascii="宋体" w:hAnsi="宋体" w:eastAsia="宋体"/>
                <w:sz w:val="16"/>
              </w:rPr>
              <w:t>偏差原因分析：该项目完成情况较好，实际职工满意度较高，因此指标出现正偏差。改进措施：基于当前良好表现，重新审视绩效目标，在以后绩效目标设置时设置更具挑战性的目标，以推动业务持续发展。</w:t>
            </w:r>
          </w:p>
        </w:tc>
      </w:tr>
      <w:tr w14:paraId="64FD2E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8362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4842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3091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E22E86">
            <w:pPr>
              <w:jc w:val="center"/>
            </w:pPr>
            <w:r>
              <w:rPr>
                <w:rFonts w:ascii="宋体" w:hAnsi="宋体" w:eastAsia="宋体"/>
                <w:sz w:val="16"/>
              </w:rPr>
              <w:t>99.68分</w:t>
            </w:r>
          </w:p>
        </w:tc>
      </w:tr>
    </w:tbl>
    <w:p w14:paraId="659F34C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3A33113A">
        <w:tblPrEx>
          <w:tblCellMar>
            <w:top w:w="0" w:type="dxa"/>
            <w:left w:w="108" w:type="dxa"/>
            <w:bottom w:w="0" w:type="dxa"/>
            <w:right w:w="108" w:type="dxa"/>
          </w:tblCellMar>
        </w:tblPrEx>
        <w:tc>
          <w:tcPr>
            <w:tcW w:w="8848" w:type="dxa"/>
            <w:gridSpan w:val="14"/>
            <w:vAlign w:val="center"/>
          </w:tcPr>
          <w:p w14:paraId="62687BFC">
            <w:pPr>
              <w:jc w:val="center"/>
            </w:pPr>
            <w:r>
              <w:rPr>
                <w:rFonts w:ascii="宋体" w:hAnsi="宋体" w:eastAsia="宋体"/>
                <w:sz w:val="24"/>
              </w:rPr>
              <w:t>项目支出绩效自评表</w:t>
            </w:r>
          </w:p>
        </w:tc>
      </w:tr>
      <w:tr w14:paraId="4871AF00">
        <w:tblPrEx>
          <w:tblCellMar>
            <w:top w:w="0" w:type="dxa"/>
            <w:left w:w="108" w:type="dxa"/>
            <w:bottom w:w="0" w:type="dxa"/>
            <w:right w:w="108" w:type="dxa"/>
          </w:tblCellMar>
        </w:tblPrEx>
        <w:tc>
          <w:tcPr>
            <w:tcW w:w="8848" w:type="dxa"/>
            <w:gridSpan w:val="14"/>
            <w:vAlign w:val="center"/>
          </w:tcPr>
          <w:p w14:paraId="4BB960FA">
            <w:pPr>
              <w:jc w:val="center"/>
            </w:pPr>
            <w:r>
              <w:rPr>
                <w:rFonts w:ascii="宋体" w:hAnsi="宋体" w:eastAsia="宋体"/>
                <w:sz w:val="24"/>
              </w:rPr>
              <w:t>(2024年度)</w:t>
            </w:r>
          </w:p>
        </w:tc>
      </w:tr>
      <w:tr w14:paraId="08F151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8832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3011737">
            <w:pPr>
              <w:jc w:val="center"/>
            </w:pPr>
            <w:r>
              <w:rPr>
                <w:rFonts w:hint="eastAsia" w:ascii="宋体" w:hAnsi="宋体"/>
                <w:sz w:val="16"/>
                <w:lang w:eastAsia="zh-CN"/>
              </w:rPr>
              <w:t>塔什库尔干塔吉克自治县</w:t>
            </w:r>
            <w:r>
              <w:rPr>
                <w:rFonts w:ascii="宋体" w:hAnsi="宋体" w:eastAsia="宋体"/>
                <w:sz w:val="16"/>
              </w:rPr>
              <w:t>委办公室2024年慰问经费项目</w:t>
            </w:r>
          </w:p>
        </w:tc>
      </w:tr>
      <w:tr w14:paraId="65CA4B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593D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73CD3F">
            <w:pPr>
              <w:jc w:val="center"/>
            </w:pPr>
            <w:r>
              <w:rPr>
                <w:rFonts w:ascii="宋体" w:hAnsi="宋体" w:eastAsia="宋体"/>
                <w:sz w:val="16"/>
              </w:rPr>
              <w:t>中共塔什库尔干塔吉克自治县委员会办公室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B887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1023CE">
            <w:pPr>
              <w:jc w:val="center"/>
            </w:pPr>
            <w:r>
              <w:rPr>
                <w:rFonts w:ascii="宋体" w:hAnsi="宋体" w:eastAsia="宋体"/>
                <w:sz w:val="16"/>
              </w:rPr>
              <w:t>中共塔什库尔干塔吉克自治县委员会办公室</w:t>
            </w:r>
          </w:p>
        </w:tc>
      </w:tr>
      <w:tr w14:paraId="5D1BB8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958C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1E94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8248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D05D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D2BD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8DA4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A5D1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FCB29">
            <w:pPr>
              <w:jc w:val="center"/>
            </w:pPr>
            <w:r>
              <w:rPr>
                <w:rFonts w:ascii="宋体" w:hAnsi="宋体" w:eastAsia="宋体"/>
                <w:sz w:val="16"/>
              </w:rPr>
              <w:t>得分</w:t>
            </w:r>
          </w:p>
        </w:tc>
      </w:tr>
      <w:tr w14:paraId="48ED6F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D7139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ACF5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A817C">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1C3A0">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6B3CB">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9EB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6040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564F4">
            <w:pPr>
              <w:jc w:val="center"/>
            </w:pPr>
            <w:r>
              <w:rPr>
                <w:rFonts w:ascii="宋体" w:hAnsi="宋体" w:eastAsia="宋体"/>
                <w:sz w:val="16"/>
              </w:rPr>
              <w:t>10.00分</w:t>
            </w:r>
          </w:p>
        </w:tc>
      </w:tr>
      <w:tr w14:paraId="430529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3B0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E12C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F5143">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A6B68">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0C698">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7AE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C66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61289">
            <w:pPr>
              <w:jc w:val="center"/>
            </w:pPr>
            <w:r>
              <w:rPr>
                <w:rFonts w:ascii="宋体" w:hAnsi="宋体" w:eastAsia="宋体"/>
                <w:sz w:val="16"/>
              </w:rPr>
              <w:t>—</w:t>
            </w:r>
          </w:p>
        </w:tc>
      </w:tr>
      <w:tr w14:paraId="41EF64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90C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5497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F32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333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EA5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B789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FB9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E4FBD">
            <w:pPr>
              <w:jc w:val="center"/>
            </w:pPr>
            <w:r>
              <w:rPr>
                <w:rFonts w:ascii="宋体" w:hAnsi="宋体" w:eastAsia="宋体"/>
                <w:sz w:val="16"/>
              </w:rPr>
              <w:t>—</w:t>
            </w:r>
          </w:p>
        </w:tc>
      </w:tr>
      <w:tr w14:paraId="2594A9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19785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B909E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1EE3F9">
            <w:pPr>
              <w:jc w:val="center"/>
            </w:pPr>
            <w:r>
              <w:rPr>
                <w:rFonts w:ascii="宋体" w:hAnsi="宋体" w:eastAsia="宋体"/>
                <w:sz w:val="16"/>
              </w:rPr>
              <w:t>实际完成情况</w:t>
            </w:r>
          </w:p>
        </w:tc>
      </w:tr>
      <w:tr w14:paraId="6000E1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9DC4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AF2B9F">
            <w:pPr>
              <w:jc w:val="both"/>
            </w:pPr>
            <w:r>
              <w:rPr>
                <w:rFonts w:ascii="宋体" w:hAnsi="宋体" w:eastAsia="宋体"/>
                <w:sz w:val="16"/>
              </w:rPr>
              <w:t>该项目用于为进一步推动兵地融合工作，预计投入资金25万元，预计慰问军警部队10次，并使得慰问覆盖率达</w:t>
            </w:r>
            <w:r>
              <w:rPr>
                <w:rFonts w:hint="eastAsia" w:ascii="宋体" w:hAnsi="宋体"/>
                <w:sz w:val="16"/>
                <w:lang w:eastAsia="zh-CN"/>
              </w:rPr>
              <w:t>100%</w:t>
            </w:r>
            <w:r>
              <w:rPr>
                <w:rFonts w:ascii="宋体" w:hAnsi="宋体" w:eastAsia="宋体"/>
                <w:sz w:val="16"/>
              </w:rPr>
              <w:t>，资金及时拨付率达</w:t>
            </w:r>
            <w:r>
              <w:rPr>
                <w:rFonts w:hint="eastAsia" w:ascii="宋体" w:hAnsi="宋体"/>
                <w:sz w:val="16"/>
                <w:lang w:eastAsia="zh-CN"/>
              </w:rPr>
              <w:t>95%</w:t>
            </w:r>
            <w:r>
              <w:rPr>
                <w:rFonts w:ascii="宋体" w:hAnsi="宋体" w:eastAsia="宋体"/>
                <w:sz w:val="16"/>
              </w:rPr>
              <w:t>以上，各军警部队慰问成本低于2.5万元，期望通过该项目的实施，切实有效保障了军地密切联系，使得受益对象满意度</w:t>
            </w:r>
            <w:r>
              <w:rPr>
                <w:rFonts w:hint="eastAsia" w:ascii="宋体" w:hAnsi="宋体"/>
                <w:sz w:val="16"/>
                <w:lang w:eastAsia="zh-CN"/>
              </w:rPr>
              <w:t>95%</w:t>
            </w:r>
            <w:r>
              <w:rPr>
                <w:rFonts w:ascii="宋体" w:hAnsi="宋体" w:eastAsia="宋体"/>
                <w:sz w:val="16"/>
              </w:rPr>
              <w:t>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7CB09F">
            <w:pPr>
              <w:jc w:val="both"/>
            </w:pPr>
            <w:r>
              <w:rPr>
                <w:rFonts w:hint="eastAsia" w:ascii="宋体" w:hAnsi="宋体"/>
                <w:sz w:val="16"/>
                <w:lang w:eastAsia="zh-CN"/>
              </w:rPr>
              <w:t>截至</w:t>
            </w:r>
            <w:r>
              <w:rPr>
                <w:rFonts w:ascii="宋体" w:hAnsi="宋体" w:eastAsia="宋体"/>
                <w:sz w:val="16"/>
              </w:rPr>
              <w:t>2024年12月31日，该项目已支付资金25万元，完成了10次军警部队慰问活动，军警部队慰问活动单位成本为每次为2.5万元，使得军警部队慰问活动覆盖率达到了100%，资金及时拨付率达了100%。通过该项目的实施有效保障了军地密切联系，进一步推动了兵地融合工作，使得受益军警满意度达到了100%。</w:t>
            </w:r>
          </w:p>
        </w:tc>
      </w:tr>
      <w:tr w14:paraId="1096D4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9CB932">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B951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6A0B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9281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D0D2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5A6B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37EA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7A38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EEE1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BBD0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5317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3A17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96A19">
            <w:pPr>
              <w:jc w:val="center"/>
            </w:pPr>
            <w:r>
              <w:rPr>
                <w:rFonts w:ascii="宋体" w:hAnsi="宋体" w:eastAsia="宋体"/>
                <w:sz w:val="16"/>
              </w:rPr>
              <w:t>偏差原因分析及改进措施</w:t>
            </w:r>
          </w:p>
        </w:tc>
      </w:tr>
      <w:tr w14:paraId="75E414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195D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A5409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7A4D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29E34">
            <w:pPr>
              <w:jc w:val="center"/>
            </w:pPr>
            <w:r>
              <w:rPr>
                <w:rFonts w:ascii="宋体" w:hAnsi="宋体" w:eastAsia="宋体"/>
                <w:sz w:val="16"/>
              </w:rPr>
              <w:t>军警部队慰问次数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FBD35">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0DD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53F3C">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05E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69F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619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028AF">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FF4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389C4">
            <w:pPr>
              <w:jc w:val="center"/>
            </w:pPr>
          </w:p>
        </w:tc>
      </w:tr>
      <w:tr w14:paraId="27EEF2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C77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603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354F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0B88A">
            <w:pPr>
              <w:jc w:val="center"/>
            </w:pPr>
            <w:r>
              <w:rPr>
                <w:rFonts w:ascii="宋体" w:hAnsi="宋体" w:eastAsia="宋体"/>
                <w:sz w:val="16"/>
              </w:rPr>
              <w:t>军警部队慰问覆盖率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6A44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722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5245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229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E9F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338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990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FFDA8">
            <w:pPr>
              <w:jc w:val="center"/>
            </w:pPr>
            <w:r>
              <w:rPr>
                <w:rFonts w:ascii="宋体" w:hAnsi="宋体" w:eastAsia="宋体"/>
                <w:sz w:val="16"/>
              </w:rPr>
              <w:t>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AC276">
            <w:pPr>
              <w:jc w:val="center"/>
            </w:pPr>
            <w:r>
              <w:rPr>
                <w:rFonts w:ascii="宋体" w:hAnsi="宋体" w:eastAsia="宋体"/>
                <w:sz w:val="16"/>
              </w:rPr>
              <w:t>偏差原因分析：该项目完成情况较好，实际军警部队慰问覆盖率较高，因此指标出现正偏差。改进措施：基于当前良好表现，重新审视绩效目标，在以后绩效目标设置时设置更具挑战性的目标，以推动业务持续发展。</w:t>
            </w:r>
          </w:p>
        </w:tc>
      </w:tr>
      <w:tr w14:paraId="239500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755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D763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C1A50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CCB5C">
            <w:pPr>
              <w:jc w:val="center"/>
            </w:pPr>
            <w:r>
              <w:rPr>
                <w:rFonts w:ascii="宋体" w:hAnsi="宋体" w:eastAsia="宋体"/>
                <w:sz w:val="16"/>
              </w:rPr>
              <w:t>项目资金及时拨付率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30CF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85A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645A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708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899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EDC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78C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94FE2">
            <w:pPr>
              <w:jc w:val="center"/>
            </w:pPr>
            <w:r>
              <w:rPr>
                <w:rFonts w:ascii="宋体" w:hAnsi="宋体" w:eastAsia="宋体"/>
                <w:sz w:val="16"/>
              </w:rPr>
              <w:t>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B9131">
            <w:pPr>
              <w:jc w:val="center"/>
            </w:pPr>
            <w:r>
              <w:rPr>
                <w:rFonts w:ascii="宋体" w:hAnsi="宋体" w:eastAsia="宋体"/>
                <w:sz w:val="16"/>
              </w:rPr>
              <w:t>偏差原因分析：该项目完成情况较好，资金拨付比较及时，因此指标出现正偏差。改进措施：基于当前良好表现，重新审视绩效目标，在以后绩效目标设置时设置更具挑战性的目标，以推动业务持续发展。</w:t>
            </w:r>
          </w:p>
        </w:tc>
      </w:tr>
      <w:tr w14:paraId="0265B2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985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2AF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A91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393A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38772">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E21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8D5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EA0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7EF9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0FF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51224">
            <w:pPr>
              <w:jc w:val="center"/>
            </w:pPr>
            <w:r>
              <w:rPr>
                <w:rFonts w:ascii="宋体" w:hAnsi="宋体" w:eastAsia="宋体"/>
                <w:sz w:val="16"/>
              </w:rPr>
              <w:t>=2024年12月23日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59C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A8024">
            <w:pPr>
              <w:jc w:val="center"/>
            </w:pPr>
          </w:p>
        </w:tc>
      </w:tr>
      <w:tr w14:paraId="491E63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389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656C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959E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A7628">
            <w:pPr>
              <w:jc w:val="center"/>
            </w:pPr>
            <w:r>
              <w:rPr>
                <w:rFonts w:ascii="宋体" w:hAnsi="宋体" w:eastAsia="宋体"/>
                <w:sz w:val="16"/>
              </w:rPr>
              <w:t>军警部队慰问成本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7F612">
            <w:pPr>
              <w:jc w:val="center"/>
            </w:pPr>
            <w:r>
              <w:rPr>
                <w:rFonts w:ascii="宋体" w:hAnsi="宋体" w:eastAsia="宋体"/>
                <w:sz w:val="16"/>
              </w:rPr>
              <w:t>&lt;=2.5万元/次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BA9D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C96CD">
            <w:pPr>
              <w:jc w:val="center"/>
            </w:pPr>
            <w:r>
              <w:rPr>
                <w:rFonts w:ascii="宋体" w:hAnsi="宋体" w:eastAsia="宋体"/>
                <w:sz w:val="16"/>
              </w:rPr>
              <w:t>2.5万元/次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CC7B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19A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035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E1456">
            <w:pPr>
              <w:jc w:val="center"/>
            </w:pPr>
            <w:r>
              <w:rPr>
                <w:rFonts w:ascii="宋体" w:hAnsi="宋体" w:eastAsia="宋体"/>
                <w:sz w:val="16"/>
              </w:rPr>
              <w:t>=2.5万元/次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20A2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79D0E">
            <w:pPr>
              <w:jc w:val="center"/>
            </w:pPr>
          </w:p>
        </w:tc>
      </w:tr>
      <w:tr w14:paraId="770F25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393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6334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4896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57234">
            <w:pPr>
              <w:jc w:val="center"/>
            </w:pPr>
            <w:r>
              <w:rPr>
                <w:rFonts w:ascii="宋体" w:hAnsi="宋体" w:eastAsia="宋体"/>
                <w:sz w:val="16"/>
              </w:rPr>
              <w:t>切实有效保障了军地密切联系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1300B">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F5CBD">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B0C4F">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E06E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61D3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C5F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67BF1">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F0D5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2A382">
            <w:pPr>
              <w:jc w:val="center"/>
            </w:pPr>
          </w:p>
        </w:tc>
      </w:tr>
      <w:tr w14:paraId="6F867B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232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8C77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F7F3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C1A12">
            <w:pPr>
              <w:jc w:val="center"/>
            </w:pPr>
            <w:r>
              <w:rPr>
                <w:rFonts w:ascii="宋体" w:hAnsi="宋体" w:eastAsia="宋体"/>
                <w:sz w:val="16"/>
              </w:rPr>
              <w:t>军警人员满意度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18DB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3BF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FBF2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DA0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C30C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E7A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5D9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F47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5076D">
            <w:pPr>
              <w:jc w:val="center"/>
            </w:pPr>
            <w:r>
              <w:rPr>
                <w:rFonts w:ascii="宋体" w:hAnsi="宋体" w:eastAsia="宋体"/>
                <w:sz w:val="16"/>
              </w:rPr>
              <w:t>偏差原因分析：该项目完成情况较好，实际军警人员满意度较高，因此指标出现正偏差。改进措施：基于当前良好表现，重新审视绩效目标，在以后绩效目标设置时设置更具挑战性的目标，以推动业务持续发展。</w:t>
            </w:r>
          </w:p>
        </w:tc>
      </w:tr>
      <w:tr w14:paraId="27B3D3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0756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558C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4A28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F52D8E">
            <w:pPr>
              <w:jc w:val="center"/>
            </w:pPr>
            <w:r>
              <w:rPr>
                <w:rFonts w:ascii="宋体" w:hAnsi="宋体" w:eastAsia="宋体"/>
                <w:sz w:val="16"/>
              </w:rPr>
              <w:t>99分</w:t>
            </w:r>
          </w:p>
        </w:tc>
      </w:tr>
    </w:tbl>
    <w:p w14:paraId="3094E7C1">
      <w:r>
        <w:br w:type="page"/>
      </w:r>
    </w:p>
    <w:p w14:paraId="285F2D38">
      <w:pPr>
        <w:spacing w:line="640" w:lineRule="exact"/>
        <w:ind w:firstLine="640"/>
        <w:jc w:val="both"/>
        <w:outlineLvl w:val="2"/>
      </w:pPr>
      <w:r>
        <w:rPr>
          <w:rFonts w:ascii="黑体" w:hAnsi="黑体" w:eastAsia="黑体"/>
          <w:sz w:val="32"/>
        </w:rPr>
        <w:t>十二、其他需说明的事项</w:t>
      </w:r>
    </w:p>
    <w:p w14:paraId="00031FB5">
      <w:pPr>
        <w:spacing w:line="580" w:lineRule="exact"/>
        <w:ind w:firstLine="640"/>
        <w:jc w:val="both"/>
      </w:pPr>
      <w:r>
        <w:rPr>
          <w:rFonts w:ascii="仿宋_GB2312" w:hAnsi="仿宋_GB2312" w:eastAsia="仿宋_GB2312"/>
          <w:b w:val="0"/>
          <w:sz w:val="32"/>
        </w:rPr>
        <w:t>本年本单位SM项目2个，全年预算数774.76万元，全年执行数774.76万元。</w:t>
      </w:r>
    </w:p>
    <w:p w14:paraId="367A2619">
      <w:r>
        <w:br w:type="page"/>
      </w:r>
    </w:p>
    <w:p w14:paraId="22DAC4CD">
      <w:pPr>
        <w:spacing w:line="240" w:lineRule="auto"/>
        <w:jc w:val="center"/>
        <w:outlineLvl w:val="1"/>
      </w:pPr>
      <w:r>
        <w:rPr>
          <w:rFonts w:ascii="黑体" w:hAnsi="黑体" w:eastAsia="黑体"/>
          <w:sz w:val="32"/>
        </w:rPr>
        <w:t>第三部分 专业名词解释</w:t>
      </w:r>
    </w:p>
    <w:p w14:paraId="3C3249C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C6CC2F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98A083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499180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1E5EDD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CCB58E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C59C18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E482ED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D439E6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876EB4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3F86AC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CBEEC4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EA0DAD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796EC2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EEBF429">
      <w:r>
        <w:br w:type="page"/>
      </w:r>
    </w:p>
    <w:p w14:paraId="3AEC2781">
      <w:pPr>
        <w:spacing w:line="240" w:lineRule="auto"/>
        <w:jc w:val="center"/>
        <w:outlineLvl w:val="1"/>
      </w:pPr>
      <w:r>
        <w:rPr>
          <w:rFonts w:ascii="黑体" w:hAnsi="黑体" w:eastAsia="黑体"/>
          <w:sz w:val="32"/>
        </w:rPr>
        <w:t>第四部分 部门决算报表（见附表）</w:t>
      </w:r>
    </w:p>
    <w:p w14:paraId="3005F6F1">
      <w:pPr>
        <w:spacing w:line="240" w:lineRule="auto"/>
        <w:ind w:firstLine="640"/>
        <w:jc w:val="both"/>
      </w:pPr>
      <w:r>
        <w:rPr>
          <w:rFonts w:ascii="仿宋_GB2312" w:hAnsi="仿宋_GB2312" w:eastAsia="仿宋_GB2312"/>
          <w:b w:val="0"/>
          <w:sz w:val="32"/>
        </w:rPr>
        <w:t>一、《收入支出决算总表》</w:t>
      </w:r>
    </w:p>
    <w:p w14:paraId="6DEF7E06">
      <w:pPr>
        <w:spacing w:line="240" w:lineRule="auto"/>
        <w:ind w:firstLine="640"/>
        <w:jc w:val="both"/>
      </w:pPr>
      <w:r>
        <w:rPr>
          <w:rFonts w:ascii="仿宋_GB2312" w:hAnsi="仿宋_GB2312" w:eastAsia="仿宋_GB2312"/>
          <w:b w:val="0"/>
          <w:sz w:val="32"/>
        </w:rPr>
        <w:t>二、《收入决算表》</w:t>
      </w:r>
    </w:p>
    <w:p w14:paraId="57905C44">
      <w:pPr>
        <w:spacing w:line="240" w:lineRule="auto"/>
        <w:ind w:firstLine="640"/>
        <w:jc w:val="both"/>
      </w:pPr>
      <w:r>
        <w:rPr>
          <w:rFonts w:ascii="仿宋_GB2312" w:hAnsi="仿宋_GB2312" w:eastAsia="仿宋_GB2312"/>
          <w:b w:val="0"/>
          <w:sz w:val="32"/>
        </w:rPr>
        <w:t>三、《支出决算表》</w:t>
      </w:r>
    </w:p>
    <w:p w14:paraId="7C166442">
      <w:pPr>
        <w:spacing w:line="240" w:lineRule="auto"/>
        <w:ind w:firstLine="640"/>
        <w:jc w:val="both"/>
      </w:pPr>
      <w:r>
        <w:rPr>
          <w:rFonts w:ascii="仿宋_GB2312" w:hAnsi="仿宋_GB2312" w:eastAsia="仿宋_GB2312"/>
          <w:b w:val="0"/>
          <w:sz w:val="32"/>
        </w:rPr>
        <w:t>四、《财政拨款收入支出决算总表》</w:t>
      </w:r>
    </w:p>
    <w:p w14:paraId="7FD30D19">
      <w:pPr>
        <w:spacing w:line="240" w:lineRule="auto"/>
        <w:ind w:firstLine="640"/>
        <w:jc w:val="both"/>
      </w:pPr>
      <w:r>
        <w:rPr>
          <w:rFonts w:ascii="仿宋_GB2312" w:hAnsi="仿宋_GB2312" w:eastAsia="仿宋_GB2312"/>
          <w:b w:val="0"/>
          <w:sz w:val="32"/>
        </w:rPr>
        <w:t>五、《一般公共预算财政拨款支出决算表》</w:t>
      </w:r>
    </w:p>
    <w:p w14:paraId="469E0DE4">
      <w:pPr>
        <w:spacing w:line="240" w:lineRule="auto"/>
        <w:ind w:firstLine="640"/>
        <w:jc w:val="both"/>
      </w:pPr>
      <w:r>
        <w:rPr>
          <w:rFonts w:ascii="仿宋_GB2312" w:hAnsi="仿宋_GB2312" w:eastAsia="仿宋_GB2312"/>
          <w:b w:val="0"/>
          <w:sz w:val="32"/>
        </w:rPr>
        <w:t>六、《一般公共预算财政拨款基本支出决算表》</w:t>
      </w:r>
    </w:p>
    <w:p w14:paraId="07EA72C5">
      <w:pPr>
        <w:spacing w:line="240" w:lineRule="auto"/>
        <w:ind w:firstLine="640"/>
        <w:jc w:val="both"/>
      </w:pPr>
      <w:r>
        <w:rPr>
          <w:rFonts w:ascii="仿宋_GB2312" w:hAnsi="仿宋_GB2312" w:eastAsia="仿宋_GB2312"/>
          <w:b w:val="0"/>
          <w:sz w:val="32"/>
        </w:rPr>
        <w:t>七、《政府性基金预算财政拨款收入支出决算表》</w:t>
      </w:r>
    </w:p>
    <w:p w14:paraId="25792D0F">
      <w:pPr>
        <w:spacing w:line="240" w:lineRule="auto"/>
        <w:ind w:firstLine="640"/>
        <w:jc w:val="both"/>
      </w:pPr>
      <w:r>
        <w:rPr>
          <w:rFonts w:ascii="仿宋_GB2312" w:hAnsi="仿宋_GB2312" w:eastAsia="仿宋_GB2312"/>
          <w:b w:val="0"/>
          <w:sz w:val="32"/>
        </w:rPr>
        <w:t>八、《国有资本经营预算财政拨款收入支出决算表》</w:t>
      </w:r>
    </w:p>
    <w:p w14:paraId="0CB70556">
      <w:pPr>
        <w:spacing w:line="240" w:lineRule="auto"/>
        <w:ind w:firstLine="640"/>
        <w:jc w:val="both"/>
      </w:pPr>
      <w:r>
        <w:rPr>
          <w:rFonts w:ascii="仿宋_GB2312" w:hAnsi="仿宋_GB2312" w:eastAsia="仿宋_GB2312"/>
          <w:b w:val="0"/>
          <w:sz w:val="32"/>
        </w:rPr>
        <w:t>九、《财政拨款“三公”经费支出决算表》</w:t>
      </w:r>
    </w:p>
    <w:p w14:paraId="1B5AC45D">
      <w:pPr>
        <w:spacing w:line="240" w:lineRule="auto"/>
        <w:ind w:firstLine="640"/>
        <w:jc w:val="both"/>
      </w:pPr>
    </w:p>
    <w:p w14:paraId="0353999E">
      <w:pPr>
        <w:spacing w:line="240" w:lineRule="auto"/>
        <w:ind w:firstLine="640"/>
        <w:jc w:val="both"/>
      </w:pPr>
    </w:p>
    <w:p w14:paraId="13483A5B">
      <w:pPr>
        <w:spacing w:line="240" w:lineRule="auto"/>
        <w:ind w:firstLine="640"/>
        <w:jc w:val="both"/>
      </w:pPr>
    </w:p>
    <w:p w14:paraId="105C9E8A">
      <w:pPr>
        <w:spacing w:line="240" w:lineRule="auto"/>
        <w:ind w:firstLine="640"/>
        <w:jc w:val="both"/>
      </w:pPr>
    </w:p>
    <w:p w14:paraId="2D1960A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9DC438C"/>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534C47"/>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5B42296"/>
    <w:rsid w:val="38006E2C"/>
    <w:rsid w:val="3914510A"/>
    <w:rsid w:val="3B1220C9"/>
    <w:rsid w:val="3D5275AC"/>
    <w:rsid w:val="3EA7725F"/>
    <w:rsid w:val="3EC014A1"/>
    <w:rsid w:val="40834692"/>
    <w:rsid w:val="423A32B2"/>
    <w:rsid w:val="423C0CB4"/>
    <w:rsid w:val="427B5743"/>
    <w:rsid w:val="42E64542"/>
    <w:rsid w:val="45941555"/>
    <w:rsid w:val="464B7E04"/>
    <w:rsid w:val="464F7E64"/>
    <w:rsid w:val="46901EEE"/>
    <w:rsid w:val="469C74D2"/>
    <w:rsid w:val="47445515"/>
    <w:rsid w:val="4B4C0111"/>
    <w:rsid w:val="4BB23021"/>
    <w:rsid w:val="4F3F074E"/>
    <w:rsid w:val="50DB5F45"/>
    <w:rsid w:val="52F92565"/>
    <w:rsid w:val="543D17CB"/>
    <w:rsid w:val="55DA564E"/>
    <w:rsid w:val="55FC18C7"/>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A6934B6"/>
    <w:rsid w:val="6B68175F"/>
    <w:rsid w:val="6B8B5C99"/>
    <w:rsid w:val="6C9F20EB"/>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5819</Words>
  <Characters>6640</Characters>
  <Lines>0</Lines>
  <Paragraphs>0</Paragraphs>
  <TotalTime>26</TotalTime>
  <ScaleCrop>false</ScaleCrop>
  <LinksUpToDate>false</LinksUpToDate>
  <CharactersWithSpaces>6648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2025-08-27T05:14:17Z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