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塔什库尔干塔吉克自治县人民政府办公室2024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F5D520">
      <w:r>
        <w:br w:type="page"/>
      </w:r>
    </w:p>
    <w:p w14:paraId="1053B7C3">
      <w:pPr>
        <w:spacing w:line="640" w:lineRule="exact"/>
        <w:jc w:val="center"/>
        <w:outlineLvl w:val="1"/>
      </w:pPr>
      <w:r>
        <w:rPr>
          <w:rFonts w:ascii="黑体" w:hAnsi="黑体" w:eastAsia="黑体"/>
          <w:sz w:val="32"/>
        </w:rPr>
        <w:t>第一部分 单位概况</w:t>
      </w:r>
    </w:p>
    <w:p w14:paraId="5B29FC31">
      <w:pPr>
        <w:spacing w:line="640" w:lineRule="exact"/>
        <w:ind w:firstLine="640"/>
        <w:jc w:val="both"/>
        <w:outlineLvl w:val="2"/>
      </w:pPr>
      <w:r>
        <w:rPr>
          <w:rFonts w:ascii="黑体" w:hAnsi="黑体" w:eastAsia="黑体"/>
          <w:sz w:val="32"/>
        </w:rPr>
        <w:t>一、主要职能</w:t>
      </w:r>
    </w:p>
    <w:p w14:paraId="00100F78">
      <w:pPr>
        <w:spacing w:line="580" w:lineRule="exact"/>
        <w:ind w:firstLine="640"/>
        <w:jc w:val="both"/>
      </w:pPr>
      <w:r>
        <w:rPr>
          <w:rFonts w:ascii="仿宋_GB2312" w:hAnsi="仿宋_GB2312" w:eastAsia="仿宋_GB2312"/>
          <w:sz w:val="32"/>
        </w:rPr>
        <w:t>1.县政府办公室是县人民政府的办事机构，协助政府领导同志处理政府日常工作。</w:t>
      </w:r>
    </w:p>
    <w:p w14:paraId="1414451F">
      <w:pPr>
        <w:spacing w:line="580" w:lineRule="exact"/>
        <w:ind w:firstLine="640"/>
        <w:jc w:val="both"/>
      </w:pPr>
      <w:r>
        <w:rPr>
          <w:rFonts w:ascii="仿宋_GB2312" w:hAnsi="仿宋_GB2312" w:eastAsia="仿宋_GB2312"/>
          <w:sz w:val="32"/>
        </w:rPr>
        <w:t>2.根据以上职能调整，在确保完成各项协调任务的基础上，加强审核把关，督查落实和跟踪调研职能。</w:t>
      </w:r>
    </w:p>
    <w:p w14:paraId="67A490B2">
      <w:pPr>
        <w:spacing w:line="580" w:lineRule="exact"/>
        <w:ind w:firstLine="640"/>
        <w:jc w:val="both"/>
      </w:pPr>
      <w:r>
        <w:rPr>
          <w:rFonts w:ascii="仿宋_GB2312" w:hAnsi="仿宋_GB2312" w:eastAsia="仿宋_GB2312"/>
          <w:sz w:val="32"/>
        </w:rPr>
        <w:t>3.归口管理办公室、人民群众信访服务中心、人工影响天气工作领导小组办公室、民兵武器库、电子政务服务中心、机关事务服务中心。</w:t>
      </w:r>
    </w:p>
    <w:p w14:paraId="6553A667">
      <w:pPr>
        <w:spacing w:line="640" w:lineRule="exact"/>
        <w:ind w:firstLine="640"/>
        <w:jc w:val="both"/>
        <w:outlineLvl w:val="2"/>
      </w:pPr>
      <w:r>
        <w:rPr>
          <w:rFonts w:ascii="黑体" w:hAnsi="黑体" w:eastAsia="黑体"/>
          <w:sz w:val="32"/>
        </w:rPr>
        <w:t>二、机构设置及人员情况</w:t>
      </w:r>
    </w:p>
    <w:p w14:paraId="68D2B008">
      <w:pPr>
        <w:spacing w:line="580" w:lineRule="exact"/>
        <w:ind w:firstLine="640"/>
        <w:jc w:val="both"/>
      </w:pPr>
      <w:r>
        <w:rPr>
          <w:rFonts w:ascii="仿宋_GB2312" w:hAnsi="仿宋_GB2312" w:eastAsia="仿宋_GB2312"/>
          <w:sz w:val="32"/>
        </w:rPr>
        <w:t>塔什库尔干塔吉克自治县人民政府办公室2024年度，实有人数59人，其中：在职人员31人，减少4人；离休人员0人，增加0人；退休人员28人,增加0人。</w:t>
      </w:r>
    </w:p>
    <w:p w14:paraId="5E47FA2F">
      <w:pPr>
        <w:spacing w:line="580" w:lineRule="exact"/>
        <w:ind w:firstLine="640"/>
        <w:jc w:val="both"/>
      </w:pPr>
      <w:r>
        <w:rPr>
          <w:rFonts w:ascii="仿宋_GB2312" w:hAnsi="仿宋_GB2312" w:eastAsia="仿宋_GB2312"/>
          <w:sz w:val="32"/>
        </w:rPr>
        <w:t>单位无下属预算单位，下设10个科室，分别是：县长办公室、主任办公室、副主任办公室、副县长办公室、秘书室、文书室、收发室、财务室、电子政务服务办公室、机关事务服务办公室。</w:t>
      </w:r>
    </w:p>
    <w:p w14:paraId="5CFE34B7">
      <w:r>
        <w:br w:type="page"/>
      </w:r>
    </w:p>
    <w:p w14:paraId="210A6E9E">
      <w:pPr>
        <w:spacing w:line="240" w:lineRule="auto"/>
        <w:jc w:val="center"/>
        <w:outlineLvl w:val="1"/>
      </w:pPr>
      <w:r>
        <w:rPr>
          <w:rFonts w:ascii="黑体" w:hAnsi="黑体" w:eastAsia="黑体"/>
          <w:sz w:val="32"/>
        </w:rPr>
        <w:t>第二部分 部门决算情况说明</w:t>
      </w:r>
    </w:p>
    <w:p w14:paraId="334C95F7">
      <w:pPr>
        <w:spacing w:line="640" w:lineRule="exact"/>
        <w:ind w:firstLine="640"/>
        <w:jc w:val="both"/>
        <w:outlineLvl w:val="2"/>
      </w:pPr>
      <w:r>
        <w:rPr>
          <w:rFonts w:ascii="黑体" w:hAnsi="黑体" w:eastAsia="黑体"/>
          <w:sz w:val="32"/>
        </w:rPr>
        <w:t>一、收入支出决算总体情况说明</w:t>
      </w:r>
    </w:p>
    <w:p w14:paraId="45280519">
      <w:pPr>
        <w:spacing w:line="580" w:lineRule="exact"/>
        <w:ind w:firstLine="640"/>
        <w:jc w:val="both"/>
      </w:pPr>
      <w:r>
        <w:rPr>
          <w:rFonts w:ascii="仿宋_GB2312" w:hAnsi="仿宋_GB2312" w:eastAsia="仿宋_GB2312"/>
          <w:b/>
          <w:sz w:val="32"/>
        </w:rPr>
        <w:t>2024年度收入总计1,104.18万元，</w:t>
      </w:r>
      <w:r>
        <w:rPr>
          <w:rFonts w:ascii="仿宋_GB2312" w:hAnsi="仿宋_GB2312" w:eastAsia="仿宋_GB2312"/>
          <w:b w:val="0"/>
          <w:sz w:val="32"/>
        </w:rPr>
        <w:t>其中：本年收入合计1,104.18万元，使用非财政拨款结余（含专用结余）0.00万元，年初结转和结余0.00万元。</w:t>
      </w:r>
    </w:p>
    <w:p w14:paraId="0AF22F37">
      <w:pPr>
        <w:spacing w:line="580" w:lineRule="exact"/>
        <w:ind w:firstLine="640"/>
        <w:jc w:val="both"/>
      </w:pPr>
      <w:r>
        <w:rPr>
          <w:rFonts w:ascii="仿宋_GB2312" w:hAnsi="仿宋_GB2312" w:eastAsia="仿宋_GB2312"/>
          <w:b/>
          <w:sz w:val="32"/>
        </w:rPr>
        <w:t>2024年度支出总计1,104.18万元，</w:t>
      </w:r>
      <w:r>
        <w:rPr>
          <w:rFonts w:ascii="仿宋_GB2312" w:hAnsi="仿宋_GB2312" w:eastAsia="仿宋_GB2312"/>
          <w:b w:val="0"/>
          <w:sz w:val="32"/>
        </w:rPr>
        <w:t>其中：本年支出合计1,104.18万元，结余分配0.00万元，年末结转和结余0.00万元。</w:t>
      </w:r>
    </w:p>
    <w:p w14:paraId="4F98451B">
      <w:pPr>
        <w:spacing w:line="580" w:lineRule="exact"/>
        <w:ind w:firstLine="640"/>
        <w:jc w:val="both"/>
      </w:pPr>
      <w:r>
        <w:rPr>
          <w:rFonts w:ascii="仿宋_GB2312" w:hAnsi="仿宋_GB2312" w:eastAsia="仿宋_GB2312"/>
          <w:b w:val="0"/>
          <w:sz w:val="32"/>
        </w:rPr>
        <w:t>收入支出总体与上年相比，增加123.59万元，增长12.60%，主要原因是：本年度增加政府会议系统公文传输</w:t>
      </w:r>
      <w:r>
        <w:rPr>
          <w:rFonts w:hint="eastAsia" w:ascii="仿宋_GB2312" w:hAnsi="仿宋_GB2312" w:eastAsia="仿宋_GB2312"/>
          <w:b w:val="0"/>
          <w:sz w:val="32"/>
          <w:lang w:eastAsia="zh-CN"/>
        </w:rPr>
        <w:t>系统运</w:t>
      </w:r>
      <w:r>
        <w:rPr>
          <w:rFonts w:hint="eastAsia" w:ascii="仿宋_GB2312" w:hAnsi="仿宋_GB2312" w:eastAsia="仿宋_GB2312"/>
          <w:b w:val="0"/>
          <w:sz w:val="32"/>
          <w:lang w:val="en-US" w:eastAsia="zh-CN"/>
        </w:rPr>
        <w:t>行</w:t>
      </w:r>
      <w:r>
        <w:rPr>
          <w:rFonts w:ascii="仿宋_GB2312" w:hAnsi="仿宋_GB2312" w:eastAsia="仿宋_GB2312"/>
          <w:b w:val="0"/>
          <w:sz w:val="32"/>
        </w:rPr>
        <w:t>维护经费，2024年为民办实事工作经费，关于解决</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人民政府人民群众信访服务中心经费等项目。</w:t>
      </w:r>
    </w:p>
    <w:p w14:paraId="4A8A8D93">
      <w:pPr>
        <w:spacing w:line="640" w:lineRule="exact"/>
        <w:ind w:firstLine="640"/>
        <w:jc w:val="both"/>
        <w:outlineLvl w:val="2"/>
      </w:pPr>
      <w:r>
        <w:rPr>
          <w:rFonts w:ascii="黑体" w:hAnsi="黑体" w:eastAsia="黑体"/>
          <w:sz w:val="32"/>
        </w:rPr>
        <w:t>二、收入决算情况说明</w:t>
      </w:r>
    </w:p>
    <w:p w14:paraId="6E38B338">
      <w:pPr>
        <w:spacing w:line="580" w:lineRule="exact"/>
        <w:ind w:firstLine="640"/>
        <w:jc w:val="both"/>
      </w:pPr>
      <w:r>
        <w:rPr>
          <w:rFonts w:ascii="仿宋_GB2312" w:hAnsi="仿宋_GB2312" w:eastAsia="仿宋_GB2312"/>
          <w:b/>
          <w:sz w:val="32"/>
        </w:rPr>
        <w:t>本年收入1,104.18万元，</w:t>
      </w:r>
      <w:r>
        <w:rPr>
          <w:rFonts w:ascii="仿宋_GB2312" w:hAnsi="仿宋_GB2312" w:eastAsia="仿宋_GB2312"/>
          <w:b w:val="0"/>
          <w:sz w:val="32"/>
        </w:rPr>
        <w:t>其中：财政拨款收入1,104.18万元，占100.00%；上级补助收入0.00万元，占0.00%；事业收入0.00万元，占0.00%；经营收入0.00万元，占0.00%；附属单位上缴收入0.00万元，占0.00%；其他收入0.00万元，占0.00%。</w:t>
      </w:r>
    </w:p>
    <w:p w14:paraId="1CC2AEE3">
      <w:pPr>
        <w:spacing w:line="640" w:lineRule="exact"/>
        <w:ind w:firstLine="640"/>
        <w:jc w:val="both"/>
        <w:outlineLvl w:val="2"/>
      </w:pPr>
      <w:r>
        <w:rPr>
          <w:rFonts w:ascii="黑体" w:hAnsi="黑体" w:eastAsia="黑体"/>
          <w:sz w:val="32"/>
        </w:rPr>
        <w:t>三、支出决算情况说明</w:t>
      </w:r>
    </w:p>
    <w:p w14:paraId="42E0AC37">
      <w:pPr>
        <w:spacing w:line="580" w:lineRule="exact"/>
        <w:ind w:firstLine="640"/>
        <w:jc w:val="both"/>
      </w:pPr>
      <w:r>
        <w:rPr>
          <w:rFonts w:ascii="仿宋_GB2312" w:hAnsi="仿宋_GB2312" w:eastAsia="仿宋_GB2312"/>
          <w:b/>
          <w:sz w:val="32"/>
        </w:rPr>
        <w:t>本年支出1,104.18万元，</w:t>
      </w:r>
      <w:r>
        <w:rPr>
          <w:rFonts w:ascii="仿宋_GB2312" w:hAnsi="仿宋_GB2312" w:eastAsia="仿宋_GB2312"/>
          <w:b w:val="0"/>
          <w:sz w:val="32"/>
        </w:rPr>
        <w:t>其中：基本支出1,041.86万元，占94.36%；项目支出62.32万元，占5.64%；上缴上级支出0.00万元，占0.00%；经营支出0.00万元，占0.00%；对附属单位补助支出0.00万元，占0.00%。</w:t>
      </w:r>
    </w:p>
    <w:p w14:paraId="1381FFBF">
      <w:pPr>
        <w:spacing w:line="640" w:lineRule="exact"/>
        <w:ind w:firstLine="640"/>
        <w:jc w:val="both"/>
        <w:outlineLvl w:val="2"/>
      </w:pPr>
      <w:r>
        <w:rPr>
          <w:rFonts w:ascii="黑体" w:hAnsi="黑体" w:eastAsia="黑体"/>
          <w:sz w:val="32"/>
        </w:rPr>
        <w:t>四、财政拨款收入支出决算总体情况说明</w:t>
      </w:r>
    </w:p>
    <w:p w14:paraId="041EF1BA">
      <w:pPr>
        <w:spacing w:line="580" w:lineRule="exact"/>
        <w:ind w:firstLine="640"/>
        <w:jc w:val="both"/>
      </w:pPr>
      <w:r>
        <w:rPr>
          <w:rFonts w:ascii="仿宋_GB2312" w:hAnsi="仿宋_GB2312" w:eastAsia="仿宋_GB2312"/>
          <w:b/>
          <w:sz w:val="32"/>
        </w:rPr>
        <w:t>2024年度财政拨款收入总计1,104.18万元，</w:t>
      </w:r>
      <w:r>
        <w:rPr>
          <w:rFonts w:ascii="仿宋_GB2312" w:hAnsi="仿宋_GB2312" w:eastAsia="仿宋_GB2312"/>
          <w:b w:val="0"/>
          <w:sz w:val="32"/>
        </w:rPr>
        <w:t>其中：年初财政拨款结转和结余0.00万元，本年财政拨款收入1,104.18万元。</w:t>
      </w:r>
      <w:r>
        <w:rPr>
          <w:rFonts w:ascii="仿宋_GB2312" w:hAnsi="仿宋_GB2312" w:eastAsia="仿宋_GB2312"/>
          <w:b/>
          <w:sz w:val="32"/>
        </w:rPr>
        <w:t>财政拨款支出总计1,104.18万元，</w:t>
      </w:r>
      <w:r>
        <w:rPr>
          <w:rFonts w:ascii="仿宋_GB2312" w:hAnsi="仿宋_GB2312" w:eastAsia="仿宋_GB2312"/>
          <w:b w:val="0"/>
          <w:sz w:val="32"/>
        </w:rPr>
        <w:t>其中：年末财政拨款结转和结余0.00万元，本年财政拨款支出1,104.18万元。</w:t>
      </w:r>
    </w:p>
    <w:p w14:paraId="0D6290C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增加123.59万元，增长12.60%，主要原因是：本年度增加政府会议系统公文传输系统运</w:t>
      </w:r>
      <w:r>
        <w:rPr>
          <w:rFonts w:hint="eastAsia" w:ascii="仿宋_GB2312" w:hAnsi="仿宋_GB2312" w:eastAsia="仿宋_GB2312"/>
          <w:b w:val="0"/>
          <w:sz w:val="32"/>
          <w:lang w:val="en-US" w:eastAsia="zh-CN"/>
        </w:rPr>
        <w:t>行</w:t>
      </w:r>
      <w:r>
        <w:rPr>
          <w:rFonts w:ascii="仿宋_GB2312" w:hAnsi="仿宋_GB2312" w:eastAsia="仿宋_GB2312"/>
          <w:b w:val="0"/>
          <w:sz w:val="32"/>
        </w:rPr>
        <w:t>维护经费，2024年为民办实事工作经费，关于解决</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人民政府人民群众信访服务中心经费等项目。</w:t>
      </w:r>
      <w:r>
        <w:rPr>
          <w:rFonts w:ascii="仿宋_GB2312" w:hAnsi="仿宋_GB2312" w:eastAsia="仿宋_GB2312"/>
          <w:b/>
          <w:sz w:val="32"/>
        </w:rPr>
        <w:t>与年初预算相比，</w:t>
      </w:r>
      <w:r>
        <w:rPr>
          <w:rFonts w:ascii="仿宋_GB2312" w:hAnsi="仿宋_GB2312" w:eastAsia="仿宋_GB2312"/>
          <w:b w:val="0"/>
          <w:sz w:val="32"/>
        </w:rPr>
        <w:t>年初预算数1,102.31万元，决算数1,104.18万元，预决算差异率0.17%，主要原因是：年中追加政府会议系统公文传输系统运</w:t>
      </w:r>
      <w:r>
        <w:rPr>
          <w:rFonts w:hint="eastAsia" w:ascii="仿宋_GB2312" w:hAnsi="仿宋_GB2312" w:eastAsia="仿宋_GB2312"/>
          <w:b w:val="0"/>
          <w:sz w:val="32"/>
          <w:lang w:val="en-US" w:eastAsia="zh-CN"/>
        </w:rPr>
        <w:t>行</w:t>
      </w:r>
      <w:r>
        <w:rPr>
          <w:rFonts w:ascii="仿宋_GB2312" w:hAnsi="仿宋_GB2312" w:eastAsia="仿宋_GB2312"/>
          <w:b w:val="0"/>
          <w:sz w:val="32"/>
        </w:rPr>
        <w:t>维护项目，导致预决算存在差异。</w:t>
      </w:r>
    </w:p>
    <w:p w14:paraId="24D3E168">
      <w:pPr>
        <w:spacing w:line="640" w:lineRule="exact"/>
        <w:ind w:firstLine="640"/>
        <w:jc w:val="both"/>
        <w:outlineLvl w:val="2"/>
      </w:pPr>
      <w:r>
        <w:rPr>
          <w:rFonts w:ascii="黑体" w:hAnsi="黑体" w:eastAsia="黑体"/>
          <w:sz w:val="32"/>
        </w:rPr>
        <w:t>五、一般公共预算财政拨款支出决算情况说明</w:t>
      </w:r>
    </w:p>
    <w:p w14:paraId="317CA776">
      <w:pPr>
        <w:spacing w:line="640" w:lineRule="exact"/>
        <w:ind w:firstLine="640"/>
        <w:jc w:val="both"/>
        <w:outlineLvl w:val="3"/>
      </w:pPr>
      <w:r>
        <w:rPr>
          <w:rFonts w:ascii="楷体_GB2312" w:hAnsi="楷体_GB2312" w:eastAsia="楷体_GB2312"/>
          <w:b/>
          <w:sz w:val="32"/>
        </w:rPr>
        <w:t>（一）一般公共预算财政拨款支出决算总体情况</w:t>
      </w:r>
    </w:p>
    <w:p w14:paraId="198A0AF9">
      <w:pPr>
        <w:spacing w:line="580" w:lineRule="exact"/>
        <w:ind w:firstLine="640"/>
        <w:jc w:val="both"/>
      </w:pPr>
      <w:r>
        <w:rPr>
          <w:rFonts w:ascii="仿宋_GB2312" w:hAnsi="仿宋_GB2312" w:eastAsia="仿宋_GB2312"/>
          <w:b/>
          <w:sz w:val="32"/>
        </w:rPr>
        <w:t>2024年度一般公共预算财政拨款支出1,104.18万元，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增加123.59万元，增长12.60%，主要原因是：本年度增加政府会议系统公文传输系统运</w:t>
      </w:r>
      <w:r>
        <w:rPr>
          <w:rFonts w:hint="eastAsia" w:ascii="仿宋_GB2312" w:hAnsi="仿宋_GB2312" w:eastAsia="仿宋_GB2312"/>
          <w:b w:val="0"/>
          <w:sz w:val="32"/>
          <w:lang w:val="en-US" w:eastAsia="zh-CN"/>
        </w:rPr>
        <w:t>行</w:t>
      </w:r>
      <w:r>
        <w:rPr>
          <w:rFonts w:ascii="仿宋_GB2312" w:hAnsi="仿宋_GB2312" w:eastAsia="仿宋_GB2312"/>
          <w:b w:val="0"/>
          <w:sz w:val="32"/>
        </w:rPr>
        <w:t>维护经费，2024年为民办实事工作经费，关于解决</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人民政府人民群众信访服务中心经费等项目。</w:t>
      </w:r>
      <w:r>
        <w:rPr>
          <w:rFonts w:ascii="仿宋_GB2312" w:hAnsi="仿宋_GB2312" w:eastAsia="仿宋_GB2312"/>
          <w:b/>
          <w:sz w:val="32"/>
        </w:rPr>
        <w:t>与年初预算相比,</w:t>
      </w:r>
      <w:r>
        <w:rPr>
          <w:rFonts w:ascii="仿宋_GB2312" w:hAnsi="仿宋_GB2312" w:eastAsia="仿宋_GB2312"/>
          <w:b w:val="0"/>
          <w:sz w:val="32"/>
        </w:rPr>
        <w:t>年初预算数1,102.31万元，决算数1,104.18万元，预决算差异率0.17%，主要原因是：年中追加政府会议系统公文传输系统运</w:t>
      </w:r>
      <w:r>
        <w:rPr>
          <w:rFonts w:hint="eastAsia" w:ascii="仿宋_GB2312" w:hAnsi="仿宋_GB2312" w:eastAsia="仿宋_GB2312"/>
          <w:b w:val="0"/>
          <w:sz w:val="32"/>
          <w:lang w:val="en-US" w:eastAsia="zh-CN"/>
        </w:rPr>
        <w:t>行</w:t>
      </w:r>
      <w:r>
        <w:rPr>
          <w:rFonts w:ascii="仿宋_GB2312" w:hAnsi="仿宋_GB2312" w:eastAsia="仿宋_GB2312"/>
          <w:b w:val="0"/>
          <w:sz w:val="32"/>
        </w:rPr>
        <w:t>维护项目，导致预决算存在差异。</w:t>
      </w:r>
    </w:p>
    <w:p w14:paraId="167E2128">
      <w:pPr>
        <w:spacing w:line="640" w:lineRule="exact"/>
        <w:ind w:firstLine="640"/>
        <w:jc w:val="both"/>
        <w:outlineLvl w:val="3"/>
      </w:pPr>
      <w:r>
        <w:rPr>
          <w:rFonts w:ascii="楷体_GB2312" w:hAnsi="楷体_GB2312" w:eastAsia="楷体_GB2312"/>
          <w:b/>
          <w:sz w:val="32"/>
        </w:rPr>
        <w:t>（二）一般公共预算财政拨款支出决算结构情况</w:t>
      </w:r>
    </w:p>
    <w:p w14:paraId="023A1F80">
      <w:pPr>
        <w:spacing w:line="580" w:lineRule="exact"/>
        <w:ind w:firstLine="640"/>
        <w:jc w:val="both"/>
      </w:pPr>
      <w:r>
        <w:rPr>
          <w:rFonts w:ascii="仿宋_GB2312" w:hAnsi="仿宋_GB2312" w:eastAsia="仿宋_GB2312"/>
          <w:b w:val="0"/>
          <w:sz w:val="32"/>
        </w:rPr>
        <w:t>1.一般公共服务支出(类)791.64万元,占71.69%。</w:t>
      </w:r>
    </w:p>
    <w:p w14:paraId="18DD1AC2">
      <w:pPr>
        <w:spacing w:line="580" w:lineRule="exact"/>
        <w:ind w:firstLine="640"/>
        <w:jc w:val="both"/>
      </w:pPr>
      <w:r>
        <w:rPr>
          <w:rFonts w:ascii="仿宋_GB2312" w:hAnsi="仿宋_GB2312" w:eastAsia="仿宋_GB2312"/>
          <w:b w:val="0"/>
          <w:sz w:val="32"/>
        </w:rPr>
        <w:t>2.社会保障和就业支出(类)170.59万元,占15.45%。</w:t>
      </w:r>
    </w:p>
    <w:p w14:paraId="14ECFDA3">
      <w:pPr>
        <w:spacing w:line="580" w:lineRule="exact"/>
        <w:ind w:firstLine="640"/>
        <w:jc w:val="both"/>
      </w:pPr>
      <w:r>
        <w:rPr>
          <w:rFonts w:ascii="仿宋_GB2312" w:hAnsi="仿宋_GB2312" w:eastAsia="仿宋_GB2312"/>
          <w:b w:val="0"/>
          <w:sz w:val="32"/>
        </w:rPr>
        <w:t>3.卫生健康支出(类)36.10万元,占3.27%。</w:t>
      </w:r>
    </w:p>
    <w:p w14:paraId="50E102DE">
      <w:pPr>
        <w:spacing w:line="580" w:lineRule="exact"/>
        <w:ind w:firstLine="640"/>
        <w:jc w:val="both"/>
      </w:pPr>
      <w:r>
        <w:rPr>
          <w:rFonts w:ascii="仿宋_GB2312" w:hAnsi="仿宋_GB2312" w:eastAsia="仿宋_GB2312"/>
          <w:b w:val="0"/>
          <w:sz w:val="32"/>
        </w:rPr>
        <w:t>4.农林水支出(类)31.02万元,占2.81%。</w:t>
      </w:r>
    </w:p>
    <w:p w14:paraId="36934DF4">
      <w:pPr>
        <w:spacing w:line="580" w:lineRule="exact"/>
        <w:ind w:firstLine="640"/>
        <w:jc w:val="both"/>
      </w:pPr>
      <w:r>
        <w:rPr>
          <w:rFonts w:ascii="仿宋_GB2312" w:hAnsi="仿宋_GB2312" w:eastAsia="仿宋_GB2312"/>
          <w:b w:val="0"/>
          <w:sz w:val="32"/>
        </w:rPr>
        <w:t>5.住房保障支出(类)64.84万元,占5.87%。</w:t>
      </w:r>
    </w:p>
    <w:p w14:paraId="3CECB8DC">
      <w:pPr>
        <w:spacing w:line="580" w:lineRule="exact"/>
        <w:ind w:firstLine="640"/>
        <w:jc w:val="both"/>
      </w:pPr>
      <w:r>
        <w:rPr>
          <w:rFonts w:ascii="仿宋_GB2312" w:hAnsi="仿宋_GB2312" w:eastAsia="仿宋_GB2312"/>
          <w:b w:val="0"/>
          <w:sz w:val="32"/>
        </w:rPr>
        <w:t>6.其他支出(类)10.00万元,占0.91%。</w:t>
      </w:r>
    </w:p>
    <w:p w14:paraId="18DDC044">
      <w:pPr>
        <w:spacing w:line="640" w:lineRule="exact"/>
        <w:ind w:firstLine="640"/>
        <w:jc w:val="both"/>
        <w:outlineLvl w:val="3"/>
      </w:pPr>
      <w:r>
        <w:rPr>
          <w:rFonts w:ascii="楷体_GB2312" w:hAnsi="楷体_GB2312" w:eastAsia="楷体_GB2312"/>
          <w:b/>
          <w:sz w:val="32"/>
        </w:rPr>
        <w:t>（三）一般公共预算财政拨款支出决算具体情况</w:t>
      </w:r>
    </w:p>
    <w:p w14:paraId="0003AAEA">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1.一般公共服务支出(类)政府办公厅（室）及相关机构事务(款)行政运行(项):支出决算数为396.53万元，比上年决算增加57.38万元，增长16.92%,主要原因是：本年在职人员工资调增，导致相关人员经费较上年有所增加。</w:t>
      </w:r>
    </w:p>
    <w:p w14:paraId="1B417A19">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2.一般公共服务支出(类)政府办公厅（室）及相关机构事务(款)事业运行(项):支出决算数为338.45万元，比上年决算减少2.87万元，下降0.84%,主要原因是：本年在职人员减少，相应人员经费较上年减少。</w:t>
      </w:r>
    </w:p>
    <w:p w14:paraId="47AB0A7F">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56.67万元，比上年决算增加33.67万元，增长146.39%,主要原因是：本年增加政府会议系统公文传输系统运维护项目。</w:t>
      </w:r>
    </w:p>
    <w:p w14:paraId="76EA04B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4.社会保障和就业支出(类)行政事业单位养老支出(款)行政单位离退休(项):支出决算数为36.31万元，比上年决算减少8.67万元，下降19.28%,主要原因是：本年</w:t>
      </w:r>
      <w:r>
        <w:rPr>
          <w:rFonts w:hint="eastAsia" w:ascii="仿宋_GB2312" w:hAnsi="仿宋_GB2312" w:eastAsia="仿宋_GB2312"/>
          <w:b w:val="0"/>
          <w:sz w:val="32"/>
          <w:lang w:val="en-US" w:eastAsia="zh-CN"/>
        </w:rPr>
        <w:t>未补发退休人员的基础绩效</w:t>
      </w:r>
      <w:r>
        <w:rPr>
          <w:rFonts w:ascii="仿宋_GB2312" w:hAnsi="仿宋_GB2312" w:eastAsia="仿宋_GB2312"/>
          <w:b w:val="0"/>
          <w:sz w:val="32"/>
        </w:rPr>
        <w:t>，导致经费较上年减少。</w:t>
      </w:r>
    </w:p>
    <w:p w14:paraId="711102A0">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75.47万元，比上年决算增加9.48万元，增长14.37%,主要原因是：本年在职人员工资基数调增，养老缴费基数上涨，相应支出增加。</w:t>
      </w:r>
    </w:p>
    <w:p w14:paraId="73B4ECB4">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6.社会保障和就业支出(类)行政事业单位养老支出(款)机关事业单位职业年金缴费支出(项):支出决算数为58.80万元，比上年决算增加58.80万元，增长100.00%,主要原因是：本年增加做实调出人员职业年金缴费。</w:t>
      </w:r>
    </w:p>
    <w:p w14:paraId="3977A4DB">
      <w:pPr>
        <w:spacing w:line="580" w:lineRule="exact"/>
        <w:ind w:firstLine="640"/>
        <w:jc w:val="both"/>
      </w:pPr>
      <w:r>
        <w:rPr>
          <w:rFonts w:ascii="仿宋_GB2312" w:hAnsi="仿宋_GB2312" w:eastAsia="仿宋_GB2312"/>
          <w:b w:val="0"/>
          <w:sz w:val="32"/>
        </w:rPr>
        <w:t>7.社会保障和就业支出(类)社会福利(款)殡葬(项):支出决算数为0.00万元，比上年决算减少60.25万元，下降100.00%,主要原因是：本年度无死亡人员，减少殡葬经费。</w:t>
      </w:r>
    </w:p>
    <w:p w14:paraId="24E9ABF2">
      <w:pPr>
        <w:spacing w:line="580" w:lineRule="exact"/>
        <w:ind w:firstLine="640"/>
        <w:jc w:val="both"/>
      </w:pPr>
      <w:r>
        <w:rPr>
          <w:rFonts w:ascii="仿宋_GB2312" w:hAnsi="仿宋_GB2312" w:eastAsia="仿宋_GB2312"/>
          <w:b w:val="0"/>
          <w:sz w:val="32"/>
        </w:rPr>
        <w:t>8.卫生健康支出(类)行政事业单位医疗(款)行政单位医疗(项):支出决算数为32.15万元，比上年决算减少10.70万元，下降24.97%,主要原因是：本年在职人员减少，行政单位医疗较上年减少。</w:t>
      </w:r>
    </w:p>
    <w:p w14:paraId="7DB23B1E">
      <w:pPr>
        <w:spacing w:line="580" w:lineRule="exact"/>
        <w:ind w:firstLine="640"/>
        <w:jc w:val="both"/>
      </w:pPr>
      <w:r>
        <w:rPr>
          <w:rFonts w:ascii="仿宋_GB2312" w:hAnsi="仿宋_GB2312" w:eastAsia="仿宋_GB2312"/>
          <w:b w:val="0"/>
          <w:sz w:val="32"/>
        </w:rPr>
        <w:t>9.卫生健康支出(类)行政事业单位医疗(款)公务员医疗补助(项):支出决算数为3.95万元，比上年决算减少4.22万元，下降51.65%,主要原因是：本年在职人员减少，公务员医疗补助较上年减少。</w:t>
      </w:r>
    </w:p>
    <w:p w14:paraId="665BB5AB">
      <w:pPr>
        <w:spacing w:line="580" w:lineRule="exact"/>
        <w:ind w:firstLine="640"/>
        <w:jc w:val="both"/>
      </w:pPr>
      <w:r>
        <w:rPr>
          <w:rFonts w:ascii="仿宋_GB2312" w:hAnsi="仿宋_GB2312" w:eastAsia="仿宋_GB2312"/>
          <w:b w:val="0"/>
          <w:sz w:val="32"/>
        </w:rPr>
        <w:t>10.农林水支出(类)农业农村(款)事业运行(项):支出决算数为31.02万元，比上年决算增加31.02万元，增长100.00%,主要原因是：本年度增加抚恤金，导致经费较上年有所增加。</w:t>
      </w:r>
    </w:p>
    <w:p w14:paraId="587FDBC4">
      <w:pPr>
        <w:spacing w:line="580" w:lineRule="exact"/>
        <w:ind w:firstLine="640"/>
        <w:jc w:val="both"/>
      </w:pPr>
      <w:r>
        <w:rPr>
          <w:rFonts w:ascii="仿宋_GB2312" w:hAnsi="仿宋_GB2312" w:eastAsia="仿宋_GB2312"/>
          <w:b w:val="0"/>
          <w:sz w:val="32"/>
        </w:rPr>
        <w:t>11.住房保障支出(类)住房改革支出(款)住房公积金(项):支出决算数为64.84万元，比上年决算增加9.96万元，增长18.15%,主要原因是：本年在职人员工资基数调增，公积金缴费基数上涨，相应支出增加。</w:t>
      </w:r>
    </w:p>
    <w:p w14:paraId="32700690">
      <w:pPr>
        <w:spacing w:line="580" w:lineRule="exact"/>
        <w:ind w:firstLine="640"/>
        <w:jc w:val="both"/>
      </w:pPr>
      <w:r>
        <w:rPr>
          <w:rFonts w:ascii="仿宋_GB2312" w:hAnsi="仿宋_GB2312" w:eastAsia="仿宋_GB2312"/>
          <w:b w:val="0"/>
          <w:sz w:val="32"/>
        </w:rPr>
        <w:t>12.其他支出(类)其他支出(款)其他支出(项):支出决算数为10.00万元，比上年决算增加10.00万元，增长100.00%,主要原因是：本年增加为民</w:t>
      </w:r>
      <w:r>
        <w:rPr>
          <w:rFonts w:hint="eastAsia" w:ascii="仿宋_GB2312" w:hAnsi="仿宋_GB2312" w:eastAsia="仿宋_GB2312"/>
          <w:b w:val="0"/>
          <w:sz w:val="32"/>
          <w:lang w:eastAsia="zh-CN"/>
        </w:rPr>
        <w:t>办实事</w:t>
      </w:r>
      <w:r>
        <w:rPr>
          <w:rFonts w:ascii="仿宋_GB2312" w:hAnsi="仿宋_GB2312" w:eastAsia="仿宋_GB2312"/>
          <w:b w:val="0"/>
          <w:sz w:val="32"/>
        </w:rPr>
        <w:t>经费。</w:t>
      </w:r>
    </w:p>
    <w:p w14:paraId="6E433D9F">
      <w:pPr>
        <w:spacing w:line="640" w:lineRule="exact"/>
        <w:ind w:firstLine="640"/>
        <w:jc w:val="both"/>
        <w:outlineLvl w:val="2"/>
      </w:pPr>
      <w:r>
        <w:rPr>
          <w:rFonts w:ascii="黑体" w:hAnsi="黑体" w:eastAsia="黑体"/>
          <w:sz w:val="32"/>
        </w:rPr>
        <w:t>六、一般公共预算财政拨款基本支出决算情况说明</w:t>
      </w:r>
    </w:p>
    <w:p w14:paraId="464A468C">
      <w:pPr>
        <w:spacing w:line="580" w:lineRule="exact"/>
        <w:ind w:firstLine="640"/>
        <w:jc w:val="both"/>
      </w:pPr>
      <w:r>
        <w:rPr>
          <w:rFonts w:ascii="仿宋_GB2312" w:hAnsi="仿宋_GB2312" w:eastAsia="仿宋_GB2312"/>
          <w:b w:val="0"/>
          <w:sz w:val="32"/>
        </w:rPr>
        <w:t>2024年度一般公共预算财政拨款基本支出1,041.86万元，其中：</w:t>
      </w:r>
      <w:r>
        <w:rPr>
          <w:rFonts w:ascii="仿宋_GB2312" w:hAnsi="仿宋_GB2312" w:eastAsia="仿宋_GB2312"/>
          <w:b/>
          <w:sz w:val="32"/>
        </w:rPr>
        <w:t>人员经费859.74万元，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1642ADE4">
      <w:pPr>
        <w:spacing w:line="580" w:lineRule="exact"/>
        <w:ind w:firstLine="640"/>
        <w:jc w:val="both"/>
      </w:pPr>
      <w:r>
        <w:rPr>
          <w:rFonts w:ascii="仿宋_GB2312" w:hAnsi="仿宋_GB2312" w:eastAsia="仿宋_GB2312"/>
          <w:b/>
          <w:sz w:val="32"/>
        </w:rPr>
        <w:t>公用经费182.12万元，</w:t>
      </w:r>
      <w:r>
        <w:rPr>
          <w:rFonts w:ascii="仿宋_GB2312" w:hAnsi="仿宋_GB2312" w:eastAsia="仿宋_GB2312"/>
          <w:b w:val="0"/>
          <w:sz w:val="32"/>
        </w:rPr>
        <w:t>包括：办公费、水费、电费、邮电费、取暖费、差旅费、委托业务费、公务用车运行维护费。</w:t>
      </w:r>
    </w:p>
    <w:p w14:paraId="1D64A16D">
      <w:pPr>
        <w:spacing w:line="640" w:lineRule="exact"/>
        <w:ind w:firstLine="640"/>
        <w:jc w:val="both"/>
        <w:outlineLvl w:val="2"/>
      </w:pPr>
      <w:r>
        <w:rPr>
          <w:rFonts w:ascii="黑体" w:hAnsi="黑体" w:eastAsia="黑体"/>
          <w:sz w:val="32"/>
        </w:rPr>
        <w:t>七、政府性基金预算财政拨款收入支出决算情况说明</w:t>
      </w:r>
    </w:p>
    <w:p w14:paraId="33E5463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DCA927D">
      <w:pPr>
        <w:spacing w:line="640" w:lineRule="exact"/>
        <w:ind w:firstLine="640"/>
        <w:jc w:val="both"/>
        <w:outlineLvl w:val="2"/>
      </w:pPr>
      <w:r>
        <w:rPr>
          <w:rFonts w:ascii="黑体" w:hAnsi="黑体" w:eastAsia="黑体"/>
          <w:sz w:val="32"/>
        </w:rPr>
        <w:t>八、国有资本经营预算财政拨款收入支出决算情况说明</w:t>
      </w:r>
    </w:p>
    <w:p w14:paraId="4F85E32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0DD09E6">
      <w:pPr>
        <w:spacing w:line="640" w:lineRule="exact"/>
        <w:ind w:firstLine="640"/>
        <w:jc w:val="both"/>
        <w:outlineLvl w:val="2"/>
      </w:pPr>
      <w:r>
        <w:rPr>
          <w:rFonts w:ascii="黑体" w:hAnsi="黑体" w:eastAsia="黑体"/>
          <w:sz w:val="32"/>
        </w:rPr>
        <w:t>九、财政拨款“三公”经费支出决算情况说明</w:t>
      </w:r>
    </w:p>
    <w:p w14:paraId="50A6ED8D">
      <w:pPr>
        <w:spacing w:line="580" w:lineRule="exact"/>
        <w:ind w:firstLine="640"/>
        <w:jc w:val="both"/>
      </w:pPr>
      <w:r>
        <w:rPr>
          <w:rFonts w:ascii="仿宋_GB2312" w:hAnsi="仿宋_GB2312" w:eastAsia="仿宋_GB2312"/>
          <w:b/>
          <w:sz w:val="32"/>
        </w:rPr>
        <w:t>2024年度财政拨款“三公”经费支出28.30万元，</w:t>
      </w:r>
      <w:r>
        <w:rPr>
          <w:rFonts w:ascii="仿宋_GB2312" w:hAnsi="仿宋_GB2312" w:eastAsia="仿宋_GB2312"/>
          <w:b w:val="0"/>
          <w:sz w:val="32"/>
        </w:rPr>
        <w:t>比上年增加3.00万元，增长11.86%，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28.30万元，占100.00%，比上年增加3.00万元，增长11.86%，主要原因是：本单位公务用车日渐老化，维修维护成本增加，导致公务用车运行维护费较上年增加。公务接待费支出0.00万元，占0.00%，比上年增加0.00万元，增长0.00%，主要原因是：2023年与2024年均未安排公务接待费支出。</w:t>
      </w:r>
    </w:p>
    <w:p w14:paraId="64E5A867">
      <w:pPr>
        <w:spacing w:line="580" w:lineRule="exact"/>
        <w:ind w:firstLine="640"/>
        <w:jc w:val="both"/>
      </w:pPr>
      <w:r>
        <w:rPr>
          <w:rFonts w:ascii="仿宋_GB2312" w:hAnsi="仿宋_GB2312" w:eastAsia="仿宋_GB2312"/>
          <w:b/>
          <w:sz w:val="32"/>
        </w:rPr>
        <w:t>具体情况如下：</w:t>
      </w:r>
    </w:p>
    <w:p w14:paraId="1D63080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7A0701">
      <w:pPr>
        <w:spacing w:line="580" w:lineRule="exact"/>
        <w:ind w:firstLine="640"/>
        <w:jc w:val="both"/>
      </w:pPr>
      <w:r>
        <w:rPr>
          <w:rFonts w:ascii="仿宋_GB2312" w:hAnsi="仿宋_GB2312" w:eastAsia="仿宋_GB2312"/>
          <w:b w:val="0"/>
          <w:sz w:val="32"/>
        </w:rPr>
        <w:t>公务用车购置及运行维护费28.30万元，其中：公务用车购置费0.00万元，公务用车运行维护费28.30万元。公务用车运行维护费开支内容包括车辆加油费、维修费、保险费、审车费、过路费等。公务用车购置数0辆，公务用车保有量8辆。国有资产占用情况中固定资产车辆8辆，与公务用车保有量差异原因是：本单位固定资产车辆与公务用车保有量一致无差异。</w:t>
      </w:r>
    </w:p>
    <w:p w14:paraId="53213F4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8D02BF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28.30万元，决算数28.30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28.30万元，决算数28.30万元，预决算差异率0.00%，主要原因是：严格按照预算执行，预决算无差异。公务接待费全年预算数0.00万元，决算数0.00万元，预决算差异率0.00%，主要原因是：本单位无公务接待费。</w:t>
      </w:r>
    </w:p>
    <w:p w14:paraId="64321FAD">
      <w:pPr>
        <w:spacing w:line="640" w:lineRule="exact"/>
        <w:ind w:firstLine="640"/>
        <w:jc w:val="both"/>
        <w:outlineLvl w:val="2"/>
      </w:pPr>
      <w:r>
        <w:rPr>
          <w:rFonts w:ascii="黑体" w:hAnsi="黑体" w:eastAsia="黑体"/>
          <w:sz w:val="32"/>
        </w:rPr>
        <w:t>十、其他重要事项的情况说明</w:t>
      </w:r>
    </w:p>
    <w:p w14:paraId="6864FC42">
      <w:pPr>
        <w:spacing w:line="640" w:lineRule="exact"/>
        <w:ind w:firstLine="640"/>
        <w:jc w:val="both"/>
        <w:outlineLvl w:val="3"/>
      </w:pPr>
      <w:r>
        <w:rPr>
          <w:rFonts w:ascii="楷体_GB2312" w:hAnsi="楷体_GB2312" w:eastAsia="楷体_GB2312"/>
          <w:b/>
          <w:sz w:val="32"/>
        </w:rPr>
        <w:t>（一）机关运行经费及公用经费支出情况</w:t>
      </w:r>
    </w:p>
    <w:p w14:paraId="25CF5F78">
      <w:pPr>
        <w:spacing w:line="580" w:lineRule="exact"/>
        <w:ind w:firstLine="640"/>
        <w:jc w:val="both"/>
      </w:pPr>
      <w:r>
        <w:rPr>
          <w:rFonts w:ascii="仿宋_GB2312" w:hAnsi="仿宋_GB2312" w:eastAsia="仿宋_GB2312"/>
          <w:b w:val="0"/>
          <w:sz w:val="32"/>
        </w:rPr>
        <w:t>2024年度塔什库尔干塔吉克自治县人民政府办公室（行政单位和参照公务员法管理事业单位）机关运行经费支出182.12万元，比上年增加78.27万元，增长75.37%，主要原因是：本年业务量增加，公用经费增加。</w:t>
      </w:r>
    </w:p>
    <w:p w14:paraId="253B3CB7">
      <w:pPr>
        <w:spacing w:line="640" w:lineRule="exact"/>
        <w:ind w:firstLine="640"/>
        <w:jc w:val="both"/>
        <w:outlineLvl w:val="3"/>
      </w:pPr>
      <w:r>
        <w:rPr>
          <w:rFonts w:ascii="楷体_GB2312" w:hAnsi="楷体_GB2312" w:eastAsia="楷体_GB2312"/>
          <w:b/>
          <w:sz w:val="32"/>
        </w:rPr>
        <w:t>（二）政府采购情况</w:t>
      </w:r>
    </w:p>
    <w:p w14:paraId="2D687D4E">
      <w:pPr>
        <w:spacing w:line="580" w:lineRule="exact"/>
        <w:ind w:firstLine="640"/>
        <w:jc w:val="both"/>
      </w:pPr>
      <w:r>
        <w:rPr>
          <w:rFonts w:ascii="仿宋_GB2312" w:hAnsi="仿宋_GB2312" w:eastAsia="仿宋_GB2312"/>
          <w:b w:val="0"/>
          <w:sz w:val="32"/>
        </w:rPr>
        <w:t>2024年度政府采购支出总额5.74万元，其中：政府采购货物支出1.94万元、政府采购工程支出0.00万元、政府采购服务支出3.80万元。</w:t>
      </w:r>
    </w:p>
    <w:p w14:paraId="0103600A">
      <w:pPr>
        <w:spacing w:line="580" w:lineRule="exact"/>
        <w:ind w:firstLine="640"/>
        <w:jc w:val="both"/>
      </w:pPr>
      <w:r>
        <w:rPr>
          <w:rFonts w:ascii="仿宋_GB2312" w:hAnsi="仿宋_GB2312" w:eastAsia="仿宋_GB2312"/>
          <w:b w:val="0"/>
          <w:sz w:val="32"/>
        </w:rPr>
        <w:t>授予中小企业合同金额4.31万元，占政府采购支出总额的75.09%，其中：授予小微企业合同金额4.31万元，占政府采购支出总额的75.09%。</w:t>
      </w:r>
    </w:p>
    <w:p w14:paraId="463051E8">
      <w:pPr>
        <w:spacing w:line="640" w:lineRule="exact"/>
        <w:ind w:firstLine="640"/>
        <w:jc w:val="both"/>
        <w:outlineLvl w:val="3"/>
      </w:pPr>
      <w:r>
        <w:rPr>
          <w:rFonts w:ascii="楷体_GB2312" w:hAnsi="楷体_GB2312" w:eastAsia="楷体_GB2312"/>
          <w:b/>
          <w:sz w:val="32"/>
        </w:rPr>
        <w:t>（三）国有资产占用情况说明</w:t>
      </w:r>
    </w:p>
    <w:p w14:paraId="1ABBDA08">
      <w:pPr>
        <w:spacing w:line="580" w:lineRule="exact"/>
        <w:ind w:firstLine="640"/>
        <w:jc w:val="both"/>
      </w:pPr>
      <w:r>
        <w:rPr>
          <w:rFonts w:ascii="仿宋_GB2312" w:hAnsi="仿宋_GB2312" w:eastAsia="仿宋_GB2312"/>
          <w:b w:val="0"/>
          <w:sz w:val="32"/>
        </w:rPr>
        <w:t>截至2024年12月31日，房屋8,763.28平方米，价值550.31万元。车辆8辆，价值286.45万元，其中：副部（省）级及以上领导用车0辆、主要负责人用车0辆、机要通信用车0辆、应急保障用车0辆、执法执勤用车0辆、特种专业技术用车0辆、离退休干部服务用车0辆、其他用车8辆，其他用车主要是：一般公务用车。单价100万元（含）以上设备（不含车辆）0台（套）。</w:t>
      </w:r>
    </w:p>
    <w:p w14:paraId="44590C83">
      <w:pPr>
        <w:spacing w:line="640" w:lineRule="exact"/>
        <w:ind w:firstLine="640"/>
        <w:jc w:val="both"/>
        <w:outlineLvl w:val="2"/>
      </w:pPr>
      <w:r>
        <w:rPr>
          <w:rFonts w:ascii="黑体" w:hAnsi="黑体" w:eastAsia="黑体"/>
          <w:sz w:val="32"/>
        </w:rPr>
        <w:t>十一、预算绩效的情况说明</w:t>
      </w:r>
    </w:p>
    <w:p w14:paraId="4441E06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1,104.18万元，实际执行总额1,104.18万元；预算绩效评价项目5个，全年预算数75.65万元，全年执行数75.65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部分业务人员绩效管理意识有待增强，未能全面深入认识理解绩效管理工作的意义。绩效管理经验不足，预算绩效管理工作有待进一步落实。对项目绩效认识不到位，工作中存在重复上报各类报表现象。下一步改进措施：加大绩效工作宣传力度，强化绩效理念。完善绩效指标，提高整体绩效目标质量。提升预算精细化管理水平。针对绩效评价过程中的问题，科学地做好支出进度安排，并在实施过</w:t>
      </w:r>
      <w:r>
        <w:rPr>
          <w:rFonts w:hint="eastAsia" w:ascii="仿宋_GB2312" w:hAnsi="仿宋_GB2312" w:eastAsia="仿宋_GB2312"/>
          <w:b w:val="0"/>
          <w:sz w:val="32"/>
          <w:lang w:eastAsia="zh-CN"/>
        </w:rPr>
        <w:t>程中</w:t>
      </w:r>
      <w:r>
        <w:rPr>
          <w:rFonts w:ascii="仿宋_GB2312" w:hAnsi="仿宋_GB2312" w:eastAsia="仿宋_GB2312"/>
          <w:b w:val="0"/>
          <w:sz w:val="32"/>
        </w:rPr>
        <w:t>加强监督，加快支出进度。具体附整体支出绩效自评表，项目支出绩效自评表和评价报告。</w:t>
      </w:r>
    </w:p>
    <w:p w14:paraId="7C73CF7C">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222"/>
        <w:gridCol w:w="1000"/>
        <w:gridCol w:w="727"/>
        <w:gridCol w:w="823"/>
        <w:gridCol w:w="1143"/>
        <w:gridCol w:w="1047"/>
      </w:tblGrid>
      <w:tr w14:paraId="08256914">
        <w:tblPrEx>
          <w:tblCellMar>
            <w:top w:w="0" w:type="dxa"/>
            <w:left w:w="108" w:type="dxa"/>
            <w:bottom w:w="0" w:type="dxa"/>
            <w:right w:w="108" w:type="dxa"/>
          </w:tblCellMar>
        </w:tblPrEx>
        <w:tc>
          <w:tcPr>
            <w:tcW w:w="8911" w:type="dxa"/>
            <w:gridSpan w:val="9"/>
            <w:vAlign w:val="center"/>
          </w:tcPr>
          <w:p w14:paraId="3A92E2B9">
            <w:pPr>
              <w:jc w:val="center"/>
            </w:pPr>
            <w:r>
              <w:rPr>
                <w:rFonts w:ascii="宋体" w:hAnsi="宋体" w:eastAsia="宋体"/>
                <w:sz w:val="24"/>
              </w:rPr>
              <w:t>单位整体支出绩效自评表</w:t>
            </w:r>
          </w:p>
        </w:tc>
      </w:tr>
      <w:tr w14:paraId="5E34D307">
        <w:tblPrEx>
          <w:tblCellMar>
            <w:top w:w="0" w:type="dxa"/>
            <w:left w:w="108" w:type="dxa"/>
            <w:bottom w:w="0" w:type="dxa"/>
            <w:right w:w="108" w:type="dxa"/>
          </w:tblCellMar>
        </w:tblPrEx>
        <w:tc>
          <w:tcPr>
            <w:tcW w:w="8911" w:type="dxa"/>
            <w:gridSpan w:val="9"/>
            <w:vAlign w:val="center"/>
          </w:tcPr>
          <w:p w14:paraId="3F254557">
            <w:pPr>
              <w:jc w:val="center"/>
            </w:pPr>
            <w:r>
              <w:rPr>
                <w:rFonts w:ascii="宋体" w:hAnsi="宋体" w:eastAsia="宋体"/>
                <w:sz w:val="24"/>
              </w:rPr>
              <w:t>（2024年度）</w:t>
            </w:r>
          </w:p>
        </w:tc>
      </w:tr>
      <w:tr w14:paraId="1F280D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53645">
            <w:pPr>
              <w:jc w:val="center"/>
            </w:pPr>
            <w:r>
              <w:rPr>
                <w:rFonts w:ascii="宋体" w:hAnsi="宋体" w:eastAsia="宋体"/>
                <w:sz w:val="16"/>
              </w:rPr>
              <w:t>单位名称</w:t>
            </w:r>
          </w:p>
        </w:tc>
        <w:tc>
          <w:tcPr>
            <w:tcW w:w="792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89FB67">
            <w:pPr>
              <w:jc w:val="center"/>
            </w:pPr>
            <w:r>
              <w:rPr>
                <w:rFonts w:ascii="宋体" w:hAnsi="宋体" w:eastAsia="宋体"/>
                <w:sz w:val="16"/>
              </w:rPr>
              <w:t>塔什库尔干塔吉克自治县人民政府办公室</w:t>
            </w:r>
          </w:p>
        </w:tc>
      </w:tr>
      <w:tr w14:paraId="4E872C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D8CA1">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9B8E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E2E50">
            <w:pPr>
              <w:jc w:val="center"/>
            </w:pPr>
            <w:r>
              <w:rPr>
                <w:rFonts w:ascii="宋体" w:hAnsi="宋体" w:eastAsia="宋体"/>
                <w:sz w:val="16"/>
              </w:rPr>
              <w:t>年初预算数</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546A4DF1">
            <w:pPr>
              <w:jc w:val="center"/>
            </w:pPr>
            <w:r>
              <w:rPr>
                <w:rFonts w:ascii="宋体" w:hAnsi="宋体" w:eastAsia="宋体"/>
                <w:sz w:val="16"/>
              </w:rPr>
              <w:t>预算数（调整后）</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C0825B8">
            <w:pPr>
              <w:jc w:val="center"/>
            </w:pPr>
            <w:r>
              <w:rPr>
                <w:rFonts w:ascii="宋体" w:hAnsi="宋体" w:eastAsia="宋体"/>
                <w:sz w:val="16"/>
              </w:rPr>
              <w:t>执行数</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02B04D32">
            <w:pPr>
              <w:jc w:val="center"/>
            </w:pPr>
            <w:r>
              <w:rPr>
                <w:rFonts w:ascii="宋体" w:hAnsi="宋体" w:eastAsia="宋体"/>
                <w:sz w:val="16"/>
              </w:rPr>
              <w:t>分值权重</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1525ED7B">
            <w:pPr>
              <w:jc w:val="center"/>
            </w:pPr>
            <w:r>
              <w:rPr>
                <w:rFonts w:ascii="宋体" w:hAnsi="宋体" w:eastAsia="宋体"/>
                <w:sz w:val="16"/>
              </w:rPr>
              <w:t>执行率</w:t>
            </w:r>
          </w:p>
        </w:tc>
        <w:tc>
          <w:tcPr>
            <w:tcW w:w="2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8A9A6">
            <w:pPr>
              <w:jc w:val="center"/>
            </w:pPr>
            <w:r>
              <w:rPr>
                <w:rFonts w:ascii="宋体" w:hAnsi="宋体" w:eastAsia="宋体"/>
                <w:sz w:val="16"/>
              </w:rPr>
              <w:t>得分</w:t>
            </w:r>
          </w:p>
        </w:tc>
      </w:tr>
      <w:tr w14:paraId="1E79DD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DC5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CFE3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0F22F">
            <w:pPr>
              <w:jc w:val="center"/>
            </w:pPr>
            <w:r>
              <w:rPr>
                <w:rFonts w:ascii="宋体" w:hAnsi="宋体" w:eastAsia="宋体"/>
                <w:sz w:val="16"/>
              </w:rPr>
              <w:t>1,102.31</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623D516E">
            <w:pPr>
              <w:jc w:val="center"/>
            </w:pPr>
            <w:r>
              <w:rPr>
                <w:rFonts w:ascii="宋体" w:hAnsi="宋体" w:eastAsia="宋体"/>
                <w:sz w:val="16"/>
              </w:rPr>
              <w:t>1,104.18</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2AD52B92">
            <w:pPr>
              <w:jc w:val="center"/>
            </w:pPr>
            <w:r>
              <w:rPr>
                <w:rFonts w:ascii="宋体" w:hAnsi="宋体" w:eastAsia="宋体"/>
                <w:sz w:val="16"/>
              </w:rPr>
              <w:t>1,104.18</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68B2EF0E">
            <w:pPr>
              <w:jc w:val="center"/>
            </w:pPr>
            <w:r>
              <w:rPr>
                <w:rFonts w:ascii="宋体" w:hAnsi="宋体" w:eastAsia="宋体"/>
                <w:sz w:val="16"/>
              </w:rPr>
              <w:t>10</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650095CE">
            <w:pPr>
              <w:jc w:val="center"/>
            </w:pPr>
            <w:r>
              <w:rPr>
                <w:rFonts w:ascii="宋体" w:hAnsi="宋体" w:eastAsia="宋体"/>
                <w:sz w:val="16"/>
              </w:rPr>
              <w:t>100.00%</w:t>
            </w:r>
          </w:p>
        </w:tc>
        <w:tc>
          <w:tcPr>
            <w:tcW w:w="2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67EDE">
            <w:pPr>
              <w:jc w:val="center"/>
            </w:pPr>
            <w:r>
              <w:rPr>
                <w:rFonts w:ascii="宋体" w:hAnsi="宋体" w:eastAsia="宋体"/>
                <w:sz w:val="16"/>
              </w:rPr>
              <w:t>10</w:t>
            </w:r>
          </w:p>
        </w:tc>
      </w:tr>
      <w:tr w14:paraId="24B114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A0F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13F8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BE946">
            <w:pPr>
              <w:jc w:val="center"/>
            </w:pPr>
            <w:r>
              <w:rPr>
                <w:rFonts w:ascii="宋体" w:hAnsi="宋体" w:eastAsia="宋体"/>
                <w:sz w:val="16"/>
              </w:rPr>
              <w:t>0.00</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0D59095E">
            <w:pPr>
              <w:jc w:val="center"/>
            </w:pPr>
            <w:r>
              <w:rPr>
                <w:rFonts w:ascii="宋体" w:hAnsi="宋体" w:eastAsia="宋体"/>
                <w:sz w:val="16"/>
              </w:rPr>
              <w:t>68.54</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E78A986">
            <w:pPr>
              <w:jc w:val="center"/>
            </w:pPr>
            <w:r>
              <w:rPr>
                <w:rFonts w:ascii="宋体" w:hAnsi="宋体" w:eastAsia="宋体"/>
                <w:sz w:val="16"/>
              </w:rPr>
              <w:t>68.54</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2250D84C">
            <w:pPr>
              <w:jc w:val="center"/>
            </w:pPr>
            <w:r>
              <w:rPr>
                <w:rFonts w:ascii="宋体" w:hAnsi="宋体" w:eastAsia="宋体"/>
                <w:sz w:val="16"/>
              </w:rPr>
              <w:t>—</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6BDFA3A2">
            <w:pPr>
              <w:jc w:val="center"/>
            </w:pPr>
            <w:r>
              <w:rPr>
                <w:rFonts w:ascii="宋体" w:hAnsi="宋体" w:eastAsia="宋体"/>
                <w:sz w:val="16"/>
              </w:rPr>
              <w:t>—</w:t>
            </w:r>
          </w:p>
        </w:tc>
        <w:tc>
          <w:tcPr>
            <w:tcW w:w="2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CB3F2">
            <w:pPr>
              <w:jc w:val="center"/>
            </w:pPr>
            <w:r>
              <w:rPr>
                <w:rFonts w:ascii="宋体" w:hAnsi="宋体" w:eastAsia="宋体"/>
                <w:sz w:val="16"/>
              </w:rPr>
              <w:t>—</w:t>
            </w:r>
          </w:p>
        </w:tc>
      </w:tr>
      <w:tr w14:paraId="1DB6B1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810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1CAE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B582E">
            <w:pPr>
              <w:jc w:val="center"/>
            </w:pPr>
            <w:r>
              <w:rPr>
                <w:rFonts w:ascii="宋体" w:hAnsi="宋体" w:eastAsia="宋体"/>
                <w:sz w:val="16"/>
              </w:rPr>
              <w:t>1,102.31</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33796FF6">
            <w:pPr>
              <w:jc w:val="center"/>
            </w:pPr>
            <w:r>
              <w:rPr>
                <w:rFonts w:ascii="宋体" w:hAnsi="宋体" w:eastAsia="宋体"/>
                <w:sz w:val="16"/>
              </w:rPr>
              <w:t>1,035.64</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2003A658">
            <w:pPr>
              <w:jc w:val="center"/>
            </w:pPr>
            <w:r>
              <w:rPr>
                <w:rFonts w:ascii="宋体" w:hAnsi="宋体" w:eastAsia="宋体"/>
                <w:sz w:val="16"/>
              </w:rPr>
              <w:t>1,035.64</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4F084F2D">
            <w:pPr>
              <w:jc w:val="center"/>
            </w:pPr>
            <w:r>
              <w:rPr>
                <w:rFonts w:ascii="宋体" w:hAnsi="宋体" w:eastAsia="宋体"/>
                <w:sz w:val="16"/>
              </w:rPr>
              <w:t>—</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5F078884">
            <w:pPr>
              <w:jc w:val="center"/>
            </w:pPr>
            <w:r>
              <w:rPr>
                <w:rFonts w:ascii="宋体" w:hAnsi="宋体" w:eastAsia="宋体"/>
                <w:sz w:val="16"/>
              </w:rPr>
              <w:t>—</w:t>
            </w:r>
          </w:p>
        </w:tc>
        <w:tc>
          <w:tcPr>
            <w:tcW w:w="2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4D408">
            <w:pPr>
              <w:jc w:val="center"/>
            </w:pPr>
            <w:r>
              <w:rPr>
                <w:rFonts w:ascii="宋体" w:hAnsi="宋体" w:eastAsia="宋体"/>
                <w:sz w:val="16"/>
              </w:rPr>
              <w:t>—</w:t>
            </w:r>
          </w:p>
        </w:tc>
      </w:tr>
      <w:tr w14:paraId="54062C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397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8992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CDB9D">
            <w:pPr>
              <w:jc w:val="center"/>
            </w:pPr>
            <w:r>
              <w:rPr>
                <w:rFonts w:ascii="宋体" w:hAnsi="宋体" w:eastAsia="宋体"/>
                <w:sz w:val="16"/>
              </w:rPr>
              <w:t>0.00</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6A9B31B8">
            <w:pPr>
              <w:jc w:val="center"/>
            </w:pPr>
            <w:r>
              <w:rPr>
                <w:rFonts w:ascii="宋体" w:hAnsi="宋体" w:eastAsia="宋体"/>
                <w:sz w:val="16"/>
              </w:rPr>
              <w:t>0.00</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4A8637B">
            <w:pPr>
              <w:jc w:val="center"/>
            </w:pPr>
            <w:r>
              <w:rPr>
                <w:rFonts w:ascii="宋体" w:hAnsi="宋体" w:eastAsia="宋体"/>
                <w:sz w:val="16"/>
              </w:rPr>
              <w:t>0.00</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015ABC55">
            <w:pPr>
              <w:jc w:val="center"/>
            </w:pPr>
            <w:r>
              <w:rPr>
                <w:rFonts w:ascii="宋体" w:hAnsi="宋体" w:eastAsia="宋体"/>
                <w:sz w:val="16"/>
              </w:rPr>
              <w:t>—</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4895D62E">
            <w:pPr>
              <w:jc w:val="center"/>
            </w:pPr>
            <w:r>
              <w:rPr>
                <w:rFonts w:ascii="宋体" w:hAnsi="宋体" w:eastAsia="宋体"/>
                <w:sz w:val="16"/>
              </w:rPr>
              <w:t>—</w:t>
            </w:r>
          </w:p>
        </w:tc>
        <w:tc>
          <w:tcPr>
            <w:tcW w:w="2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0B60B">
            <w:pPr>
              <w:jc w:val="center"/>
            </w:pPr>
            <w:r>
              <w:rPr>
                <w:rFonts w:ascii="宋体" w:hAnsi="宋体" w:eastAsia="宋体"/>
                <w:sz w:val="16"/>
              </w:rPr>
              <w:t>—</w:t>
            </w:r>
          </w:p>
        </w:tc>
      </w:tr>
      <w:tr w14:paraId="3C5679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10624">
            <w:pPr>
              <w:jc w:val="center"/>
            </w:pPr>
            <w:r>
              <w:rPr>
                <w:rFonts w:ascii="宋体" w:hAnsi="宋体" w:eastAsia="宋体"/>
                <w:sz w:val="16"/>
              </w:rPr>
              <w:t>年度总体目标</w:t>
            </w:r>
          </w:p>
        </w:tc>
        <w:tc>
          <w:tcPr>
            <w:tcW w:w="318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027919">
            <w:pPr>
              <w:jc w:val="center"/>
            </w:pPr>
            <w:r>
              <w:rPr>
                <w:rFonts w:ascii="宋体" w:hAnsi="宋体" w:eastAsia="宋体"/>
                <w:sz w:val="16"/>
              </w:rPr>
              <w:t>预期目标</w:t>
            </w:r>
          </w:p>
        </w:tc>
        <w:tc>
          <w:tcPr>
            <w:tcW w:w="474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F0C196">
            <w:pPr>
              <w:jc w:val="center"/>
            </w:pPr>
            <w:r>
              <w:rPr>
                <w:rFonts w:ascii="宋体" w:hAnsi="宋体" w:eastAsia="宋体"/>
                <w:sz w:val="16"/>
              </w:rPr>
              <w:t>实际完成目标</w:t>
            </w:r>
          </w:p>
        </w:tc>
      </w:tr>
      <w:tr w14:paraId="579EF5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99618"/>
        </w:tc>
        <w:tc>
          <w:tcPr>
            <w:tcW w:w="318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9E172F">
            <w:pPr>
              <w:jc w:val="both"/>
            </w:pPr>
            <w:r>
              <w:rPr>
                <w:rFonts w:ascii="宋体" w:hAnsi="宋体" w:eastAsia="宋体"/>
                <w:sz w:val="16"/>
              </w:rPr>
              <w:t>2024年，政府办公室将持续深入贯彻落实党的二十大和二十届二中、三中全会精神，贯彻落实习近平总书记在视察新疆、听取自治区和兵团工作汇报时的重要讲话精神，深入贯彻落实自治区党委十届历次全会精神，紧紧围绕地委、县委扩大会议部署要求，坚持“从严上要求、向实处着力”，</w:t>
            </w:r>
            <w:r>
              <w:rPr>
                <w:rFonts w:hint="eastAsia" w:ascii="宋体" w:hAnsi="宋体"/>
                <w:sz w:val="16"/>
                <w:lang w:eastAsia="zh-CN"/>
              </w:rPr>
              <w:t>锚定</w:t>
            </w:r>
            <w:r>
              <w:rPr>
                <w:rFonts w:ascii="宋体" w:hAnsi="宋体" w:eastAsia="宋体"/>
                <w:sz w:val="16"/>
              </w:rPr>
              <w:t>“参谋员”“服务员”和“战斗员”的角色定位，切实发挥好“加速器”作用，全面提升“三办三服务”能力水平和工作质效。</w:t>
            </w:r>
          </w:p>
        </w:tc>
        <w:tc>
          <w:tcPr>
            <w:tcW w:w="474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200D9F">
            <w:pPr>
              <w:jc w:val="both"/>
            </w:pPr>
            <w:r>
              <w:rPr>
                <w:rFonts w:ascii="宋体" w:hAnsi="宋体" w:eastAsia="宋体"/>
                <w:sz w:val="16"/>
              </w:rPr>
              <w:t>2024年，政府办公室将持续深入贯彻落实党的二十大和二十届二中、三中全会精神，贯彻落实习近平总书记关于新疆工作的重要讲话指示批示精神，完整准确全面贯彻新时代党的治疆方略，紧扣</w:t>
            </w:r>
            <w:r>
              <w:rPr>
                <w:rFonts w:hint="eastAsia" w:ascii="宋体" w:hAnsi="宋体"/>
                <w:sz w:val="16"/>
                <w:lang w:eastAsia="zh-CN"/>
              </w:rPr>
              <w:t>筑</w:t>
            </w:r>
            <w:r>
              <w:rPr>
                <w:rFonts w:ascii="宋体" w:hAnsi="宋体" w:eastAsia="宋体"/>
                <w:sz w:val="16"/>
              </w:rPr>
              <w:t>牢中华民族共同体意识工作主线。紧紧围绕地委、县委扩大会议部署要求，坚持“从严上要求、向实处着力”，</w:t>
            </w:r>
            <w:r>
              <w:rPr>
                <w:rFonts w:hint="eastAsia" w:ascii="宋体" w:hAnsi="宋体"/>
                <w:sz w:val="16"/>
                <w:lang w:eastAsia="zh-CN"/>
              </w:rPr>
              <w:t>锚定</w:t>
            </w:r>
            <w:r>
              <w:rPr>
                <w:rFonts w:ascii="宋体" w:hAnsi="宋体" w:eastAsia="宋体"/>
                <w:sz w:val="16"/>
              </w:rPr>
              <w:t>“参谋员”“服务员”和“战斗员”的角色定位，切实发挥好“加速器”作用，全面提升“三办三服务”能力水平和工作质效。2024年具体完成的重要工作有：召开全体会议次数48次，召开常务会议次数55次，组织全体干部职工学习次数48次，参加红色党建教育观摩会次数1次，召开党员干部组织大会次数20次。</w:t>
            </w:r>
          </w:p>
        </w:tc>
      </w:tr>
      <w:tr w14:paraId="678E03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5784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BD28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A41A2">
            <w:pPr>
              <w:jc w:val="center"/>
            </w:pPr>
            <w:r>
              <w:rPr>
                <w:rFonts w:ascii="宋体" w:hAnsi="宋体" w:eastAsia="宋体"/>
                <w:sz w:val="16"/>
              </w:rPr>
              <w:t>三级指标</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7E729E13">
            <w:pPr>
              <w:jc w:val="center"/>
            </w:pPr>
            <w:r>
              <w:rPr>
                <w:rFonts w:ascii="宋体" w:hAnsi="宋体" w:eastAsia="宋体"/>
                <w:sz w:val="16"/>
              </w:rPr>
              <w:t>指标值</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1B94955B">
            <w:pPr>
              <w:jc w:val="center"/>
            </w:pPr>
            <w:r>
              <w:rPr>
                <w:rFonts w:ascii="宋体" w:hAnsi="宋体" w:eastAsia="宋体"/>
                <w:sz w:val="16"/>
              </w:rPr>
              <w:t>指标值设定依据</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2B1A9757">
            <w:pPr>
              <w:jc w:val="center"/>
            </w:pPr>
            <w:r>
              <w:rPr>
                <w:rFonts w:ascii="宋体" w:hAnsi="宋体" w:eastAsia="宋体"/>
                <w:sz w:val="16"/>
              </w:rPr>
              <w:t>分值权重</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6E30BFBD">
            <w:pPr>
              <w:jc w:val="center"/>
            </w:pPr>
            <w:r>
              <w:rPr>
                <w:rFonts w:ascii="宋体" w:hAnsi="宋体" w:eastAsia="宋体"/>
                <w:sz w:val="16"/>
              </w:rPr>
              <w:t>实际完成值</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4D1141C7">
            <w:pPr>
              <w:jc w:val="center"/>
            </w:pPr>
            <w:r>
              <w:rPr>
                <w:rFonts w:ascii="宋体" w:hAnsi="宋体" w:eastAsia="宋体"/>
                <w:sz w:val="16"/>
              </w:rPr>
              <w:t>完成率</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17F6659E">
            <w:pPr>
              <w:jc w:val="center"/>
            </w:pPr>
            <w:r>
              <w:rPr>
                <w:rFonts w:ascii="宋体" w:hAnsi="宋体" w:eastAsia="宋体"/>
                <w:sz w:val="16"/>
              </w:rPr>
              <w:t>得分</w:t>
            </w:r>
          </w:p>
        </w:tc>
      </w:tr>
      <w:tr w14:paraId="12EBFE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4A28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6403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7F4DA">
            <w:pPr>
              <w:jc w:val="center"/>
            </w:pPr>
            <w:r>
              <w:rPr>
                <w:rFonts w:ascii="宋体" w:hAnsi="宋体" w:eastAsia="宋体"/>
                <w:sz w:val="16"/>
              </w:rPr>
              <w:t>全体会议</w:t>
            </w:r>
            <w:r>
              <w:rPr>
                <w:rFonts w:hint="eastAsia" w:ascii="宋体" w:hAnsi="宋体"/>
                <w:sz w:val="16"/>
                <w:lang w:eastAsia="zh-CN"/>
              </w:rPr>
              <w:t>召开</w:t>
            </w:r>
            <w:r>
              <w:rPr>
                <w:rFonts w:ascii="宋体" w:hAnsi="宋体" w:eastAsia="宋体"/>
                <w:sz w:val="16"/>
              </w:rPr>
              <w:t>次数</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338EB71D">
            <w:pPr>
              <w:jc w:val="center"/>
            </w:pPr>
            <w:r>
              <w:rPr>
                <w:rFonts w:ascii="宋体" w:hAnsi="宋体" w:eastAsia="宋体"/>
                <w:sz w:val="16"/>
              </w:rPr>
              <w:t>&gt;=48次</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6F628F42">
            <w:pPr>
              <w:jc w:val="center"/>
            </w:pPr>
            <w:r>
              <w:rPr>
                <w:rFonts w:ascii="宋体" w:hAnsi="宋体" w:eastAsia="宋体"/>
                <w:sz w:val="16"/>
              </w:rPr>
              <w:t>2024年政府办公室工作计划</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65157F77">
            <w:pPr>
              <w:jc w:val="center"/>
            </w:pPr>
            <w:r>
              <w:rPr>
                <w:rFonts w:ascii="宋体" w:hAnsi="宋体" w:eastAsia="宋体"/>
                <w:sz w:val="16"/>
              </w:rPr>
              <w:t>20</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53109019">
            <w:pPr>
              <w:jc w:val="center"/>
            </w:pPr>
            <w:r>
              <w:rPr>
                <w:rFonts w:ascii="宋体" w:hAnsi="宋体" w:eastAsia="宋体"/>
                <w:sz w:val="16"/>
              </w:rPr>
              <w:t>48次</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766D8C5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663BD419">
            <w:pPr>
              <w:jc w:val="center"/>
            </w:pPr>
            <w:r>
              <w:rPr>
                <w:rFonts w:ascii="宋体" w:hAnsi="宋体" w:eastAsia="宋体"/>
                <w:sz w:val="16"/>
              </w:rPr>
              <w:t>20</w:t>
            </w:r>
          </w:p>
        </w:tc>
      </w:tr>
      <w:tr w14:paraId="237D96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D0B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BCB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FA3E8">
            <w:pPr>
              <w:jc w:val="center"/>
            </w:pPr>
            <w:r>
              <w:rPr>
                <w:rFonts w:ascii="宋体" w:hAnsi="宋体" w:eastAsia="宋体"/>
                <w:sz w:val="16"/>
              </w:rPr>
              <w:t>常务会议召开次数</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1084BCF1">
            <w:pPr>
              <w:jc w:val="center"/>
            </w:pPr>
            <w:r>
              <w:rPr>
                <w:rFonts w:ascii="宋体" w:hAnsi="宋体" w:eastAsia="宋体"/>
                <w:sz w:val="16"/>
              </w:rPr>
              <w:t>&gt;=30次</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06AB9919">
            <w:pPr>
              <w:jc w:val="center"/>
            </w:pPr>
            <w:r>
              <w:rPr>
                <w:rFonts w:ascii="宋体" w:hAnsi="宋体" w:eastAsia="宋体"/>
                <w:sz w:val="16"/>
              </w:rPr>
              <w:t>2024年政府办公室工作计划</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16D0FA12">
            <w:pPr>
              <w:jc w:val="center"/>
            </w:pPr>
            <w:r>
              <w:rPr>
                <w:rFonts w:ascii="宋体" w:hAnsi="宋体" w:eastAsia="宋体"/>
                <w:sz w:val="16"/>
              </w:rPr>
              <w:t>20</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2223FA8E">
            <w:pPr>
              <w:jc w:val="center"/>
            </w:pPr>
            <w:r>
              <w:rPr>
                <w:rFonts w:ascii="宋体" w:hAnsi="宋体" w:eastAsia="宋体"/>
                <w:sz w:val="16"/>
              </w:rPr>
              <w:t>55次</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1EAC31DE">
            <w:pPr>
              <w:jc w:val="center"/>
              <w:rPr>
                <w:rFonts w:hint="eastAsia" w:eastAsia="宋体"/>
                <w:lang w:val="en-US" w:eastAsia="zh-CN"/>
              </w:rPr>
            </w:pPr>
            <w:r>
              <w:rPr>
                <w:rFonts w:ascii="宋体" w:hAnsi="宋体" w:eastAsia="宋体"/>
                <w:sz w:val="16"/>
              </w:rPr>
              <w:t>183.33</w:t>
            </w:r>
            <w:r>
              <w:rPr>
                <w:rFonts w:hint="eastAsia" w:ascii="宋体" w:hAnsi="宋体"/>
                <w:sz w:val="16"/>
                <w:lang w:val="en-US" w:eastAsia="zh-CN"/>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553EE95D">
            <w:pPr>
              <w:jc w:val="center"/>
            </w:pPr>
            <w:r>
              <w:rPr>
                <w:rFonts w:ascii="宋体" w:hAnsi="宋体" w:eastAsia="宋体"/>
                <w:sz w:val="16"/>
              </w:rPr>
              <w:t>20</w:t>
            </w:r>
          </w:p>
        </w:tc>
      </w:tr>
      <w:tr w14:paraId="3B1DAC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8BA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67C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B735A">
            <w:pPr>
              <w:jc w:val="center"/>
            </w:pPr>
            <w:r>
              <w:rPr>
                <w:rFonts w:ascii="宋体" w:hAnsi="宋体" w:eastAsia="宋体"/>
                <w:sz w:val="16"/>
              </w:rPr>
              <w:t>组织全体干部职工学习次数</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38E50F49">
            <w:pPr>
              <w:jc w:val="center"/>
            </w:pPr>
            <w:r>
              <w:rPr>
                <w:rFonts w:ascii="宋体" w:hAnsi="宋体" w:eastAsia="宋体"/>
                <w:sz w:val="16"/>
              </w:rPr>
              <w:t>&gt;=48次</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1D5E5184">
            <w:pPr>
              <w:jc w:val="center"/>
            </w:pPr>
            <w:r>
              <w:rPr>
                <w:rFonts w:ascii="宋体" w:hAnsi="宋体" w:eastAsia="宋体"/>
                <w:sz w:val="16"/>
              </w:rPr>
              <w:t>2024年政府办公室工作计划</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732A7176">
            <w:pPr>
              <w:jc w:val="center"/>
            </w:pPr>
            <w:r>
              <w:rPr>
                <w:rFonts w:ascii="宋体" w:hAnsi="宋体" w:eastAsia="宋体"/>
                <w:sz w:val="16"/>
              </w:rPr>
              <w:t>20</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04935C56">
            <w:pPr>
              <w:jc w:val="center"/>
            </w:pPr>
            <w:r>
              <w:rPr>
                <w:rFonts w:ascii="宋体" w:hAnsi="宋体" w:eastAsia="宋体"/>
                <w:sz w:val="16"/>
              </w:rPr>
              <w:t>48次</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6982152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5D8DFFB3">
            <w:pPr>
              <w:jc w:val="center"/>
            </w:pPr>
            <w:r>
              <w:rPr>
                <w:rFonts w:ascii="宋体" w:hAnsi="宋体" w:eastAsia="宋体"/>
                <w:sz w:val="16"/>
              </w:rPr>
              <w:t>20</w:t>
            </w:r>
          </w:p>
        </w:tc>
      </w:tr>
      <w:tr w14:paraId="21B2D8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8DC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774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11654">
            <w:pPr>
              <w:jc w:val="center"/>
            </w:pPr>
            <w:r>
              <w:rPr>
                <w:rFonts w:ascii="宋体" w:hAnsi="宋体" w:eastAsia="宋体"/>
                <w:sz w:val="16"/>
              </w:rPr>
              <w:t>参加红色党建教育观摩会次数</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317BB998">
            <w:pPr>
              <w:jc w:val="center"/>
            </w:pPr>
            <w:r>
              <w:rPr>
                <w:rFonts w:ascii="宋体" w:hAnsi="宋体" w:eastAsia="宋体"/>
                <w:sz w:val="16"/>
              </w:rPr>
              <w:t>&gt;=1次</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2DCBE236">
            <w:pPr>
              <w:jc w:val="center"/>
            </w:pPr>
            <w:r>
              <w:rPr>
                <w:rFonts w:ascii="宋体" w:hAnsi="宋体" w:eastAsia="宋体"/>
                <w:sz w:val="16"/>
              </w:rPr>
              <w:t>2024年政府办公室工作计划</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75CCC8DB">
            <w:pPr>
              <w:jc w:val="center"/>
            </w:pPr>
            <w:r>
              <w:rPr>
                <w:rFonts w:ascii="宋体" w:hAnsi="宋体" w:eastAsia="宋体"/>
                <w:sz w:val="16"/>
              </w:rPr>
              <w:t>15</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59A61633">
            <w:pPr>
              <w:jc w:val="center"/>
            </w:pPr>
            <w:r>
              <w:rPr>
                <w:rFonts w:ascii="宋体" w:hAnsi="宋体" w:eastAsia="宋体"/>
                <w:sz w:val="16"/>
              </w:rPr>
              <w:t>1次</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6D7400F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393918EA">
            <w:pPr>
              <w:jc w:val="center"/>
            </w:pPr>
            <w:r>
              <w:rPr>
                <w:rFonts w:ascii="宋体" w:hAnsi="宋体" w:eastAsia="宋体"/>
                <w:sz w:val="16"/>
              </w:rPr>
              <w:t>15</w:t>
            </w:r>
          </w:p>
        </w:tc>
      </w:tr>
      <w:tr w14:paraId="13316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248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139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25A1C">
            <w:pPr>
              <w:jc w:val="center"/>
            </w:pPr>
            <w:r>
              <w:rPr>
                <w:rFonts w:ascii="宋体" w:hAnsi="宋体" w:eastAsia="宋体"/>
                <w:sz w:val="16"/>
              </w:rPr>
              <w:t>党员干部组织大会</w:t>
            </w:r>
          </w:p>
        </w:tc>
        <w:tc>
          <w:tcPr>
            <w:tcW w:w="1222" w:type="dxa"/>
            <w:tcBorders>
              <w:top w:val="single" w:color="auto" w:sz="10" w:space="0"/>
              <w:left w:val="single" w:color="auto" w:sz="10" w:space="0"/>
              <w:bottom w:val="single" w:color="auto" w:sz="10" w:space="0"/>
              <w:right w:val="single" w:color="auto" w:sz="10" w:space="0"/>
              <w:insideV w:val="single" w:sz="10" w:space="0"/>
            </w:tcBorders>
            <w:vAlign w:val="center"/>
          </w:tcPr>
          <w:p w14:paraId="1801FC5A">
            <w:pPr>
              <w:jc w:val="center"/>
            </w:pPr>
            <w:r>
              <w:rPr>
                <w:rFonts w:ascii="宋体" w:hAnsi="宋体" w:eastAsia="宋体"/>
                <w:sz w:val="16"/>
              </w:rPr>
              <w:t>&gt;=30次</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5C2ED286">
            <w:pPr>
              <w:jc w:val="center"/>
            </w:pPr>
            <w:r>
              <w:rPr>
                <w:rFonts w:ascii="宋体" w:hAnsi="宋体" w:eastAsia="宋体"/>
                <w:sz w:val="16"/>
              </w:rPr>
              <w:t>2024年政府办公室工作计划</w:t>
            </w:r>
          </w:p>
        </w:tc>
        <w:tc>
          <w:tcPr>
            <w:tcW w:w="727" w:type="dxa"/>
            <w:tcBorders>
              <w:top w:val="single" w:color="auto" w:sz="10" w:space="0"/>
              <w:left w:val="single" w:color="auto" w:sz="10" w:space="0"/>
              <w:bottom w:val="single" w:color="auto" w:sz="10" w:space="0"/>
              <w:right w:val="single" w:color="auto" w:sz="10" w:space="0"/>
              <w:insideV w:val="single" w:sz="10" w:space="0"/>
            </w:tcBorders>
            <w:vAlign w:val="center"/>
          </w:tcPr>
          <w:p w14:paraId="3745A815">
            <w:pPr>
              <w:jc w:val="center"/>
            </w:pPr>
            <w:r>
              <w:rPr>
                <w:rFonts w:ascii="宋体" w:hAnsi="宋体" w:eastAsia="宋体"/>
                <w:sz w:val="16"/>
              </w:rPr>
              <w:t>15</w:t>
            </w:r>
          </w:p>
        </w:tc>
        <w:tc>
          <w:tcPr>
            <w:tcW w:w="823" w:type="dxa"/>
            <w:tcBorders>
              <w:top w:val="single" w:color="auto" w:sz="10" w:space="0"/>
              <w:left w:val="single" w:color="auto" w:sz="10" w:space="0"/>
              <w:bottom w:val="single" w:color="auto" w:sz="10" w:space="0"/>
              <w:right w:val="single" w:color="auto" w:sz="10" w:space="0"/>
              <w:insideV w:val="single" w:sz="10" w:space="0"/>
            </w:tcBorders>
            <w:vAlign w:val="center"/>
          </w:tcPr>
          <w:p w14:paraId="6AB0D167">
            <w:pPr>
              <w:jc w:val="center"/>
            </w:pPr>
            <w:r>
              <w:rPr>
                <w:rFonts w:ascii="宋体" w:hAnsi="宋体" w:eastAsia="宋体"/>
                <w:sz w:val="16"/>
              </w:rPr>
              <w:t>20次</w:t>
            </w:r>
          </w:p>
        </w:tc>
        <w:tc>
          <w:tcPr>
            <w:tcW w:w="1143" w:type="dxa"/>
            <w:tcBorders>
              <w:top w:val="single" w:color="auto" w:sz="10" w:space="0"/>
              <w:left w:val="single" w:color="auto" w:sz="10" w:space="0"/>
              <w:bottom w:val="single" w:color="auto" w:sz="10" w:space="0"/>
              <w:right w:val="single" w:color="auto" w:sz="10" w:space="0"/>
              <w:insideV w:val="single" w:sz="10" w:space="0"/>
            </w:tcBorders>
            <w:vAlign w:val="center"/>
          </w:tcPr>
          <w:p w14:paraId="53904EF1">
            <w:pPr>
              <w:jc w:val="center"/>
              <w:rPr>
                <w:rFonts w:hint="eastAsia" w:eastAsia="宋体"/>
                <w:lang w:val="en-US" w:eastAsia="zh-CN"/>
              </w:rPr>
            </w:pPr>
            <w:r>
              <w:rPr>
                <w:rFonts w:ascii="宋体" w:hAnsi="宋体" w:eastAsia="宋体"/>
                <w:sz w:val="16"/>
              </w:rPr>
              <w:t>66.7</w:t>
            </w:r>
            <w:r>
              <w:rPr>
                <w:rFonts w:hint="eastAsia" w:ascii="宋体" w:hAnsi="宋体"/>
                <w:sz w:val="16"/>
                <w:lang w:val="en-US" w:eastAsia="zh-CN"/>
              </w:rPr>
              <w:t>%</w:t>
            </w:r>
          </w:p>
        </w:tc>
        <w:tc>
          <w:tcPr>
            <w:tcW w:w="1047" w:type="dxa"/>
            <w:tcBorders>
              <w:top w:val="single" w:color="auto" w:sz="10" w:space="0"/>
              <w:left w:val="single" w:color="auto" w:sz="10" w:space="0"/>
              <w:bottom w:val="single" w:color="auto" w:sz="10" w:space="0"/>
              <w:right w:val="single" w:color="auto" w:sz="10" w:space="0"/>
              <w:insideV w:val="single" w:sz="10" w:space="0"/>
            </w:tcBorders>
            <w:vAlign w:val="center"/>
          </w:tcPr>
          <w:p w14:paraId="54FABF76">
            <w:pPr>
              <w:jc w:val="center"/>
            </w:pPr>
            <w:r>
              <w:rPr>
                <w:rFonts w:ascii="宋体" w:hAnsi="宋体" w:eastAsia="宋体"/>
                <w:sz w:val="16"/>
              </w:rPr>
              <w:t>10</w:t>
            </w:r>
          </w:p>
        </w:tc>
      </w:tr>
    </w:tbl>
    <w:p w14:paraId="63CE84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269477F">
        <w:tblPrEx>
          <w:tblCellMar>
            <w:top w:w="0" w:type="dxa"/>
            <w:left w:w="108" w:type="dxa"/>
            <w:bottom w:w="0" w:type="dxa"/>
            <w:right w:w="108" w:type="dxa"/>
          </w:tblCellMar>
        </w:tblPrEx>
        <w:tc>
          <w:tcPr>
            <w:tcW w:w="8848" w:type="dxa"/>
            <w:gridSpan w:val="14"/>
            <w:vAlign w:val="center"/>
          </w:tcPr>
          <w:p w14:paraId="61431631">
            <w:pPr>
              <w:jc w:val="center"/>
            </w:pPr>
            <w:r>
              <w:rPr>
                <w:rFonts w:ascii="宋体" w:hAnsi="宋体" w:eastAsia="宋体"/>
                <w:sz w:val="24"/>
              </w:rPr>
              <w:t>项目支出绩效自评表</w:t>
            </w:r>
          </w:p>
        </w:tc>
      </w:tr>
      <w:tr w14:paraId="5D4477E4">
        <w:tblPrEx>
          <w:tblCellMar>
            <w:top w:w="0" w:type="dxa"/>
            <w:left w:w="108" w:type="dxa"/>
            <w:bottom w:w="0" w:type="dxa"/>
            <w:right w:w="108" w:type="dxa"/>
          </w:tblCellMar>
        </w:tblPrEx>
        <w:tc>
          <w:tcPr>
            <w:tcW w:w="8848" w:type="dxa"/>
            <w:gridSpan w:val="14"/>
            <w:vAlign w:val="center"/>
          </w:tcPr>
          <w:p w14:paraId="630294F2">
            <w:pPr>
              <w:jc w:val="center"/>
            </w:pPr>
            <w:r>
              <w:rPr>
                <w:rFonts w:ascii="宋体" w:hAnsi="宋体" w:eastAsia="宋体"/>
                <w:sz w:val="24"/>
              </w:rPr>
              <w:t>(2024年度)</w:t>
            </w:r>
          </w:p>
        </w:tc>
      </w:tr>
      <w:tr w14:paraId="6349DD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8E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ED4920">
            <w:pPr>
              <w:jc w:val="center"/>
            </w:pPr>
            <w:r>
              <w:rPr>
                <w:rFonts w:ascii="宋体" w:hAnsi="宋体" w:eastAsia="宋体"/>
                <w:sz w:val="16"/>
              </w:rPr>
              <w:t>2024年为民办实事工作经费</w:t>
            </w:r>
          </w:p>
        </w:tc>
      </w:tr>
      <w:tr w14:paraId="4E2388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F6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47D644">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CD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169666">
            <w:pPr>
              <w:jc w:val="center"/>
            </w:pPr>
            <w:r>
              <w:rPr>
                <w:rFonts w:ascii="宋体" w:hAnsi="宋体" w:eastAsia="宋体"/>
                <w:sz w:val="16"/>
              </w:rPr>
              <w:t>塔什库尔干塔吉克自治县人民政府办公室</w:t>
            </w:r>
          </w:p>
        </w:tc>
      </w:tr>
      <w:tr w14:paraId="4497B7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F609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6BDC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978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D42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EFE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665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80F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5A3E">
            <w:pPr>
              <w:jc w:val="center"/>
            </w:pPr>
            <w:r>
              <w:rPr>
                <w:rFonts w:ascii="宋体" w:hAnsi="宋体" w:eastAsia="宋体"/>
                <w:sz w:val="16"/>
              </w:rPr>
              <w:t>得分</w:t>
            </w:r>
          </w:p>
        </w:tc>
      </w:tr>
      <w:tr w14:paraId="07046C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8C8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EC9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B814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8D19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2924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747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4299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73ED">
            <w:pPr>
              <w:jc w:val="center"/>
            </w:pPr>
            <w:r>
              <w:rPr>
                <w:rFonts w:ascii="宋体" w:hAnsi="宋体" w:eastAsia="宋体"/>
                <w:sz w:val="16"/>
              </w:rPr>
              <w:t>10.00分</w:t>
            </w:r>
          </w:p>
        </w:tc>
      </w:tr>
      <w:tr w14:paraId="3D26B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179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574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5139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DF50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6700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2C5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88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2D31">
            <w:pPr>
              <w:jc w:val="center"/>
            </w:pPr>
            <w:r>
              <w:rPr>
                <w:rFonts w:ascii="宋体" w:hAnsi="宋体" w:eastAsia="宋体"/>
                <w:sz w:val="16"/>
              </w:rPr>
              <w:t>—</w:t>
            </w:r>
          </w:p>
        </w:tc>
      </w:tr>
      <w:tr w14:paraId="24367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E8C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93E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5BF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286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C17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7D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F9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922D">
            <w:pPr>
              <w:jc w:val="center"/>
            </w:pPr>
            <w:r>
              <w:rPr>
                <w:rFonts w:ascii="宋体" w:hAnsi="宋体" w:eastAsia="宋体"/>
                <w:sz w:val="16"/>
              </w:rPr>
              <w:t>—</w:t>
            </w:r>
          </w:p>
        </w:tc>
      </w:tr>
      <w:tr w14:paraId="55645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07F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082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5A9770">
            <w:pPr>
              <w:jc w:val="center"/>
            </w:pPr>
            <w:r>
              <w:rPr>
                <w:rFonts w:ascii="宋体" w:hAnsi="宋体" w:eastAsia="宋体"/>
                <w:sz w:val="16"/>
              </w:rPr>
              <w:t>实际完成情况</w:t>
            </w:r>
          </w:p>
        </w:tc>
      </w:tr>
      <w:tr w14:paraId="0EDC3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5D2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8804B">
            <w:pPr>
              <w:jc w:val="both"/>
            </w:pPr>
            <w:r>
              <w:rPr>
                <w:rFonts w:hint="eastAsia" w:ascii="宋体" w:hAnsi="宋体"/>
                <w:sz w:val="16"/>
                <w:lang w:eastAsia="zh-CN"/>
              </w:rPr>
              <w:t>塔什库尔干塔吉克自治县</w:t>
            </w:r>
            <w:r>
              <w:rPr>
                <w:rFonts w:ascii="宋体" w:hAnsi="宋体" w:eastAsia="宋体"/>
                <w:sz w:val="16"/>
              </w:rPr>
              <w:t>人民政府申请2024年度为民办实事工作经费项目投入10万元，该项目主要用于为民办实事，</w:t>
            </w:r>
            <w:r>
              <w:rPr>
                <w:rFonts w:hint="eastAsia" w:ascii="宋体" w:hAnsi="宋体"/>
                <w:sz w:val="16"/>
                <w:lang w:eastAsia="zh-CN"/>
              </w:rPr>
              <w:t>为民办实事</w:t>
            </w:r>
            <w:r>
              <w:rPr>
                <w:rFonts w:ascii="宋体" w:hAnsi="宋体" w:eastAsia="宋体"/>
                <w:sz w:val="16"/>
              </w:rPr>
              <w:t>干部个人补助，</w:t>
            </w:r>
            <w:r>
              <w:rPr>
                <w:rFonts w:hint="eastAsia" w:ascii="宋体" w:hAnsi="宋体"/>
                <w:sz w:val="16"/>
                <w:lang w:eastAsia="zh-CN"/>
              </w:rPr>
              <w:t>为民办实事</w:t>
            </w:r>
            <w:r>
              <w:rPr>
                <w:rFonts w:ascii="宋体" w:hAnsi="宋体" w:eastAsia="宋体"/>
                <w:sz w:val="16"/>
              </w:rPr>
              <w:t>干部关心关爱，</w:t>
            </w:r>
            <w:r>
              <w:rPr>
                <w:rFonts w:hint="eastAsia" w:ascii="宋体" w:hAnsi="宋体"/>
                <w:sz w:val="16"/>
                <w:lang w:eastAsia="zh-CN"/>
              </w:rPr>
              <w:t>为民办实事</w:t>
            </w:r>
            <w:r>
              <w:rPr>
                <w:rFonts w:ascii="宋体" w:hAnsi="宋体" w:eastAsia="宋体"/>
                <w:sz w:val="16"/>
              </w:rPr>
              <w:t>干部培训，</w:t>
            </w:r>
            <w:r>
              <w:rPr>
                <w:rFonts w:hint="eastAsia" w:ascii="宋体" w:hAnsi="宋体"/>
                <w:sz w:val="16"/>
                <w:lang w:eastAsia="zh-CN"/>
              </w:rPr>
              <w:t>为民办实事</w:t>
            </w:r>
            <w:r>
              <w:rPr>
                <w:rFonts w:ascii="宋体" w:hAnsi="宋体" w:eastAsia="宋体"/>
                <w:sz w:val="16"/>
              </w:rPr>
              <w:t>工作宣传，调研等工作保障。补充村级运转经费，开展群众性文化演出活动和群众表彰活动。保障</w:t>
            </w:r>
            <w:r>
              <w:rPr>
                <w:rFonts w:hint="eastAsia" w:ascii="宋体" w:hAnsi="宋体"/>
                <w:sz w:val="16"/>
                <w:lang w:eastAsia="zh-CN"/>
              </w:rPr>
              <w:t>为民办实事</w:t>
            </w:r>
            <w:r>
              <w:rPr>
                <w:rFonts w:ascii="宋体" w:hAnsi="宋体" w:eastAsia="宋体"/>
                <w:sz w:val="16"/>
              </w:rPr>
              <w:t>工作队干部有效开展各项工作。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CDB3B9">
            <w:pPr>
              <w:jc w:val="both"/>
            </w:pPr>
            <w:r>
              <w:rPr>
                <w:rFonts w:ascii="宋体" w:hAnsi="宋体" w:eastAsia="宋体"/>
                <w:sz w:val="16"/>
              </w:rPr>
              <w:t>该项目实际支出10万元，主要用于塔什库尔干塔吉克自治县人民政府办公室在达布达尔乡达布达尔村</w:t>
            </w:r>
            <w:r>
              <w:rPr>
                <w:rFonts w:hint="eastAsia" w:ascii="宋体" w:hAnsi="宋体"/>
                <w:sz w:val="16"/>
                <w:lang w:eastAsia="zh-CN"/>
              </w:rPr>
              <w:t>为民办实事</w:t>
            </w:r>
            <w:r>
              <w:rPr>
                <w:rFonts w:ascii="宋体" w:hAnsi="宋体" w:eastAsia="宋体"/>
                <w:sz w:val="16"/>
              </w:rPr>
              <w:t>工作队为民办实事经费，主要用于为民办实事，</w:t>
            </w:r>
            <w:r>
              <w:rPr>
                <w:rFonts w:hint="eastAsia" w:ascii="宋体" w:hAnsi="宋体"/>
                <w:sz w:val="16"/>
                <w:lang w:eastAsia="zh-CN"/>
              </w:rPr>
              <w:t>为民办实事</w:t>
            </w:r>
            <w:r>
              <w:rPr>
                <w:rFonts w:ascii="宋体" w:hAnsi="宋体" w:eastAsia="宋体"/>
                <w:sz w:val="16"/>
              </w:rPr>
              <w:t>干部个人补助，</w:t>
            </w:r>
            <w:r>
              <w:rPr>
                <w:rFonts w:hint="eastAsia" w:ascii="宋体" w:hAnsi="宋体"/>
                <w:sz w:val="16"/>
                <w:lang w:eastAsia="zh-CN"/>
              </w:rPr>
              <w:t>为民办实事</w:t>
            </w:r>
            <w:r>
              <w:rPr>
                <w:rFonts w:ascii="宋体" w:hAnsi="宋体" w:eastAsia="宋体"/>
                <w:sz w:val="16"/>
              </w:rPr>
              <w:t>干部关心关爱，</w:t>
            </w:r>
            <w:r>
              <w:rPr>
                <w:rFonts w:hint="eastAsia" w:ascii="宋体" w:hAnsi="宋体"/>
                <w:sz w:val="16"/>
                <w:lang w:eastAsia="zh-CN"/>
              </w:rPr>
              <w:t>为民办实事</w:t>
            </w:r>
            <w:r>
              <w:rPr>
                <w:rFonts w:ascii="宋体" w:hAnsi="宋体" w:eastAsia="宋体"/>
                <w:sz w:val="16"/>
              </w:rPr>
              <w:t>干部培训，</w:t>
            </w:r>
            <w:r>
              <w:rPr>
                <w:rFonts w:hint="eastAsia" w:ascii="宋体" w:hAnsi="宋体"/>
                <w:sz w:val="16"/>
                <w:lang w:eastAsia="zh-CN"/>
              </w:rPr>
              <w:t>为民办实事</w:t>
            </w:r>
            <w:r>
              <w:rPr>
                <w:rFonts w:ascii="宋体" w:hAnsi="宋体" w:eastAsia="宋体"/>
                <w:sz w:val="16"/>
              </w:rPr>
              <w:t>工作宣传，调研等工作保障等事项。采购物品质量合格率达100%，资金拨付及时率达100%，项目的实施有效解决了民生问题，缩小了贫富差距，促进了社会资源的公平分配；通过积极主动地为民众解决问题，展现了政府的责任担当和高效服务，提升了政府在民众心中的形象和公信力，使干部和农民</w:t>
            </w:r>
            <w:r>
              <w:rPr>
                <w:rFonts w:hint="eastAsia" w:ascii="宋体" w:hAnsi="宋体"/>
                <w:sz w:val="16"/>
                <w:lang w:eastAsia="zh-CN"/>
              </w:rPr>
              <w:t>群众</w:t>
            </w:r>
            <w:r>
              <w:rPr>
                <w:rFonts w:ascii="宋体" w:hAnsi="宋体" w:eastAsia="宋体"/>
                <w:sz w:val="16"/>
              </w:rPr>
              <w:t>满意度达到了100%。</w:t>
            </w:r>
          </w:p>
        </w:tc>
      </w:tr>
      <w:tr w14:paraId="6E9DF9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2BE5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AA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62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4D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5B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67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08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C1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2A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E5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8D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6C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E6A16">
            <w:pPr>
              <w:jc w:val="center"/>
            </w:pPr>
            <w:r>
              <w:rPr>
                <w:rFonts w:ascii="宋体" w:hAnsi="宋体" w:eastAsia="宋体"/>
                <w:sz w:val="16"/>
              </w:rPr>
              <w:t>偏差原因分析及改进措施</w:t>
            </w:r>
          </w:p>
        </w:tc>
      </w:tr>
      <w:tr w14:paraId="6A62E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510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271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E2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EEF4">
            <w:pPr>
              <w:jc w:val="center"/>
            </w:pPr>
            <w:r>
              <w:rPr>
                <w:rFonts w:ascii="宋体" w:hAnsi="宋体" w:eastAsia="宋体"/>
                <w:sz w:val="16"/>
              </w:rPr>
              <w:t>为民办实事件数（次）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9137">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5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2E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52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B1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C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64C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F8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A4CCF">
            <w:pPr>
              <w:jc w:val="center"/>
            </w:pPr>
          </w:p>
        </w:tc>
      </w:tr>
      <w:tr w14:paraId="241D8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A4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38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EE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2D72">
            <w:pPr>
              <w:jc w:val="center"/>
            </w:pPr>
            <w:r>
              <w:rPr>
                <w:rFonts w:ascii="宋体" w:hAnsi="宋体" w:eastAsia="宋体"/>
                <w:sz w:val="16"/>
              </w:rPr>
              <w:t>采购物品质量合格率（%）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F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B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F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F8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55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1E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5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61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50E4B">
            <w:pPr>
              <w:jc w:val="center"/>
            </w:pPr>
          </w:p>
        </w:tc>
      </w:tr>
      <w:tr w14:paraId="4008E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D6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F5E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795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BE5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A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6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4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08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F4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4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5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3F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F6062">
            <w:pPr>
              <w:jc w:val="center"/>
            </w:pPr>
          </w:p>
        </w:tc>
      </w:tr>
      <w:tr w14:paraId="13F2B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6A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F5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39D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2C47">
            <w:pPr>
              <w:jc w:val="center"/>
            </w:pPr>
            <w:r>
              <w:rPr>
                <w:rFonts w:ascii="宋体" w:hAnsi="宋体" w:eastAsia="宋体"/>
                <w:sz w:val="16"/>
              </w:rPr>
              <w:t>项目完成时间（月）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F8D2">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B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2529">
            <w:pPr>
              <w:jc w:val="center"/>
            </w:pPr>
            <w:r>
              <w:rPr>
                <w:rFonts w:ascii="宋体" w:hAnsi="宋体" w:eastAsia="宋体"/>
                <w:sz w:val="16"/>
              </w:rPr>
              <w:t>2024年12月底前已支出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F4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13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8D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64E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A1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19085">
            <w:pPr>
              <w:jc w:val="center"/>
            </w:pPr>
          </w:p>
        </w:tc>
      </w:tr>
      <w:tr w14:paraId="73E3E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C3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95E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BC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AE75">
            <w:pPr>
              <w:jc w:val="center"/>
            </w:pPr>
            <w:r>
              <w:rPr>
                <w:rFonts w:ascii="宋体" w:hAnsi="宋体" w:eastAsia="宋体"/>
                <w:sz w:val="16"/>
              </w:rPr>
              <w:t>每次为民办实事采购物品金额（万元/次）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14F0">
            <w:pPr>
              <w:jc w:val="center"/>
            </w:pPr>
            <w:r>
              <w:rPr>
                <w:rFonts w:ascii="宋体" w:hAnsi="宋体" w:eastAsia="宋体"/>
                <w:sz w:val="16"/>
              </w:rPr>
              <w:t>&lt;=1万元/次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68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113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7B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7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0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3B0B">
            <w:pPr>
              <w:jc w:val="center"/>
            </w:pPr>
            <w:r>
              <w:rPr>
                <w:rFonts w:ascii="宋体" w:hAnsi="宋体" w:eastAsia="宋体"/>
                <w:sz w:val="16"/>
              </w:rPr>
              <w:t>=1万元/次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1E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6CD0C">
            <w:pPr>
              <w:jc w:val="center"/>
            </w:pPr>
          </w:p>
        </w:tc>
      </w:tr>
      <w:tr w14:paraId="16CA0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6EF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14D0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9C7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7419">
            <w:pPr>
              <w:jc w:val="center"/>
            </w:pPr>
            <w:r>
              <w:rPr>
                <w:rFonts w:ascii="宋体" w:hAnsi="宋体" w:eastAsia="宋体"/>
                <w:sz w:val="16"/>
              </w:rPr>
              <w:t>项目可持续影响年限（年）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2867">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3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2FE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08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1C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AB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5124">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27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3D37D">
            <w:pPr>
              <w:jc w:val="center"/>
            </w:pPr>
          </w:p>
        </w:tc>
      </w:tr>
      <w:tr w14:paraId="788CE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B9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F8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D6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F221">
            <w:pPr>
              <w:jc w:val="center"/>
            </w:pPr>
            <w:r>
              <w:rPr>
                <w:rFonts w:ascii="宋体" w:hAnsi="宋体" w:eastAsia="宋体"/>
                <w:sz w:val="16"/>
              </w:rPr>
              <w:t>有效改善村内环境和群众生活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547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B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74E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3F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0B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9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3E0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F0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DC39A">
            <w:pPr>
              <w:jc w:val="center"/>
            </w:pPr>
          </w:p>
        </w:tc>
      </w:tr>
      <w:tr w14:paraId="02EA2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58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62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7D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0EB7">
            <w:pPr>
              <w:jc w:val="center"/>
            </w:pPr>
            <w:r>
              <w:rPr>
                <w:rFonts w:ascii="宋体" w:hAnsi="宋体" w:eastAsia="宋体"/>
                <w:sz w:val="16"/>
              </w:rPr>
              <w:t>干部和农民</w:t>
            </w:r>
            <w:r>
              <w:rPr>
                <w:rFonts w:hint="eastAsia" w:ascii="宋体" w:hAnsi="宋体"/>
                <w:sz w:val="16"/>
                <w:lang w:eastAsia="zh-CN"/>
              </w:rPr>
              <w:t>群众</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1C8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67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6A2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6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87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D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1B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83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72B44">
            <w:pPr>
              <w:jc w:val="center"/>
            </w:pPr>
            <w:r>
              <w:rPr>
                <w:rFonts w:ascii="宋体" w:hAnsi="宋体" w:eastAsia="宋体"/>
                <w:sz w:val="16"/>
              </w:rPr>
              <w:t>偏差原因分析：项目实施情况较好，干部和农民</w:t>
            </w:r>
            <w:r>
              <w:rPr>
                <w:rFonts w:hint="eastAsia" w:ascii="宋体" w:hAnsi="宋体"/>
                <w:sz w:val="16"/>
                <w:lang w:eastAsia="zh-CN"/>
              </w:rPr>
              <w:t>群众</w:t>
            </w:r>
            <w:r>
              <w:rPr>
                <w:rFonts w:ascii="宋体" w:hAnsi="宋体" w:eastAsia="宋体"/>
                <w:sz w:val="16"/>
              </w:rPr>
              <w:t>满意度高于预期导致出现正偏差，改进措施：基于当前良好表现，重新审视绩效目标，在以后绩效目标设置时设置更具挑战性的目标，以推动业务持续发展。</w:t>
            </w:r>
          </w:p>
        </w:tc>
      </w:tr>
      <w:tr w14:paraId="433C79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BB2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4E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61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5500F">
            <w:pPr>
              <w:jc w:val="center"/>
            </w:pPr>
            <w:r>
              <w:rPr>
                <w:rFonts w:ascii="宋体" w:hAnsi="宋体" w:eastAsia="宋体"/>
                <w:sz w:val="16"/>
              </w:rPr>
              <w:t>100分</w:t>
            </w:r>
          </w:p>
        </w:tc>
      </w:tr>
    </w:tbl>
    <w:p w14:paraId="718312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AC8B26A">
        <w:tblPrEx>
          <w:tblCellMar>
            <w:top w:w="0" w:type="dxa"/>
            <w:left w:w="108" w:type="dxa"/>
            <w:bottom w:w="0" w:type="dxa"/>
            <w:right w:w="108" w:type="dxa"/>
          </w:tblCellMar>
        </w:tblPrEx>
        <w:tc>
          <w:tcPr>
            <w:tcW w:w="8848" w:type="dxa"/>
            <w:gridSpan w:val="14"/>
            <w:vAlign w:val="center"/>
          </w:tcPr>
          <w:p w14:paraId="6367021F">
            <w:pPr>
              <w:jc w:val="center"/>
            </w:pPr>
            <w:r>
              <w:rPr>
                <w:rFonts w:ascii="宋体" w:hAnsi="宋体" w:eastAsia="宋体"/>
                <w:sz w:val="24"/>
              </w:rPr>
              <w:t>项目支出绩效自评表</w:t>
            </w:r>
          </w:p>
        </w:tc>
      </w:tr>
      <w:tr w14:paraId="21D010B9">
        <w:tblPrEx>
          <w:tblCellMar>
            <w:top w:w="0" w:type="dxa"/>
            <w:left w:w="108" w:type="dxa"/>
            <w:bottom w:w="0" w:type="dxa"/>
            <w:right w:w="108" w:type="dxa"/>
          </w:tblCellMar>
        </w:tblPrEx>
        <w:tc>
          <w:tcPr>
            <w:tcW w:w="8848" w:type="dxa"/>
            <w:gridSpan w:val="14"/>
            <w:vAlign w:val="center"/>
          </w:tcPr>
          <w:p w14:paraId="6E231D00">
            <w:pPr>
              <w:jc w:val="center"/>
            </w:pPr>
            <w:r>
              <w:rPr>
                <w:rFonts w:ascii="宋体" w:hAnsi="宋体" w:eastAsia="宋体"/>
                <w:sz w:val="24"/>
              </w:rPr>
              <w:t>(2024年度)</w:t>
            </w:r>
          </w:p>
        </w:tc>
      </w:tr>
      <w:tr w14:paraId="322C5B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5E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D808FE">
            <w:pPr>
              <w:jc w:val="center"/>
            </w:pPr>
            <w:r>
              <w:rPr>
                <w:rFonts w:ascii="宋体" w:hAnsi="宋体" w:eastAsia="宋体"/>
                <w:sz w:val="16"/>
              </w:rPr>
              <w:t>2024年度喀什地区塔什库尔干塔吉克自治县人民政府办公室网站门户网站运维及监测服务费</w:t>
            </w:r>
          </w:p>
        </w:tc>
      </w:tr>
      <w:tr w14:paraId="172C55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31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BC4A4">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54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2456E6">
            <w:pPr>
              <w:jc w:val="center"/>
            </w:pPr>
            <w:r>
              <w:rPr>
                <w:rFonts w:ascii="宋体" w:hAnsi="宋体" w:eastAsia="宋体"/>
                <w:sz w:val="16"/>
              </w:rPr>
              <w:t>塔什库尔干塔吉克自治县人民政府办公室</w:t>
            </w:r>
          </w:p>
        </w:tc>
      </w:tr>
      <w:tr w14:paraId="0062DD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466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0D73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376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497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D75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11A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F85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C6A3">
            <w:pPr>
              <w:jc w:val="center"/>
            </w:pPr>
            <w:r>
              <w:rPr>
                <w:rFonts w:ascii="宋体" w:hAnsi="宋体" w:eastAsia="宋体"/>
                <w:sz w:val="16"/>
              </w:rPr>
              <w:t>得分</w:t>
            </w:r>
          </w:p>
        </w:tc>
      </w:tr>
      <w:tr w14:paraId="5F0A48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7AA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3BB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65F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C33D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1DFC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D43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B967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D7BF">
            <w:pPr>
              <w:jc w:val="center"/>
            </w:pPr>
            <w:r>
              <w:rPr>
                <w:rFonts w:ascii="宋体" w:hAnsi="宋体" w:eastAsia="宋体"/>
                <w:sz w:val="16"/>
              </w:rPr>
              <w:t>10.00分</w:t>
            </w:r>
          </w:p>
        </w:tc>
      </w:tr>
      <w:tr w14:paraId="017E1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EF1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73D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0950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7A2A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8838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FDD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E9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0747">
            <w:pPr>
              <w:jc w:val="center"/>
            </w:pPr>
            <w:r>
              <w:rPr>
                <w:rFonts w:ascii="宋体" w:hAnsi="宋体" w:eastAsia="宋体"/>
                <w:sz w:val="16"/>
              </w:rPr>
              <w:t>—</w:t>
            </w:r>
          </w:p>
        </w:tc>
      </w:tr>
      <w:tr w14:paraId="25A3C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D66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696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87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489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C86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A85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FD9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9CBF">
            <w:pPr>
              <w:jc w:val="center"/>
            </w:pPr>
            <w:r>
              <w:rPr>
                <w:rFonts w:ascii="宋体" w:hAnsi="宋体" w:eastAsia="宋体"/>
                <w:sz w:val="16"/>
              </w:rPr>
              <w:t>—</w:t>
            </w:r>
          </w:p>
        </w:tc>
      </w:tr>
      <w:tr w14:paraId="76C63E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BB4E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0EB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863B8B">
            <w:pPr>
              <w:jc w:val="center"/>
            </w:pPr>
            <w:r>
              <w:rPr>
                <w:rFonts w:ascii="宋体" w:hAnsi="宋体" w:eastAsia="宋体"/>
                <w:sz w:val="16"/>
              </w:rPr>
              <w:t>实际完成情况</w:t>
            </w:r>
          </w:p>
        </w:tc>
      </w:tr>
      <w:tr w14:paraId="22572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C47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1BDAC">
            <w:pPr>
              <w:jc w:val="both"/>
            </w:pPr>
            <w:r>
              <w:rPr>
                <w:rFonts w:ascii="宋体" w:hAnsi="宋体" w:eastAsia="宋体"/>
                <w:sz w:val="16"/>
              </w:rPr>
              <w:t>人民政府网站门户网站运行及维护投入10万元，该项目主要用于对政府网站门户网站运行及维护。保障网站正常运行。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07121E">
            <w:pPr>
              <w:jc w:val="both"/>
            </w:pPr>
            <w:r>
              <w:rPr>
                <w:rFonts w:ascii="宋体" w:hAnsi="宋体" w:eastAsia="宋体"/>
                <w:sz w:val="16"/>
              </w:rPr>
              <w:t>项目实际支出10万元，主要用于2024年塔什库尔干塔吉克自治县政府网站运行及维护。项目的实施保障了网站的正常运行，提升了行政效率，促进了政务公开，优化了政府形象， 为公众提供了便捷的服务，方便了向公众普及政策知识，</w:t>
            </w:r>
            <w:r>
              <w:rPr>
                <w:rFonts w:ascii="宋体" w:hAnsi="宋体" w:eastAsia="宋体"/>
                <w:sz w:val="16"/>
              </w:rPr>
              <w:tab/>
            </w:r>
            <w:r>
              <w:rPr>
                <w:rFonts w:ascii="宋体" w:hAnsi="宋体" w:eastAsia="宋体"/>
                <w:sz w:val="16"/>
              </w:rPr>
              <w:t>使网站访问人员满意度达到了100%。</w:t>
            </w:r>
          </w:p>
        </w:tc>
      </w:tr>
      <w:tr w14:paraId="6382A9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7D84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7C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11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0D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C7E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66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E0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65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04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7C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AFD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F9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3C4AE">
            <w:pPr>
              <w:jc w:val="center"/>
            </w:pPr>
            <w:r>
              <w:rPr>
                <w:rFonts w:ascii="宋体" w:hAnsi="宋体" w:eastAsia="宋体"/>
                <w:sz w:val="16"/>
              </w:rPr>
              <w:t>偏差原因分析及改进措施</w:t>
            </w:r>
          </w:p>
        </w:tc>
      </w:tr>
      <w:tr w14:paraId="36311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C11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C6D0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A7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CCCC">
            <w:pPr>
              <w:jc w:val="center"/>
            </w:pPr>
            <w:r>
              <w:rPr>
                <w:rFonts w:ascii="宋体" w:hAnsi="宋体" w:eastAsia="宋体"/>
                <w:sz w:val="16"/>
              </w:rPr>
              <w:t>运维网站数量(个)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625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9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62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6B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25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9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81E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6B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BD6F">
            <w:pPr>
              <w:jc w:val="center"/>
            </w:pPr>
          </w:p>
        </w:tc>
      </w:tr>
      <w:tr w14:paraId="2E810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A15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B2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9A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BDDB">
            <w:pPr>
              <w:jc w:val="center"/>
            </w:pPr>
            <w:r>
              <w:rPr>
                <w:rFonts w:ascii="宋体" w:hAnsi="宋体" w:eastAsia="宋体"/>
                <w:sz w:val="16"/>
              </w:rPr>
              <w:t>网站运行故障率（%）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C371">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A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F1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1D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4B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4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C1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88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B83CE">
            <w:pPr>
              <w:jc w:val="center"/>
            </w:pPr>
          </w:p>
        </w:tc>
      </w:tr>
      <w:tr w14:paraId="472F8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CB9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23B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4B2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0FE7">
            <w:pPr>
              <w:jc w:val="center"/>
            </w:pPr>
            <w:r>
              <w:rPr>
                <w:rFonts w:ascii="宋体" w:hAnsi="宋体" w:eastAsia="宋体"/>
                <w:sz w:val="16"/>
              </w:rPr>
              <w:t>网站故障修复处理时间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5B1C">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0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9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7F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2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60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DC21">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C2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30BDD">
            <w:pPr>
              <w:jc w:val="center"/>
            </w:pPr>
          </w:p>
        </w:tc>
      </w:tr>
      <w:tr w14:paraId="34697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8C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D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4B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6FF0">
            <w:pPr>
              <w:jc w:val="center"/>
            </w:pPr>
            <w:r>
              <w:rPr>
                <w:rFonts w:ascii="宋体" w:hAnsi="宋体" w:eastAsia="宋体"/>
                <w:sz w:val="16"/>
              </w:rPr>
              <w:t>网站运行维护响应时间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335C">
            <w:pPr>
              <w:jc w:val="center"/>
            </w:pPr>
            <w:r>
              <w:rPr>
                <w:rFonts w:ascii="宋体" w:hAnsi="宋体" w:eastAsia="宋体"/>
                <w:sz w:val="16"/>
              </w:rPr>
              <w:t>&lt;=1小时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C2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E3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97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A7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3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3FC2">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31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9B730">
            <w:pPr>
              <w:jc w:val="center"/>
            </w:pPr>
          </w:p>
        </w:tc>
      </w:tr>
      <w:tr w14:paraId="07F31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7C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0B3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15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6F08">
            <w:pPr>
              <w:jc w:val="center"/>
            </w:pPr>
            <w:r>
              <w:rPr>
                <w:rFonts w:ascii="宋体" w:hAnsi="宋体" w:eastAsia="宋体"/>
                <w:sz w:val="16"/>
              </w:rPr>
              <w:t>年度维护成本增长率（%）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87D8">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5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97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3C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6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C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F0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64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EC945">
            <w:pPr>
              <w:jc w:val="center"/>
            </w:pPr>
          </w:p>
        </w:tc>
      </w:tr>
      <w:tr w14:paraId="5BEA0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C9D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36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F6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C57F">
            <w:pPr>
              <w:jc w:val="center"/>
            </w:pPr>
            <w:r>
              <w:rPr>
                <w:rFonts w:ascii="宋体" w:hAnsi="宋体" w:eastAsia="宋体"/>
                <w:sz w:val="16"/>
              </w:rPr>
              <w:t>保障网站正常运行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FD9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9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5B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AE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E8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0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38A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0C0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07417">
            <w:pPr>
              <w:jc w:val="center"/>
            </w:pPr>
          </w:p>
        </w:tc>
      </w:tr>
      <w:tr w14:paraId="03C4E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A8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28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EF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BD32">
            <w:pPr>
              <w:jc w:val="center"/>
            </w:pPr>
            <w:r>
              <w:rPr>
                <w:rFonts w:ascii="宋体" w:hAnsi="宋体" w:eastAsia="宋体"/>
                <w:sz w:val="16"/>
              </w:rPr>
              <w:t>网站访问人员满意度（%）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E15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4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8F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EF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5E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8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C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4C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E5F68">
            <w:pPr>
              <w:jc w:val="center"/>
            </w:pPr>
            <w:r>
              <w:rPr>
                <w:rFonts w:ascii="宋体" w:hAnsi="宋体" w:eastAsia="宋体"/>
                <w:sz w:val="16"/>
              </w:rPr>
              <w:t>偏差原因分析：项目实施情况较好，网站访问人员满意度高于预期导致出现正偏差，改进措施：基于当前良好表现，重新审视绩效目标，在以后绩效目标设置时设置更具挑战性的目标，以推动业务持续发展。</w:t>
            </w:r>
          </w:p>
        </w:tc>
      </w:tr>
      <w:tr w14:paraId="5EE609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A0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C6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4C2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B71331">
            <w:pPr>
              <w:jc w:val="center"/>
            </w:pPr>
            <w:r>
              <w:rPr>
                <w:rFonts w:ascii="宋体" w:hAnsi="宋体" w:eastAsia="宋体"/>
                <w:sz w:val="16"/>
              </w:rPr>
              <w:t>100分</w:t>
            </w:r>
          </w:p>
        </w:tc>
      </w:tr>
    </w:tbl>
    <w:p w14:paraId="4C37B37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3409E44B">
        <w:tblPrEx>
          <w:tblCellMar>
            <w:top w:w="0" w:type="dxa"/>
            <w:left w:w="108" w:type="dxa"/>
            <w:bottom w:w="0" w:type="dxa"/>
            <w:right w:w="108" w:type="dxa"/>
          </w:tblCellMar>
        </w:tblPrEx>
        <w:tc>
          <w:tcPr>
            <w:tcW w:w="8848" w:type="dxa"/>
            <w:gridSpan w:val="14"/>
            <w:vAlign w:val="center"/>
          </w:tcPr>
          <w:p w14:paraId="1A3F7AC3">
            <w:pPr>
              <w:jc w:val="center"/>
            </w:pPr>
            <w:r>
              <w:rPr>
                <w:rFonts w:ascii="宋体" w:hAnsi="宋体" w:eastAsia="宋体"/>
                <w:sz w:val="24"/>
              </w:rPr>
              <w:t>项目支出绩效自评表</w:t>
            </w:r>
          </w:p>
        </w:tc>
      </w:tr>
      <w:tr w14:paraId="187EB943">
        <w:tblPrEx>
          <w:tblCellMar>
            <w:top w:w="0" w:type="dxa"/>
            <w:left w:w="108" w:type="dxa"/>
            <w:bottom w:w="0" w:type="dxa"/>
            <w:right w:w="108" w:type="dxa"/>
          </w:tblCellMar>
        </w:tblPrEx>
        <w:tc>
          <w:tcPr>
            <w:tcW w:w="8848" w:type="dxa"/>
            <w:gridSpan w:val="14"/>
            <w:vAlign w:val="center"/>
          </w:tcPr>
          <w:p w14:paraId="3DB94D44">
            <w:pPr>
              <w:jc w:val="center"/>
            </w:pPr>
            <w:r>
              <w:rPr>
                <w:rFonts w:ascii="宋体" w:hAnsi="宋体" w:eastAsia="宋体"/>
                <w:sz w:val="24"/>
              </w:rPr>
              <w:t>(2024年度)</w:t>
            </w:r>
          </w:p>
        </w:tc>
      </w:tr>
      <w:tr w14:paraId="25F724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55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9C4025">
            <w:pPr>
              <w:jc w:val="center"/>
            </w:pPr>
            <w:r>
              <w:rPr>
                <w:rFonts w:ascii="宋体" w:hAnsi="宋体" w:eastAsia="宋体"/>
                <w:sz w:val="16"/>
              </w:rPr>
              <w:t>关于申请</w:t>
            </w:r>
            <w:r>
              <w:rPr>
                <w:rFonts w:hint="eastAsia" w:ascii="宋体" w:hAnsi="宋体"/>
                <w:sz w:val="16"/>
                <w:lang w:eastAsia="zh-CN"/>
              </w:rPr>
              <w:t>塔什库尔干塔吉克自治县</w:t>
            </w:r>
            <w:r>
              <w:rPr>
                <w:rFonts w:ascii="宋体" w:hAnsi="宋体" w:eastAsia="宋体"/>
                <w:sz w:val="16"/>
              </w:rPr>
              <w:t>2024年宣传文化体育活动经费</w:t>
            </w:r>
          </w:p>
        </w:tc>
      </w:tr>
      <w:tr w14:paraId="7FBB6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7D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29AEA">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5C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10DB9E">
            <w:pPr>
              <w:jc w:val="center"/>
            </w:pPr>
            <w:r>
              <w:rPr>
                <w:rFonts w:ascii="宋体" w:hAnsi="宋体" w:eastAsia="宋体"/>
                <w:sz w:val="16"/>
              </w:rPr>
              <w:t>塔什库尔干塔吉克自治县人民政府办公室</w:t>
            </w:r>
          </w:p>
        </w:tc>
      </w:tr>
      <w:tr w14:paraId="1D7C2C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8FE4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E999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420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8E4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496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F7C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C61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DEE8">
            <w:pPr>
              <w:jc w:val="center"/>
            </w:pPr>
            <w:r>
              <w:rPr>
                <w:rFonts w:ascii="宋体" w:hAnsi="宋体" w:eastAsia="宋体"/>
                <w:sz w:val="16"/>
              </w:rPr>
              <w:t>得分</w:t>
            </w:r>
          </w:p>
        </w:tc>
      </w:tr>
      <w:tr w14:paraId="368AE8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CC1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ACF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F2526">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012A0">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C652B">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FFE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6C8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2C1F">
            <w:pPr>
              <w:jc w:val="center"/>
            </w:pPr>
            <w:r>
              <w:rPr>
                <w:rFonts w:ascii="宋体" w:hAnsi="宋体" w:eastAsia="宋体"/>
                <w:sz w:val="16"/>
              </w:rPr>
              <w:t>10.00分</w:t>
            </w:r>
          </w:p>
        </w:tc>
      </w:tr>
      <w:tr w14:paraId="5897C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AFF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A35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05D63">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97F95">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5AEC8">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0D6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FC3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F957">
            <w:pPr>
              <w:jc w:val="center"/>
            </w:pPr>
            <w:r>
              <w:rPr>
                <w:rFonts w:ascii="宋体" w:hAnsi="宋体" w:eastAsia="宋体"/>
                <w:sz w:val="16"/>
              </w:rPr>
              <w:t>—</w:t>
            </w:r>
          </w:p>
        </w:tc>
      </w:tr>
      <w:tr w14:paraId="6562B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869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EBA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184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B7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2CB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246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733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6D9B">
            <w:pPr>
              <w:jc w:val="center"/>
            </w:pPr>
            <w:r>
              <w:rPr>
                <w:rFonts w:ascii="宋体" w:hAnsi="宋体" w:eastAsia="宋体"/>
                <w:sz w:val="16"/>
              </w:rPr>
              <w:t>—</w:t>
            </w:r>
          </w:p>
        </w:tc>
      </w:tr>
      <w:tr w14:paraId="4407B2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6F2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5403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E120D8">
            <w:pPr>
              <w:jc w:val="center"/>
            </w:pPr>
            <w:r>
              <w:rPr>
                <w:rFonts w:ascii="宋体" w:hAnsi="宋体" w:eastAsia="宋体"/>
                <w:sz w:val="16"/>
              </w:rPr>
              <w:t>实际完成情况</w:t>
            </w:r>
          </w:p>
        </w:tc>
      </w:tr>
      <w:tr w14:paraId="58F5C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5EE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B58EA">
            <w:pPr>
              <w:jc w:val="both"/>
            </w:pPr>
            <w:r>
              <w:rPr>
                <w:rFonts w:hint="eastAsia" w:ascii="宋体" w:hAnsi="宋体"/>
                <w:sz w:val="16"/>
                <w:lang w:eastAsia="zh-CN"/>
              </w:rPr>
              <w:t>塔什库尔干塔吉克自治县</w:t>
            </w:r>
            <w:r>
              <w:rPr>
                <w:rFonts w:ascii="宋体" w:hAnsi="宋体" w:eastAsia="宋体"/>
                <w:sz w:val="16"/>
              </w:rPr>
              <w:t>人民政府申请塔什库尔干县2024年宣传文化体育活动经费项目投入21.65万元，该项目主要用于办公经费。保障全县70周年大庆活动顺利开展。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5C1443">
            <w:pPr>
              <w:jc w:val="both"/>
            </w:pPr>
            <w:r>
              <w:rPr>
                <w:rFonts w:ascii="宋体" w:hAnsi="宋体" w:eastAsia="宋体"/>
                <w:sz w:val="16"/>
              </w:rPr>
              <w:t>项目实际支出21.65万元，用于购买</w:t>
            </w:r>
            <w:r>
              <w:rPr>
                <w:rFonts w:hint="eastAsia" w:ascii="宋体" w:hAnsi="宋体"/>
                <w:sz w:val="16"/>
                <w:lang w:eastAsia="zh-CN"/>
              </w:rPr>
              <w:t>塔什库尔干塔吉克自治县</w:t>
            </w:r>
            <w:r>
              <w:rPr>
                <w:rFonts w:ascii="宋体" w:hAnsi="宋体" w:eastAsia="宋体"/>
                <w:sz w:val="16"/>
              </w:rPr>
              <w:t>70周年庆祝活动广告设计、策划、布展及图片采集等，采购验收合格率达100%，资金支付及时率达100%，通过实施该项目，有效提升了办公条件环境，全方位、数字化</w:t>
            </w:r>
            <w:r>
              <w:rPr>
                <w:rFonts w:hint="eastAsia" w:ascii="宋体" w:hAnsi="宋体"/>
                <w:sz w:val="16"/>
                <w:lang w:eastAsia="zh-CN"/>
              </w:rPr>
              <w:t>地</w:t>
            </w:r>
            <w:r>
              <w:rPr>
                <w:rFonts w:ascii="宋体" w:hAnsi="宋体" w:eastAsia="宋体"/>
                <w:sz w:val="16"/>
              </w:rPr>
              <w:t>展示了</w:t>
            </w:r>
            <w:r>
              <w:rPr>
                <w:rFonts w:hint="eastAsia" w:ascii="宋体" w:hAnsi="宋体"/>
                <w:sz w:val="16"/>
                <w:lang w:eastAsia="zh-CN"/>
              </w:rPr>
              <w:t>塔什库尔干塔吉克自治县</w:t>
            </w:r>
            <w:r>
              <w:rPr>
                <w:rFonts w:ascii="宋体" w:hAnsi="宋体" w:eastAsia="宋体"/>
                <w:sz w:val="16"/>
              </w:rPr>
              <w:t>70年在各方面取得的辉煌成就，让全县人民直观地感受到了家乡的巨大变化和发展进步，增强全县人民对家乡的自豪感和认同感，使单位干部满意度达到了100%。</w:t>
            </w:r>
          </w:p>
        </w:tc>
      </w:tr>
      <w:tr w14:paraId="318949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F0EE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3A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91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12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91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1D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BC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04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47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7F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C1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0A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EE2B6">
            <w:pPr>
              <w:jc w:val="center"/>
            </w:pPr>
            <w:r>
              <w:rPr>
                <w:rFonts w:ascii="宋体" w:hAnsi="宋体" w:eastAsia="宋体"/>
                <w:sz w:val="16"/>
              </w:rPr>
              <w:t>偏差原因分析及改进措施</w:t>
            </w:r>
          </w:p>
        </w:tc>
      </w:tr>
      <w:tr w14:paraId="06877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EE0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078F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99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7063">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F8E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4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B6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D92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EC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53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CE1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261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76923">
            <w:pPr>
              <w:jc w:val="center"/>
            </w:pPr>
          </w:p>
        </w:tc>
      </w:tr>
      <w:tr w14:paraId="2C1B9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E4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0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E1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E1E9">
            <w:pPr>
              <w:jc w:val="center"/>
            </w:pPr>
            <w:r>
              <w:rPr>
                <w:rFonts w:ascii="宋体" w:hAnsi="宋体" w:eastAsia="宋体"/>
                <w:sz w:val="16"/>
              </w:rPr>
              <w:t>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1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8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D0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208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D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4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5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2BF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F8ABF">
            <w:pPr>
              <w:jc w:val="center"/>
            </w:pPr>
          </w:p>
        </w:tc>
      </w:tr>
      <w:tr w14:paraId="2AC80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AD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53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D1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4FDB">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D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2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3F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7E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1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6C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6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F3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C58D2">
            <w:pPr>
              <w:jc w:val="center"/>
            </w:pPr>
          </w:p>
        </w:tc>
      </w:tr>
      <w:tr w14:paraId="093A7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41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40E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62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BB13">
            <w:pPr>
              <w:jc w:val="center"/>
            </w:pPr>
            <w:r>
              <w:rPr>
                <w:rFonts w:ascii="宋体" w:hAnsi="宋体" w:eastAsia="宋体"/>
                <w:sz w:val="16"/>
              </w:rPr>
              <w:t>平均每次购买办公用品金额（万元）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0AFE">
            <w:pPr>
              <w:jc w:val="center"/>
            </w:pPr>
            <w:r>
              <w:rPr>
                <w:rFonts w:ascii="宋体" w:hAnsi="宋体" w:eastAsia="宋体"/>
                <w:sz w:val="16"/>
              </w:rPr>
              <w:t>&lt;=10.83万元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8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D1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7E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B1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7C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44F6">
            <w:pPr>
              <w:jc w:val="center"/>
            </w:pPr>
            <w:r>
              <w:rPr>
                <w:rFonts w:ascii="宋体" w:hAnsi="宋体" w:eastAsia="宋体"/>
                <w:sz w:val="16"/>
              </w:rPr>
              <w:t>=10.83万元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D1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30D5">
            <w:pPr>
              <w:jc w:val="center"/>
            </w:pPr>
          </w:p>
        </w:tc>
      </w:tr>
      <w:tr w14:paraId="573B9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D6D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CE9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9BA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92B4">
            <w:pPr>
              <w:jc w:val="center"/>
            </w:pPr>
            <w:r>
              <w:rPr>
                <w:rFonts w:ascii="宋体" w:hAnsi="宋体" w:eastAsia="宋体"/>
                <w:sz w:val="16"/>
              </w:rPr>
              <w:t>有效提升办公条</w:t>
            </w:r>
            <w:r>
              <w:rPr>
                <w:rFonts w:hint="eastAsia" w:ascii="宋体" w:hAnsi="宋体"/>
                <w:sz w:val="16"/>
                <w:lang w:eastAsia="zh-CN"/>
              </w:rPr>
              <w:t>件和</w:t>
            </w:r>
            <w:r>
              <w:rPr>
                <w:rFonts w:ascii="宋体" w:hAnsi="宋体" w:eastAsia="宋体"/>
                <w:sz w:val="16"/>
              </w:rPr>
              <w:t>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CEC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D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E8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11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53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1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C5F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4E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48FF6">
            <w:pPr>
              <w:jc w:val="center"/>
            </w:pPr>
          </w:p>
        </w:tc>
      </w:tr>
      <w:tr w14:paraId="213AF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45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4F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F0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05A8">
            <w:pPr>
              <w:jc w:val="center"/>
            </w:pPr>
            <w:r>
              <w:rPr>
                <w:rFonts w:ascii="宋体" w:hAnsi="宋体" w:eastAsia="宋体"/>
                <w:sz w:val="16"/>
              </w:rPr>
              <w:t>项目可持续影响年限（年）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8496">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C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C6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0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E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79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BD41">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4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DB68">
            <w:pPr>
              <w:jc w:val="center"/>
            </w:pPr>
          </w:p>
        </w:tc>
      </w:tr>
      <w:tr w14:paraId="4369F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E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C8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87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B3C5">
            <w:pPr>
              <w:jc w:val="center"/>
            </w:pPr>
            <w:r>
              <w:rPr>
                <w:rFonts w:ascii="宋体" w:hAnsi="宋体" w:eastAsia="宋体"/>
                <w:sz w:val="16"/>
              </w:rPr>
              <w:t>单位干部满意度（%）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555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6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D6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67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86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B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E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B6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A31C7">
            <w:pPr>
              <w:jc w:val="center"/>
            </w:pPr>
            <w:r>
              <w:rPr>
                <w:rFonts w:ascii="宋体" w:hAnsi="宋体" w:eastAsia="宋体"/>
                <w:sz w:val="16"/>
              </w:rPr>
              <w:t>偏差原因分析：项目完成情况较好，干部满意度较高，所以指标出现正偏差，改进措施：基于当前良好表现，重新审视绩效目标，在以后绩效目标设置时设置更具挑战性的目标，以推动业务持续发展。</w:t>
            </w:r>
          </w:p>
        </w:tc>
      </w:tr>
      <w:tr w14:paraId="4C0146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CCC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E94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F07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8DC8B">
            <w:pPr>
              <w:jc w:val="center"/>
            </w:pPr>
            <w:r>
              <w:rPr>
                <w:rFonts w:ascii="宋体" w:hAnsi="宋体" w:eastAsia="宋体"/>
                <w:sz w:val="16"/>
              </w:rPr>
              <w:t>100分</w:t>
            </w:r>
          </w:p>
        </w:tc>
      </w:tr>
    </w:tbl>
    <w:p w14:paraId="3453FB7F">
      <w:r>
        <w:br w:type="page"/>
      </w:r>
    </w:p>
    <w:tbl>
      <w:tblPr>
        <w:tblStyle w:val="9"/>
        <w:tblW w:w="0" w:type="auto"/>
        <w:tblInd w:w="0" w:type="dxa"/>
        <w:tblLayout w:type="fixed"/>
        <w:tblCellMar>
          <w:top w:w="0" w:type="dxa"/>
          <w:left w:w="108" w:type="dxa"/>
          <w:bottom w:w="0" w:type="dxa"/>
          <w:right w:w="108" w:type="dxa"/>
        </w:tblCellMar>
      </w:tblPr>
      <w:tblGrid>
        <w:gridCol w:w="632"/>
        <w:gridCol w:w="632"/>
        <w:gridCol w:w="518"/>
        <w:gridCol w:w="746"/>
        <w:gridCol w:w="618"/>
        <w:gridCol w:w="158"/>
        <w:gridCol w:w="632"/>
        <w:gridCol w:w="632"/>
        <w:gridCol w:w="410"/>
        <w:gridCol w:w="222"/>
        <w:gridCol w:w="632"/>
        <w:gridCol w:w="632"/>
        <w:gridCol w:w="696"/>
        <w:gridCol w:w="447"/>
        <w:gridCol w:w="185"/>
        <w:gridCol w:w="632"/>
        <w:gridCol w:w="632"/>
      </w:tblGrid>
      <w:tr w14:paraId="6EBC4B33">
        <w:tblPrEx>
          <w:tblCellMar>
            <w:top w:w="0" w:type="dxa"/>
            <w:left w:w="108" w:type="dxa"/>
            <w:bottom w:w="0" w:type="dxa"/>
            <w:right w:w="108" w:type="dxa"/>
          </w:tblCellMar>
        </w:tblPrEx>
        <w:tc>
          <w:tcPr>
            <w:tcW w:w="9056" w:type="dxa"/>
            <w:gridSpan w:val="17"/>
            <w:vAlign w:val="center"/>
          </w:tcPr>
          <w:p w14:paraId="4D6ABA48">
            <w:pPr>
              <w:jc w:val="center"/>
            </w:pPr>
            <w:r>
              <w:rPr>
                <w:rFonts w:ascii="宋体" w:hAnsi="宋体" w:eastAsia="宋体"/>
                <w:sz w:val="24"/>
              </w:rPr>
              <w:t>项目支出绩效自评表</w:t>
            </w:r>
          </w:p>
        </w:tc>
      </w:tr>
      <w:tr w14:paraId="416D2292">
        <w:tblPrEx>
          <w:tblCellMar>
            <w:top w:w="0" w:type="dxa"/>
            <w:left w:w="108" w:type="dxa"/>
            <w:bottom w:w="0" w:type="dxa"/>
            <w:right w:w="108" w:type="dxa"/>
          </w:tblCellMar>
        </w:tblPrEx>
        <w:tc>
          <w:tcPr>
            <w:tcW w:w="9056" w:type="dxa"/>
            <w:gridSpan w:val="17"/>
            <w:vAlign w:val="center"/>
          </w:tcPr>
          <w:p w14:paraId="1992D862">
            <w:pPr>
              <w:jc w:val="center"/>
            </w:pPr>
            <w:r>
              <w:rPr>
                <w:rFonts w:ascii="宋体" w:hAnsi="宋体" w:eastAsia="宋体"/>
                <w:sz w:val="24"/>
              </w:rPr>
              <w:t>(2024年度)</w:t>
            </w:r>
          </w:p>
        </w:tc>
      </w:tr>
      <w:tr w14:paraId="09A2D1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4DFE">
            <w:pPr>
              <w:jc w:val="center"/>
            </w:pPr>
            <w:r>
              <w:rPr>
                <w:rFonts w:ascii="宋体" w:hAnsi="宋体" w:eastAsia="宋体"/>
                <w:sz w:val="16"/>
              </w:rPr>
              <w:t>项目名称</w:t>
            </w:r>
          </w:p>
        </w:tc>
        <w:tc>
          <w:tcPr>
            <w:tcW w:w="8424"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03DEAB70">
            <w:pPr>
              <w:jc w:val="center"/>
            </w:pPr>
            <w:r>
              <w:rPr>
                <w:rFonts w:ascii="宋体" w:hAnsi="宋体" w:eastAsia="宋体"/>
                <w:sz w:val="16"/>
              </w:rPr>
              <w:t>关于解决</w:t>
            </w:r>
            <w:r>
              <w:rPr>
                <w:rFonts w:hint="eastAsia" w:ascii="宋体" w:hAnsi="宋体"/>
                <w:sz w:val="16"/>
                <w:lang w:eastAsia="zh-CN"/>
              </w:rPr>
              <w:t>塔什库尔干塔吉克自治县</w:t>
            </w:r>
            <w:r>
              <w:rPr>
                <w:rFonts w:ascii="宋体" w:hAnsi="宋体" w:eastAsia="宋体"/>
                <w:sz w:val="16"/>
              </w:rPr>
              <w:t>人民政府人民群众信访服务中心经费不足的申请</w:t>
            </w:r>
          </w:p>
        </w:tc>
      </w:tr>
      <w:tr w14:paraId="469804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A32A">
            <w:pPr>
              <w:jc w:val="center"/>
            </w:pPr>
            <w:r>
              <w:rPr>
                <w:rFonts w:ascii="宋体" w:hAnsi="宋体" w:eastAsia="宋体"/>
                <w:sz w:val="16"/>
              </w:rPr>
              <w:t>主管部门</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6D90476">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7795">
            <w:pPr>
              <w:jc w:val="center"/>
            </w:pPr>
            <w:r>
              <w:rPr>
                <w:rFonts w:ascii="宋体" w:hAnsi="宋体" w:eastAsia="宋体"/>
                <w:sz w:val="16"/>
              </w:rPr>
              <w:t>实施单位</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2B0A1">
            <w:pPr>
              <w:jc w:val="center"/>
            </w:pPr>
            <w:r>
              <w:rPr>
                <w:rFonts w:ascii="宋体" w:hAnsi="宋体" w:eastAsia="宋体"/>
                <w:sz w:val="16"/>
              </w:rPr>
              <w:t>塔什库尔干塔吉克自治县人民政府办公室</w:t>
            </w:r>
          </w:p>
        </w:tc>
      </w:tr>
      <w:tr w14:paraId="12DA1A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B708D6"/>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AB58C">
            <w:pPr>
              <w:jc w:val="center"/>
            </w:pPr>
            <w:r>
              <w:rPr>
                <w:rFonts w:ascii="宋体" w:hAnsi="宋体" w:eastAsia="宋体"/>
                <w:sz w:val="16"/>
              </w:rPr>
              <w:t>资金来源</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6C3D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8FD0E">
            <w:pPr>
              <w:jc w:val="center"/>
            </w:pPr>
            <w:r>
              <w:rPr>
                <w:rFonts w:ascii="宋体" w:hAnsi="宋体" w:eastAsia="宋体"/>
                <w:sz w:val="16"/>
              </w:rPr>
              <w:t>全年预算数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A4CCD3">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54CAE">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A596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94DC">
            <w:pPr>
              <w:jc w:val="center"/>
            </w:pPr>
            <w:r>
              <w:rPr>
                <w:rFonts w:ascii="宋体" w:hAnsi="宋体" w:eastAsia="宋体"/>
                <w:sz w:val="16"/>
              </w:rPr>
              <w:t>得分</w:t>
            </w:r>
          </w:p>
        </w:tc>
      </w:tr>
      <w:tr w14:paraId="55EA55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A2049">
            <w:pPr>
              <w:jc w:val="center"/>
            </w:pPr>
            <w:r>
              <w:rPr>
                <w:rFonts w:ascii="宋体" w:hAnsi="宋体" w:eastAsia="宋体"/>
                <w:sz w:val="16"/>
              </w:rPr>
              <w:t>项目资金 （万元）</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3DC8A">
            <w:pPr>
              <w:jc w:val="center"/>
            </w:pPr>
            <w:r>
              <w:rPr>
                <w:rFonts w:ascii="宋体" w:hAnsi="宋体" w:eastAsia="宋体"/>
                <w:sz w:val="16"/>
              </w:rPr>
              <w:t>年度资金总额</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994D9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ACC6B">
            <w:pPr>
              <w:jc w:val="center"/>
            </w:pPr>
            <w:r>
              <w:rPr>
                <w:rFonts w:ascii="宋体" w:hAnsi="宋体" w:eastAsia="宋体"/>
                <w:sz w:val="16"/>
              </w:rPr>
              <w:t>15.00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8E6278">
            <w:pPr>
              <w:jc w:val="center"/>
            </w:pPr>
            <w:r>
              <w:rPr>
                <w:rFonts w:ascii="宋体" w:hAnsi="宋体" w:eastAsia="宋体"/>
                <w:sz w:val="16"/>
              </w:rPr>
              <w:t>15.00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67C1B">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3B99D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89D0">
            <w:pPr>
              <w:jc w:val="center"/>
            </w:pPr>
            <w:r>
              <w:rPr>
                <w:rFonts w:ascii="宋体" w:hAnsi="宋体" w:eastAsia="宋体"/>
                <w:sz w:val="16"/>
              </w:rPr>
              <w:t>10.00分</w:t>
            </w:r>
          </w:p>
        </w:tc>
      </w:tr>
      <w:tr w14:paraId="7C885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1D705"/>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0DEA6">
            <w:pPr>
              <w:jc w:val="center"/>
            </w:pPr>
            <w:r>
              <w:rPr>
                <w:rFonts w:ascii="宋体" w:hAnsi="宋体" w:eastAsia="宋体"/>
                <w:sz w:val="16"/>
              </w:rPr>
              <w:t>其中：当年财政拨款</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8A29F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0BFC2">
            <w:pPr>
              <w:jc w:val="center"/>
            </w:pPr>
            <w:r>
              <w:rPr>
                <w:rFonts w:ascii="宋体" w:hAnsi="宋体" w:eastAsia="宋体"/>
                <w:sz w:val="16"/>
              </w:rPr>
              <w:t>15.00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743693">
            <w:pPr>
              <w:jc w:val="center"/>
            </w:pPr>
            <w:r>
              <w:rPr>
                <w:rFonts w:ascii="宋体" w:hAnsi="宋体" w:eastAsia="宋体"/>
                <w:sz w:val="16"/>
              </w:rPr>
              <w:t>15.00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961C">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A75D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F38E">
            <w:pPr>
              <w:jc w:val="center"/>
            </w:pPr>
            <w:r>
              <w:rPr>
                <w:rFonts w:ascii="宋体" w:hAnsi="宋体" w:eastAsia="宋体"/>
                <w:sz w:val="16"/>
              </w:rPr>
              <w:t>—</w:t>
            </w:r>
          </w:p>
        </w:tc>
      </w:tr>
      <w:tr w14:paraId="4FE2F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AAF01"/>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72236">
            <w:pPr>
              <w:jc w:val="center"/>
            </w:pPr>
            <w:r>
              <w:rPr>
                <w:rFonts w:ascii="宋体" w:hAnsi="宋体" w:eastAsia="宋体"/>
                <w:sz w:val="16"/>
              </w:rPr>
              <w:t xml:space="preserve">  其他资金</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DEFB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5EC3A">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F87CF5">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90C3C">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B7D6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D36E">
            <w:pPr>
              <w:jc w:val="center"/>
            </w:pPr>
            <w:r>
              <w:rPr>
                <w:rFonts w:ascii="宋体" w:hAnsi="宋体" w:eastAsia="宋体"/>
                <w:sz w:val="16"/>
              </w:rPr>
              <w:t>—</w:t>
            </w:r>
          </w:p>
        </w:tc>
      </w:tr>
      <w:tr w14:paraId="64D4FD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FA617">
            <w:pPr>
              <w:jc w:val="center"/>
            </w:pPr>
            <w:r>
              <w:rPr>
                <w:rFonts w:ascii="宋体" w:hAnsi="宋体" w:eastAsia="宋体"/>
                <w:sz w:val="16"/>
              </w:rPr>
              <w:t>三、目标完成情况</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1DBA4AA">
            <w:pPr>
              <w:jc w:val="center"/>
            </w:pPr>
            <w:r>
              <w:rPr>
                <w:rFonts w:ascii="宋体" w:hAnsi="宋体" w:eastAsia="宋体"/>
                <w:sz w:val="16"/>
              </w:rPr>
              <w:t>预期目标</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4DEE5">
            <w:pPr>
              <w:jc w:val="center"/>
            </w:pPr>
            <w:r>
              <w:rPr>
                <w:rFonts w:ascii="宋体" w:hAnsi="宋体" w:eastAsia="宋体"/>
                <w:sz w:val="16"/>
              </w:rPr>
              <w:t>实际完成情况</w:t>
            </w:r>
          </w:p>
        </w:tc>
      </w:tr>
      <w:tr w14:paraId="7F57D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69861"/>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A0D00B0">
            <w:pPr>
              <w:jc w:val="both"/>
            </w:pPr>
            <w:r>
              <w:rPr>
                <w:rFonts w:hint="eastAsia" w:ascii="宋体" w:hAnsi="宋体"/>
                <w:sz w:val="16"/>
                <w:lang w:eastAsia="zh-CN"/>
              </w:rPr>
              <w:t>塔什库尔干塔吉克自治县</w:t>
            </w:r>
            <w:r>
              <w:rPr>
                <w:rFonts w:ascii="宋体" w:hAnsi="宋体" w:eastAsia="宋体"/>
                <w:sz w:val="16"/>
              </w:rPr>
              <w:t>人民政府人民群众信访服务中心项目投入15万元，该项目主要用于办公经费、水卡充值和差旅费报销。保障单位各项工作正常运行。</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777BA">
            <w:pPr>
              <w:jc w:val="both"/>
            </w:pPr>
            <w:r>
              <w:rPr>
                <w:rFonts w:ascii="宋体" w:hAnsi="宋体" w:eastAsia="宋体"/>
                <w:sz w:val="16"/>
              </w:rPr>
              <w:t>项目实际支出15万元，主要用于支付</w:t>
            </w:r>
            <w:r>
              <w:rPr>
                <w:rFonts w:hint="eastAsia" w:ascii="宋体" w:hAnsi="宋体"/>
                <w:sz w:val="16"/>
                <w:lang w:eastAsia="zh-CN"/>
              </w:rPr>
              <w:t>塔什库尔干塔吉克自治县</w:t>
            </w:r>
            <w:r>
              <w:rPr>
                <w:rFonts w:ascii="宋体" w:hAnsi="宋体" w:eastAsia="宋体"/>
                <w:sz w:val="16"/>
              </w:rPr>
              <w:t>人民政府人民群众信访服务中心运转经费，其中购买办公用品费用4.46万元、水费0.21万元、差旅费10.33万元，资金拨付合格率达100%，资金拨付及时率达100%，项目实施保障了人民群众信访服务中心的正常运转，有效提升办公条件环境，充分调动了干部工作积极性，提高了解决信访事件的办事效率。</w:t>
            </w:r>
          </w:p>
        </w:tc>
      </w:tr>
      <w:tr w14:paraId="34023B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9083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35CC">
            <w:pPr>
              <w:jc w:val="center"/>
            </w:pPr>
            <w:r>
              <w:rPr>
                <w:rFonts w:ascii="宋体" w:hAnsi="宋体" w:eastAsia="宋体"/>
                <w:sz w:val="16"/>
              </w:rPr>
              <w:t>一级指标</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60F6DEB4">
            <w:pPr>
              <w:jc w:val="center"/>
            </w:pPr>
            <w:r>
              <w:rPr>
                <w:rFonts w:ascii="宋体" w:hAnsi="宋体" w:eastAsia="宋体"/>
                <w:sz w:val="16"/>
              </w:rPr>
              <w:t>二级指标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072C824B">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1F8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B4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C582">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EE1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84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76B2">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ECDA06">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4FD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ED54C">
            <w:pPr>
              <w:jc w:val="center"/>
            </w:pPr>
            <w:r>
              <w:rPr>
                <w:rFonts w:ascii="宋体" w:hAnsi="宋体" w:eastAsia="宋体"/>
                <w:sz w:val="16"/>
              </w:rPr>
              <w:t>偏差原因分析及改进措施</w:t>
            </w:r>
          </w:p>
        </w:tc>
      </w:tr>
      <w:tr w14:paraId="791A7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905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D30C8">
            <w:pPr>
              <w:jc w:val="center"/>
            </w:pPr>
            <w:r>
              <w:rPr>
                <w:rFonts w:ascii="宋体" w:hAnsi="宋体" w:eastAsia="宋体"/>
                <w:sz w:val="16"/>
              </w:rPr>
              <w:t>产出指标</w:t>
            </w:r>
          </w:p>
        </w:tc>
        <w:tc>
          <w:tcPr>
            <w:tcW w:w="5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33CC0">
            <w:pPr>
              <w:jc w:val="center"/>
            </w:pPr>
            <w:r>
              <w:rPr>
                <w:rFonts w:ascii="宋体" w:hAnsi="宋体" w:eastAsia="宋体"/>
                <w:sz w:val="16"/>
              </w:rPr>
              <w:t>数量指标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1F82B0AD">
            <w:pPr>
              <w:jc w:val="center"/>
            </w:pPr>
            <w:r>
              <w:rPr>
                <w:rFonts w:ascii="宋体" w:hAnsi="宋体" w:eastAsia="宋体"/>
                <w:sz w:val="16"/>
              </w:rPr>
              <w:t>购买办公用品次数</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5BFD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FD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9085">
            <w:pPr>
              <w:jc w:val="center"/>
            </w:pPr>
            <w:r>
              <w:rPr>
                <w:rFonts w:ascii="宋体" w:hAnsi="宋体" w:eastAsia="宋体"/>
                <w:sz w:val="16"/>
              </w:rPr>
              <w:t>4</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1F5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B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365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235DAC">
            <w:pPr>
              <w:jc w:val="center"/>
            </w:pPr>
            <w:r>
              <w:rPr>
                <w:rFonts w:ascii="宋体" w:hAnsi="宋体" w:eastAsia="宋体"/>
                <w:sz w:val="16"/>
              </w:rPr>
              <w:t>=4次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72D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94F27">
            <w:pPr>
              <w:jc w:val="center"/>
            </w:pPr>
          </w:p>
        </w:tc>
      </w:tr>
      <w:tr w14:paraId="7BDDF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F4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95352"/>
        </w:tc>
        <w:tc>
          <w:tcPr>
            <w:tcW w:w="518" w:type="dxa"/>
            <w:vMerge w:val="continue"/>
            <w:tcBorders>
              <w:top w:val="single" w:color="auto" w:sz="10" w:space="0"/>
              <w:left w:val="single" w:color="auto" w:sz="10" w:space="0"/>
              <w:bottom w:val="single" w:color="auto" w:sz="10" w:space="0"/>
              <w:right w:val="single" w:color="auto" w:sz="10" w:space="0"/>
              <w:insideV w:val="single" w:sz="10" w:space="0"/>
            </w:tcBorders>
          </w:tcPr>
          <w:p w14:paraId="159280A0"/>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1EEDF77F">
            <w:pPr>
              <w:jc w:val="center"/>
            </w:pPr>
            <w:r>
              <w:rPr>
                <w:rFonts w:ascii="宋体" w:hAnsi="宋体" w:eastAsia="宋体"/>
                <w:sz w:val="16"/>
              </w:rPr>
              <w:t>办公楼水卡充值</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68A7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7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6D5C">
            <w:pPr>
              <w:jc w:val="center"/>
            </w:pPr>
            <w:r>
              <w:rPr>
                <w:rFonts w:ascii="宋体" w:hAnsi="宋体" w:eastAsia="宋体"/>
                <w:sz w:val="16"/>
              </w:rPr>
              <w:t>1</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033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8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CE7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290472">
            <w:pPr>
              <w:jc w:val="center"/>
            </w:pPr>
            <w:r>
              <w:rPr>
                <w:rFonts w:ascii="宋体" w:hAnsi="宋体" w:eastAsia="宋体"/>
                <w:sz w:val="16"/>
              </w:rPr>
              <w:t>=1次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CD74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2ABB9">
            <w:pPr>
              <w:jc w:val="center"/>
            </w:pPr>
          </w:p>
        </w:tc>
      </w:tr>
      <w:tr w14:paraId="6EE42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DA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66C7"/>
        </w:tc>
        <w:tc>
          <w:tcPr>
            <w:tcW w:w="518" w:type="dxa"/>
            <w:vMerge w:val="continue"/>
            <w:tcBorders>
              <w:top w:val="single" w:color="auto" w:sz="10" w:space="0"/>
              <w:left w:val="single" w:color="auto" w:sz="10" w:space="0"/>
              <w:bottom w:val="single" w:color="auto" w:sz="10" w:space="0"/>
              <w:right w:val="single" w:color="auto" w:sz="10" w:space="0"/>
              <w:insideV w:val="single" w:sz="10" w:space="0"/>
            </w:tcBorders>
          </w:tcPr>
          <w:p w14:paraId="22F96B4D"/>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3A5AF669">
            <w:pPr>
              <w:jc w:val="center"/>
            </w:pPr>
            <w:r>
              <w:rPr>
                <w:rFonts w:ascii="宋体" w:hAnsi="宋体" w:eastAsia="宋体"/>
                <w:sz w:val="16"/>
              </w:rPr>
              <w:t>报销干部差旅费</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7596">
            <w:pPr>
              <w:jc w:val="center"/>
            </w:pPr>
            <w:r>
              <w:rPr>
                <w:rFonts w:ascii="宋体" w:hAnsi="宋体" w:eastAsia="宋体"/>
                <w:sz w:val="16"/>
              </w:rPr>
              <w:t>&gt;=28次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1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7A9B">
            <w:pPr>
              <w:jc w:val="center"/>
            </w:pPr>
            <w:r>
              <w:rPr>
                <w:rFonts w:ascii="宋体" w:hAnsi="宋体" w:eastAsia="宋体"/>
                <w:sz w:val="16"/>
              </w:rPr>
              <w:t>28</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FCF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3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677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72E156">
            <w:pPr>
              <w:jc w:val="center"/>
            </w:pPr>
            <w:r>
              <w:rPr>
                <w:rFonts w:ascii="宋体" w:hAnsi="宋体" w:eastAsia="宋体"/>
                <w:sz w:val="16"/>
              </w:rPr>
              <w:t>=28次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6C92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E9145">
            <w:pPr>
              <w:jc w:val="center"/>
            </w:pPr>
          </w:p>
        </w:tc>
      </w:tr>
      <w:tr w14:paraId="75B3F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0F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720F4"/>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731B767A">
            <w:pPr>
              <w:jc w:val="center"/>
            </w:pPr>
            <w:r>
              <w:rPr>
                <w:rFonts w:ascii="宋体" w:hAnsi="宋体" w:eastAsia="宋体"/>
                <w:sz w:val="16"/>
              </w:rPr>
              <w:t>质量指标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4654F64A">
            <w:pPr>
              <w:jc w:val="center"/>
            </w:pPr>
            <w:r>
              <w:rPr>
                <w:rFonts w:ascii="宋体" w:hAnsi="宋体" w:eastAsia="宋体"/>
                <w:sz w:val="16"/>
              </w:rPr>
              <w:t>资金拨付合格率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4E8C84A">
            <w:pPr>
              <w:jc w:val="center"/>
            </w:pPr>
            <w:r>
              <w:rPr>
                <w:rFonts w:ascii="宋体" w:hAnsi="宋体" w:eastAsia="宋体"/>
                <w:sz w:val="16"/>
              </w:rPr>
              <w:t>=100%</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7F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9ADA">
            <w:pPr>
              <w:jc w:val="center"/>
            </w:pPr>
            <w:r>
              <w:rPr>
                <w:rFonts w:ascii="宋体" w:hAnsi="宋体" w:eastAsia="宋体"/>
                <w:sz w:val="16"/>
              </w:rPr>
              <w:t>100%</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729212FD">
            <w:pPr>
              <w:jc w:val="center"/>
            </w:pPr>
            <w:r>
              <w:rPr>
                <w:rFonts w:ascii="宋体" w:hAnsi="宋体" w:eastAsia="宋体"/>
                <w:sz w:val="16"/>
              </w:rPr>
              <w:t>8</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17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96A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908D01">
            <w:pPr>
              <w:jc w:val="center"/>
            </w:pPr>
            <w:r>
              <w:rPr>
                <w:rFonts w:ascii="宋体" w:hAnsi="宋体" w:eastAsia="宋体"/>
                <w:sz w:val="16"/>
              </w:rPr>
              <w:t>=100%</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2C35D4E5">
            <w:pPr>
              <w:jc w:val="center"/>
            </w:pPr>
            <w:r>
              <w:rPr>
                <w:rFonts w:ascii="宋体" w:hAnsi="宋体" w:eastAsia="宋体"/>
                <w:sz w:val="16"/>
              </w:rPr>
              <w:t>8</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E26D04">
            <w:pPr>
              <w:jc w:val="center"/>
            </w:pPr>
          </w:p>
        </w:tc>
      </w:tr>
      <w:tr w14:paraId="5B0FA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5B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64E88"/>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580E9E2C">
            <w:pPr>
              <w:jc w:val="center"/>
            </w:pPr>
            <w:r>
              <w:rPr>
                <w:rFonts w:ascii="宋体" w:hAnsi="宋体" w:eastAsia="宋体"/>
                <w:sz w:val="16"/>
              </w:rPr>
              <w:t>时效指标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4BBCD36A">
            <w:pPr>
              <w:jc w:val="center"/>
            </w:pPr>
            <w:r>
              <w:rPr>
                <w:rFonts w:ascii="宋体" w:hAnsi="宋体" w:eastAsia="宋体"/>
                <w:sz w:val="16"/>
              </w:rPr>
              <w:t>资金拨付及时性</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75CE1A6">
            <w:pPr>
              <w:jc w:val="center"/>
            </w:pPr>
            <w:r>
              <w:rPr>
                <w:rFonts w:ascii="宋体" w:hAnsi="宋体" w:eastAsia="宋体"/>
                <w:sz w:val="16"/>
              </w:rPr>
              <w:t>=100%</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6C1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5C9E">
            <w:pPr>
              <w:jc w:val="center"/>
            </w:pPr>
            <w:r>
              <w:rPr>
                <w:rFonts w:ascii="宋体" w:hAnsi="宋体" w:eastAsia="宋体"/>
                <w:sz w:val="16"/>
              </w:rPr>
              <w:t>100%</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66E5E166">
            <w:pPr>
              <w:jc w:val="center"/>
            </w:pPr>
            <w:r>
              <w:rPr>
                <w:rFonts w:ascii="宋体" w:hAnsi="宋体" w:eastAsia="宋体"/>
                <w:sz w:val="16"/>
              </w:rPr>
              <w:t>8</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69F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D59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F87799">
            <w:pPr>
              <w:jc w:val="center"/>
            </w:pPr>
            <w:r>
              <w:rPr>
                <w:rFonts w:ascii="宋体" w:hAnsi="宋体" w:eastAsia="宋体"/>
                <w:sz w:val="16"/>
              </w:rPr>
              <w:t>=100%</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0DC59275">
            <w:pPr>
              <w:jc w:val="center"/>
            </w:pPr>
            <w:r>
              <w:rPr>
                <w:rFonts w:ascii="宋体" w:hAnsi="宋体" w:eastAsia="宋体"/>
                <w:sz w:val="16"/>
              </w:rPr>
              <w:t>8</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F5EEA0">
            <w:pPr>
              <w:jc w:val="center"/>
            </w:pPr>
          </w:p>
        </w:tc>
      </w:tr>
      <w:tr w14:paraId="007A0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390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6E79B">
            <w:pPr>
              <w:jc w:val="center"/>
            </w:pPr>
            <w:r>
              <w:rPr>
                <w:rFonts w:ascii="宋体" w:hAnsi="宋体" w:eastAsia="宋体"/>
                <w:sz w:val="16"/>
              </w:rPr>
              <w:t>成本指标</w:t>
            </w:r>
          </w:p>
        </w:tc>
        <w:tc>
          <w:tcPr>
            <w:tcW w:w="5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E84EE">
            <w:pPr>
              <w:jc w:val="center"/>
            </w:pPr>
            <w:r>
              <w:rPr>
                <w:rFonts w:ascii="宋体" w:hAnsi="宋体" w:eastAsia="宋体"/>
                <w:sz w:val="16"/>
              </w:rPr>
              <w:t>经济成本指标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015C09B2">
            <w:pPr>
              <w:jc w:val="center"/>
            </w:pPr>
            <w:r>
              <w:rPr>
                <w:rFonts w:ascii="宋体" w:hAnsi="宋体" w:eastAsia="宋体"/>
                <w:sz w:val="16"/>
              </w:rPr>
              <w:t>购买办公用品金额</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D4A83A2">
            <w:pPr>
              <w:jc w:val="center"/>
            </w:pPr>
            <w:r>
              <w:rPr>
                <w:rFonts w:ascii="宋体" w:hAnsi="宋体" w:eastAsia="宋体"/>
                <w:sz w:val="16"/>
              </w:rPr>
              <w:t>&lt;=4.46万元</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C9C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C9E2">
            <w:pPr>
              <w:jc w:val="center"/>
            </w:pPr>
            <w:r>
              <w:rPr>
                <w:rFonts w:ascii="宋体" w:hAnsi="宋体" w:eastAsia="宋体"/>
                <w:sz w:val="16"/>
              </w:rPr>
              <w:t>4.46万元</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65AFDB5C">
            <w:pPr>
              <w:jc w:val="center"/>
            </w:pPr>
            <w:r>
              <w:rPr>
                <w:rFonts w:ascii="宋体" w:hAnsi="宋体" w:eastAsia="宋体"/>
                <w:sz w:val="16"/>
              </w:rPr>
              <w:t>5</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5A9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9B4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04BC82">
            <w:pPr>
              <w:jc w:val="center"/>
            </w:pPr>
            <w:r>
              <w:rPr>
                <w:rFonts w:ascii="宋体" w:hAnsi="宋体" w:eastAsia="宋体"/>
                <w:sz w:val="16"/>
              </w:rPr>
              <w:t>=4.46万元</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4E2AA6E2">
            <w:pPr>
              <w:jc w:val="center"/>
            </w:pPr>
            <w:r>
              <w:rPr>
                <w:rFonts w:ascii="宋体" w:hAnsi="宋体" w:eastAsia="宋体"/>
                <w:sz w:val="16"/>
              </w:rPr>
              <w:t>5</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03233A">
            <w:pPr>
              <w:jc w:val="center"/>
            </w:pPr>
          </w:p>
        </w:tc>
      </w:tr>
      <w:tr w14:paraId="38BA1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0C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06B7D"/>
        </w:tc>
        <w:tc>
          <w:tcPr>
            <w:tcW w:w="518" w:type="dxa"/>
            <w:vMerge w:val="continue"/>
            <w:tcBorders>
              <w:top w:val="single" w:color="auto" w:sz="10" w:space="0"/>
              <w:left w:val="single" w:color="auto" w:sz="10" w:space="0"/>
              <w:bottom w:val="single" w:color="auto" w:sz="10" w:space="0"/>
              <w:right w:val="single" w:color="auto" w:sz="10" w:space="0"/>
              <w:insideV w:val="single" w:sz="10" w:space="0"/>
            </w:tcBorders>
          </w:tcPr>
          <w:p w14:paraId="3CE2FA4E"/>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33560ADF">
            <w:pPr>
              <w:jc w:val="center"/>
            </w:pPr>
            <w:r>
              <w:rPr>
                <w:rFonts w:ascii="宋体" w:hAnsi="宋体" w:eastAsia="宋体"/>
                <w:sz w:val="16"/>
              </w:rPr>
              <w:t>水卡充值费用</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E868BD3">
            <w:pPr>
              <w:jc w:val="center"/>
            </w:pPr>
            <w:r>
              <w:rPr>
                <w:rFonts w:ascii="宋体" w:hAnsi="宋体" w:eastAsia="宋体"/>
                <w:sz w:val="16"/>
              </w:rPr>
              <w:t>&lt;=0.21万元</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9D2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B357">
            <w:pPr>
              <w:jc w:val="center"/>
            </w:pPr>
            <w:r>
              <w:rPr>
                <w:rFonts w:ascii="宋体" w:hAnsi="宋体" w:eastAsia="宋体"/>
                <w:sz w:val="16"/>
              </w:rPr>
              <w:t>0.21万元</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496CEE3B">
            <w:pPr>
              <w:jc w:val="center"/>
            </w:pPr>
            <w:r>
              <w:rPr>
                <w:rFonts w:ascii="宋体" w:hAnsi="宋体" w:eastAsia="宋体"/>
                <w:sz w:val="16"/>
              </w:rPr>
              <w:t>5</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F9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E2C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2EE361">
            <w:pPr>
              <w:jc w:val="center"/>
            </w:pPr>
            <w:r>
              <w:rPr>
                <w:rFonts w:ascii="宋体" w:hAnsi="宋体" w:eastAsia="宋体"/>
                <w:sz w:val="16"/>
              </w:rPr>
              <w:t>=0.21万元</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13CF8912">
            <w:pPr>
              <w:jc w:val="center"/>
            </w:pPr>
            <w:r>
              <w:rPr>
                <w:rFonts w:ascii="宋体" w:hAnsi="宋体" w:eastAsia="宋体"/>
                <w:sz w:val="16"/>
              </w:rPr>
              <w:t>5</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7C0AC1">
            <w:pPr>
              <w:jc w:val="center"/>
            </w:pPr>
          </w:p>
        </w:tc>
      </w:tr>
      <w:tr w14:paraId="5DCEE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9B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D4FA7"/>
        </w:tc>
        <w:tc>
          <w:tcPr>
            <w:tcW w:w="518" w:type="dxa"/>
            <w:vMerge w:val="continue"/>
            <w:tcBorders>
              <w:top w:val="single" w:color="auto" w:sz="10" w:space="0"/>
              <w:left w:val="single" w:color="auto" w:sz="10" w:space="0"/>
              <w:bottom w:val="single" w:color="auto" w:sz="10" w:space="0"/>
              <w:right w:val="single" w:color="auto" w:sz="10" w:space="0"/>
              <w:insideV w:val="single" w:sz="10" w:space="0"/>
            </w:tcBorders>
          </w:tcPr>
          <w:p w14:paraId="23A92D43"/>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6F51A829">
            <w:pPr>
              <w:jc w:val="center"/>
            </w:pPr>
            <w:r>
              <w:rPr>
                <w:rFonts w:ascii="宋体" w:hAnsi="宋体" w:eastAsia="宋体"/>
                <w:sz w:val="16"/>
              </w:rPr>
              <w:t>差旅费</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ED68066">
            <w:pPr>
              <w:jc w:val="center"/>
            </w:pPr>
            <w:r>
              <w:rPr>
                <w:rFonts w:ascii="宋体" w:hAnsi="宋体" w:eastAsia="宋体"/>
                <w:sz w:val="16"/>
              </w:rPr>
              <w:t>&lt;=10.33万元</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CBC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7174">
            <w:pPr>
              <w:jc w:val="center"/>
            </w:pPr>
            <w:r>
              <w:rPr>
                <w:rFonts w:ascii="宋体" w:hAnsi="宋体" w:eastAsia="宋体"/>
                <w:sz w:val="16"/>
              </w:rPr>
              <w:t>10.33万元</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2D8FFB2A">
            <w:pPr>
              <w:jc w:val="center"/>
            </w:pPr>
            <w:r>
              <w:rPr>
                <w:rFonts w:ascii="宋体" w:hAnsi="宋体" w:eastAsia="宋体"/>
                <w:sz w:val="16"/>
              </w:rPr>
              <w:t>10</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0E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35D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1BFB92">
            <w:pPr>
              <w:jc w:val="center"/>
            </w:pPr>
            <w:r>
              <w:rPr>
                <w:rFonts w:ascii="宋体" w:hAnsi="宋体" w:eastAsia="宋体"/>
                <w:sz w:val="16"/>
              </w:rPr>
              <w:t>=10.33万元</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643C815A">
            <w:pPr>
              <w:jc w:val="center"/>
            </w:pPr>
            <w:r>
              <w:rPr>
                <w:rFonts w:ascii="宋体" w:hAnsi="宋体" w:eastAsia="宋体"/>
                <w:sz w:val="16"/>
              </w:rPr>
              <w:t>10</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81886E">
            <w:pPr>
              <w:jc w:val="center"/>
            </w:pPr>
          </w:p>
        </w:tc>
      </w:tr>
      <w:tr w14:paraId="78BF0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452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FF8D0">
            <w:pPr>
              <w:jc w:val="center"/>
            </w:pPr>
            <w:r>
              <w:rPr>
                <w:rFonts w:ascii="宋体" w:hAnsi="宋体" w:eastAsia="宋体"/>
                <w:sz w:val="16"/>
              </w:rPr>
              <w:t>效益指标</w:t>
            </w:r>
          </w:p>
        </w:tc>
        <w:tc>
          <w:tcPr>
            <w:tcW w:w="5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02C4D">
            <w:pPr>
              <w:jc w:val="center"/>
            </w:pPr>
            <w:r>
              <w:rPr>
                <w:rFonts w:ascii="宋体" w:hAnsi="宋体" w:eastAsia="宋体"/>
                <w:sz w:val="16"/>
              </w:rPr>
              <w:t>社会效益指标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3D29683C">
            <w:pPr>
              <w:jc w:val="center"/>
            </w:pPr>
            <w:r>
              <w:rPr>
                <w:rFonts w:ascii="宋体" w:hAnsi="宋体" w:eastAsia="宋体"/>
                <w:sz w:val="16"/>
              </w:rPr>
              <w:t>项目可持续影响年限</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22CC2A5">
            <w:pPr>
              <w:jc w:val="center"/>
            </w:pPr>
            <w:r>
              <w:rPr>
                <w:rFonts w:ascii="宋体" w:hAnsi="宋体" w:eastAsia="宋体"/>
                <w:sz w:val="16"/>
              </w:rPr>
              <w:t>&gt;=1年</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BD9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D825">
            <w:pPr>
              <w:jc w:val="center"/>
            </w:pPr>
            <w:r>
              <w:rPr>
                <w:rFonts w:ascii="宋体" w:hAnsi="宋体" w:eastAsia="宋体"/>
                <w:sz w:val="16"/>
              </w:rPr>
              <w:t>1年</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67C6841C">
            <w:pPr>
              <w:jc w:val="center"/>
            </w:pPr>
            <w:r>
              <w:rPr>
                <w:rFonts w:ascii="宋体" w:hAnsi="宋体" w:eastAsia="宋体"/>
                <w:sz w:val="16"/>
              </w:rPr>
              <w:t>10</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5F5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60B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040402">
            <w:pPr>
              <w:jc w:val="center"/>
            </w:pPr>
            <w:r>
              <w:rPr>
                <w:rFonts w:ascii="宋体" w:hAnsi="宋体" w:eastAsia="宋体"/>
                <w:sz w:val="16"/>
              </w:rPr>
              <w:t>=1年</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385951E5">
            <w:pPr>
              <w:jc w:val="center"/>
            </w:pPr>
            <w:r>
              <w:rPr>
                <w:rFonts w:ascii="宋体" w:hAnsi="宋体" w:eastAsia="宋体"/>
                <w:sz w:val="16"/>
              </w:rPr>
              <w:t>10</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D68E96">
            <w:pPr>
              <w:jc w:val="center"/>
            </w:pPr>
          </w:p>
        </w:tc>
      </w:tr>
      <w:tr w14:paraId="7006D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B9C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31272"/>
        </w:tc>
        <w:tc>
          <w:tcPr>
            <w:tcW w:w="518" w:type="dxa"/>
            <w:vMerge w:val="continue"/>
            <w:tcBorders>
              <w:top w:val="single" w:color="auto" w:sz="10" w:space="0"/>
              <w:left w:val="single" w:color="auto" w:sz="10" w:space="0"/>
              <w:bottom w:val="single" w:color="auto" w:sz="10" w:space="0"/>
              <w:right w:val="single" w:color="auto" w:sz="10" w:space="0"/>
              <w:insideV w:val="single" w:sz="10" w:space="0"/>
            </w:tcBorders>
          </w:tcPr>
          <w:p w14:paraId="24C18FBF"/>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5BE864B9">
            <w:pPr>
              <w:jc w:val="center"/>
            </w:pPr>
            <w:r>
              <w:rPr>
                <w:rFonts w:ascii="宋体" w:hAnsi="宋体" w:eastAsia="宋体"/>
                <w:sz w:val="16"/>
              </w:rPr>
              <w:t>有效提升办公条</w:t>
            </w:r>
            <w:r>
              <w:rPr>
                <w:rFonts w:hint="eastAsia" w:ascii="宋体" w:hAnsi="宋体"/>
                <w:sz w:val="16"/>
                <w:lang w:eastAsia="zh-CN"/>
              </w:rPr>
              <w:t>件和</w:t>
            </w:r>
            <w:r>
              <w:rPr>
                <w:rFonts w:ascii="宋体" w:hAnsi="宋体" w:eastAsia="宋体"/>
                <w:sz w:val="16"/>
              </w:rPr>
              <w:t>环境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444BED5">
            <w:pPr>
              <w:jc w:val="center"/>
            </w:pPr>
            <w:r>
              <w:rPr>
                <w:rFonts w:ascii="宋体" w:hAnsi="宋体" w:eastAsia="宋体"/>
                <w:sz w:val="16"/>
              </w:rPr>
              <w:t>有效提升</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25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1860">
            <w:pPr>
              <w:jc w:val="center"/>
            </w:pPr>
            <w:r>
              <w:rPr>
                <w:rFonts w:ascii="宋体" w:hAnsi="宋体" w:eastAsia="宋体"/>
                <w:sz w:val="16"/>
              </w:rPr>
              <w:t>有效提升</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14098A2D">
            <w:pPr>
              <w:jc w:val="center"/>
            </w:pPr>
            <w:r>
              <w:rPr>
                <w:rFonts w:ascii="宋体" w:hAnsi="宋体" w:eastAsia="宋体"/>
                <w:sz w:val="16"/>
              </w:rPr>
              <w:t>10</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DF1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DD6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7D6880">
            <w:pPr>
              <w:jc w:val="center"/>
            </w:pPr>
            <w:r>
              <w:rPr>
                <w:rFonts w:ascii="宋体" w:hAnsi="宋体" w:eastAsia="宋体"/>
                <w:sz w:val="16"/>
              </w:rPr>
              <w:t>有效提升</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17433E5B">
            <w:pPr>
              <w:jc w:val="center"/>
            </w:pPr>
            <w:r>
              <w:rPr>
                <w:rFonts w:ascii="宋体" w:hAnsi="宋体" w:eastAsia="宋体"/>
                <w:sz w:val="16"/>
              </w:rPr>
              <w:t>10</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D2ECEE">
            <w:pPr>
              <w:jc w:val="center"/>
            </w:pPr>
          </w:p>
        </w:tc>
      </w:tr>
      <w:tr w14:paraId="18DC0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33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3F19">
            <w:pPr>
              <w:jc w:val="center"/>
            </w:pPr>
            <w:r>
              <w:rPr>
                <w:rFonts w:ascii="宋体" w:hAnsi="宋体" w:eastAsia="宋体"/>
                <w:sz w:val="16"/>
              </w:rPr>
              <w:t>满意度指标</w:t>
            </w:r>
          </w:p>
        </w:tc>
        <w:tc>
          <w:tcPr>
            <w:tcW w:w="518" w:type="dxa"/>
            <w:tcBorders>
              <w:top w:val="single" w:color="auto" w:sz="10" w:space="0"/>
              <w:left w:val="single" w:color="auto" w:sz="10" w:space="0"/>
              <w:bottom w:val="single" w:color="auto" w:sz="10" w:space="0"/>
              <w:right w:val="single" w:color="auto" w:sz="10" w:space="0"/>
              <w:insideV w:val="single" w:sz="10" w:space="0"/>
            </w:tcBorders>
            <w:vAlign w:val="center"/>
          </w:tcPr>
          <w:p w14:paraId="05AF7FF1">
            <w:pPr>
              <w:jc w:val="center"/>
            </w:pPr>
            <w:r>
              <w:rPr>
                <w:rFonts w:ascii="宋体" w:hAnsi="宋体" w:eastAsia="宋体"/>
                <w:sz w:val="16"/>
              </w:rPr>
              <w:t>满意度指标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6558CCEB">
            <w:pPr>
              <w:jc w:val="center"/>
            </w:pPr>
            <w:r>
              <w:rPr>
                <w:rFonts w:ascii="宋体" w:hAnsi="宋体" w:eastAsia="宋体"/>
                <w:sz w:val="16"/>
              </w:rPr>
              <w:t>单位干部满意度(%)</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11A6ECD">
            <w:pPr>
              <w:jc w:val="center"/>
            </w:pPr>
            <w:r>
              <w:rPr>
                <w:rFonts w:ascii="宋体" w:hAnsi="宋体" w:eastAsia="宋体"/>
                <w:sz w:val="16"/>
              </w:rPr>
              <w:t>&gt;=98%</w:t>
            </w:r>
          </w:p>
        </w:tc>
        <w:tc>
          <w:tcPr>
            <w:tcW w:w="7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53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78C4">
            <w:pPr>
              <w:jc w:val="center"/>
            </w:pPr>
            <w:r>
              <w:rPr>
                <w:rFonts w:ascii="宋体" w:hAnsi="宋体" w:eastAsia="宋体"/>
                <w:sz w:val="16"/>
              </w:rPr>
              <w:t>群众满意</w:t>
            </w:r>
          </w:p>
        </w:tc>
        <w:tc>
          <w:tcPr>
            <w:tcW w:w="410" w:type="dxa"/>
            <w:tcBorders>
              <w:top w:val="single" w:color="auto" w:sz="10" w:space="0"/>
              <w:left w:val="single" w:color="auto" w:sz="10" w:space="0"/>
              <w:bottom w:val="single" w:color="auto" w:sz="10" w:space="0"/>
              <w:right w:val="single" w:color="auto" w:sz="10" w:space="0"/>
              <w:insideV w:val="single" w:sz="10" w:space="0"/>
            </w:tcBorders>
            <w:vAlign w:val="center"/>
          </w:tcPr>
          <w:p w14:paraId="0C67404A">
            <w:pPr>
              <w:jc w:val="center"/>
            </w:pPr>
            <w:r>
              <w:rPr>
                <w:rFonts w:ascii="宋体" w:hAnsi="宋体" w:eastAsia="宋体"/>
                <w:sz w:val="16"/>
              </w:rPr>
              <w:t>10</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E5F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647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5A7D6E">
            <w:pPr>
              <w:jc w:val="center"/>
            </w:pPr>
            <w:r>
              <w:rPr>
                <w:rFonts w:ascii="宋体" w:hAnsi="宋体" w:eastAsia="宋体"/>
                <w:sz w:val="16"/>
              </w:rPr>
              <w:t>=100%</w:t>
            </w:r>
          </w:p>
        </w:tc>
        <w:tc>
          <w:tcPr>
            <w:tcW w:w="447" w:type="dxa"/>
            <w:tcBorders>
              <w:top w:val="single" w:color="auto" w:sz="10" w:space="0"/>
              <w:left w:val="single" w:color="auto" w:sz="10" w:space="0"/>
              <w:bottom w:val="single" w:color="auto" w:sz="10" w:space="0"/>
              <w:right w:val="single" w:color="auto" w:sz="10" w:space="0"/>
              <w:insideV w:val="single" w:sz="10" w:space="0"/>
            </w:tcBorders>
            <w:vAlign w:val="center"/>
          </w:tcPr>
          <w:p w14:paraId="704050EA">
            <w:pPr>
              <w:jc w:val="center"/>
            </w:pPr>
            <w:r>
              <w:rPr>
                <w:rFonts w:ascii="宋体" w:hAnsi="宋体" w:eastAsia="宋体"/>
                <w:sz w:val="16"/>
              </w:rPr>
              <w:t>10</w:t>
            </w:r>
          </w:p>
        </w:tc>
        <w:tc>
          <w:tcPr>
            <w:tcW w:w="14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B5D4A9">
            <w:pPr>
              <w:jc w:val="center"/>
            </w:pPr>
            <w:r>
              <w:rPr>
                <w:rFonts w:ascii="宋体" w:hAnsi="宋体" w:eastAsia="宋体"/>
                <w:sz w:val="16"/>
              </w:rPr>
              <w:t>偏差原因分析：项目实施情况较好，单位干部满意度高于预期导致出现正偏差，改进措施：基于当前良好表现，重新审视绩效目标，在以后绩效目标设置时设置更具挑战性的目标，以推动业务持续发展。</w:t>
            </w:r>
          </w:p>
        </w:tc>
      </w:tr>
      <w:tr w14:paraId="2B9C0B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1ED1">
            <w:pPr>
              <w:jc w:val="center"/>
            </w:pPr>
            <w:r>
              <w:rPr>
                <w:rFonts w:ascii="宋体" w:hAnsi="宋体" w:eastAsia="宋体"/>
                <w:sz w:val="16"/>
              </w:rPr>
              <w:t>总分</w:t>
            </w:r>
          </w:p>
        </w:tc>
        <w:tc>
          <w:tcPr>
            <w:tcW w:w="434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C965DF8">
            <w:pPr>
              <w:jc w:val="center"/>
            </w:pPr>
            <w:r>
              <w:rPr>
                <w:rFonts w:ascii="宋体" w:hAnsi="宋体" w:eastAsia="宋体"/>
                <w:sz w:val="16"/>
              </w:rPr>
              <w:t>100</w:t>
            </w:r>
          </w:p>
        </w:tc>
        <w:tc>
          <w:tcPr>
            <w:tcW w:w="8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0F02">
            <w:pPr>
              <w:jc w:val="center"/>
            </w:pPr>
            <w:r>
              <w:rPr>
                <w:rFonts w:ascii="宋体" w:hAnsi="宋体" w:eastAsia="宋体"/>
                <w:sz w:val="16"/>
              </w:rPr>
              <w:t>得分</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DE6119">
            <w:pPr>
              <w:jc w:val="center"/>
            </w:pPr>
            <w:r>
              <w:rPr>
                <w:rFonts w:ascii="宋体" w:hAnsi="宋体" w:eastAsia="宋体"/>
                <w:sz w:val="16"/>
              </w:rPr>
              <w:t>100分</w:t>
            </w:r>
          </w:p>
        </w:tc>
      </w:tr>
    </w:tbl>
    <w:p w14:paraId="4A277B75">
      <w:r>
        <w:br w:type="page"/>
      </w:r>
    </w:p>
    <w:tbl>
      <w:tblPr>
        <w:tblStyle w:val="9"/>
        <w:tblW w:w="0" w:type="auto"/>
        <w:tblInd w:w="0" w:type="dxa"/>
        <w:tblLayout w:type="autofit"/>
        <w:tblCellMar>
          <w:top w:w="0" w:type="dxa"/>
          <w:left w:w="108" w:type="dxa"/>
          <w:bottom w:w="0" w:type="dxa"/>
          <w:right w:w="108" w:type="dxa"/>
        </w:tblCellMar>
      </w:tblPr>
      <w:tblGrid>
        <w:gridCol w:w="627"/>
        <w:gridCol w:w="617"/>
        <w:gridCol w:w="617"/>
        <w:gridCol w:w="617"/>
        <w:gridCol w:w="856"/>
        <w:gridCol w:w="617"/>
        <w:gridCol w:w="617"/>
        <w:gridCol w:w="617"/>
        <w:gridCol w:w="617"/>
        <w:gridCol w:w="617"/>
        <w:gridCol w:w="776"/>
        <w:gridCol w:w="631"/>
        <w:gridCol w:w="602"/>
        <w:gridCol w:w="632"/>
      </w:tblGrid>
      <w:tr w14:paraId="77B044EE">
        <w:tblPrEx>
          <w:tblCellMar>
            <w:top w:w="0" w:type="dxa"/>
            <w:left w:w="108" w:type="dxa"/>
            <w:bottom w:w="0" w:type="dxa"/>
            <w:right w:w="108" w:type="dxa"/>
          </w:tblCellMar>
        </w:tblPrEx>
        <w:tc>
          <w:tcPr>
            <w:tcW w:w="8848" w:type="dxa"/>
            <w:gridSpan w:val="14"/>
            <w:vAlign w:val="center"/>
          </w:tcPr>
          <w:p w14:paraId="697E7D9E">
            <w:pPr>
              <w:jc w:val="center"/>
            </w:pPr>
            <w:r>
              <w:rPr>
                <w:rFonts w:ascii="宋体" w:hAnsi="宋体" w:eastAsia="宋体"/>
                <w:sz w:val="24"/>
              </w:rPr>
              <w:t>项目支出绩效自评表</w:t>
            </w:r>
          </w:p>
        </w:tc>
      </w:tr>
      <w:tr w14:paraId="590FC76F">
        <w:tblPrEx>
          <w:tblCellMar>
            <w:top w:w="0" w:type="dxa"/>
            <w:left w:w="108" w:type="dxa"/>
            <w:bottom w:w="0" w:type="dxa"/>
            <w:right w:w="108" w:type="dxa"/>
          </w:tblCellMar>
        </w:tblPrEx>
        <w:tc>
          <w:tcPr>
            <w:tcW w:w="8848" w:type="dxa"/>
            <w:gridSpan w:val="14"/>
            <w:vAlign w:val="center"/>
          </w:tcPr>
          <w:p w14:paraId="5B0F5363">
            <w:pPr>
              <w:jc w:val="center"/>
            </w:pPr>
            <w:r>
              <w:rPr>
                <w:rFonts w:ascii="宋体" w:hAnsi="宋体" w:eastAsia="宋体"/>
                <w:sz w:val="24"/>
              </w:rPr>
              <w:t>(2024年度)</w:t>
            </w:r>
          </w:p>
        </w:tc>
      </w:tr>
      <w:tr w14:paraId="420C51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FE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50BE89">
            <w:pPr>
              <w:jc w:val="center"/>
            </w:pPr>
            <w:r>
              <w:rPr>
                <w:rFonts w:hint="eastAsia" w:ascii="宋体" w:hAnsi="宋体"/>
                <w:sz w:val="16"/>
                <w:lang w:eastAsia="zh-CN"/>
              </w:rPr>
              <w:t>塔什库尔干塔吉克自治县</w:t>
            </w:r>
            <w:r>
              <w:rPr>
                <w:rFonts w:ascii="宋体" w:hAnsi="宋体" w:eastAsia="宋体"/>
                <w:sz w:val="16"/>
              </w:rPr>
              <w:t>人民政府办公室经费</w:t>
            </w:r>
          </w:p>
        </w:tc>
      </w:tr>
      <w:tr w14:paraId="691E8E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6F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87984">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6E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4F9F80">
            <w:pPr>
              <w:jc w:val="center"/>
            </w:pPr>
            <w:r>
              <w:rPr>
                <w:rFonts w:ascii="宋体" w:hAnsi="宋体" w:eastAsia="宋体"/>
                <w:sz w:val="16"/>
              </w:rPr>
              <w:t>塔什库尔干塔吉克自治县人民政府办公室</w:t>
            </w:r>
          </w:p>
        </w:tc>
      </w:tr>
      <w:tr w14:paraId="2A5343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A445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69A3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B10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B41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DEB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D2E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3CE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379A">
            <w:pPr>
              <w:jc w:val="center"/>
            </w:pPr>
            <w:r>
              <w:rPr>
                <w:rFonts w:ascii="宋体" w:hAnsi="宋体" w:eastAsia="宋体"/>
                <w:sz w:val="16"/>
              </w:rPr>
              <w:t>得分</w:t>
            </w:r>
          </w:p>
        </w:tc>
      </w:tr>
      <w:tr w14:paraId="13EAB2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E87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001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93625">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C0022">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96CE3">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3E4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DE8E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19F1">
            <w:pPr>
              <w:jc w:val="center"/>
            </w:pPr>
            <w:r>
              <w:rPr>
                <w:rFonts w:ascii="宋体" w:hAnsi="宋体" w:eastAsia="宋体"/>
                <w:sz w:val="16"/>
              </w:rPr>
              <w:t>10.00分</w:t>
            </w:r>
          </w:p>
        </w:tc>
      </w:tr>
      <w:tr w14:paraId="2A066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06B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FAC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92AC9">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ECBA6">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77201">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057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E38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E401">
            <w:pPr>
              <w:jc w:val="center"/>
            </w:pPr>
            <w:r>
              <w:rPr>
                <w:rFonts w:ascii="宋体" w:hAnsi="宋体" w:eastAsia="宋体"/>
                <w:sz w:val="16"/>
              </w:rPr>
              <w:t>—</w:t>
            </w:r>
          </w:p>
        </w:tc>
      </w:tr>
      <w:tr w14:paraId="56392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A1E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833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F1A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A83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238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423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1B8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892A">
            <w:pPr>
              <w:jc w:val="center"/>
            </w:pPr>
            <w:r>
              <w:rPr>
                <w:rFonts w:ascii="宋体" w:hAnsi="宋体" w:eastAsia="宋体"/>
                <w:sz w:val="16"/>
              </w:rPr>
              <w:t>—</w:t>
            </w:r>
          </w:p>
        </w:tc>
      </w:tr>
      <w:tr w14:paraId="11E82D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E978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7EE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9CC8E">
            <w:pPr>
              <w:jc w:val="center"/>
            </w:pPr>
            <w:r>
              <w:rPr>
                <w:rFonts w:ascii="宋体" w:hAnsi="宋体" w:eastAsia="宋体"/>
                <w:sz w:val="16"/>
              </w:rPr>
              <w:t>实际完成情况</w:t>
            </w:r>
          </w:p>
        </w:tc>
      </w:tr>
      <w:tr w14:paraId="33DA0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460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534E0">
            <w:pPr>
              <w:jc w:val="both"/>
            </w:pPr>
            <w:r>
              <w:rPr>
                <w:rFonts w:ascii="宋体" w:hAnsi="宋体" w:eastAsia="宋体"/>
                <w:sz w:val="16"/>
              </w:rPr>
              <w:t>该项目计划投入19万元，主要用于报销网络费1次，车辆油卡充值1次，订阅党报党刊3次，14次干部的差旅费、购买1</w:t>
            </w:r>
            <w:r>
              <w:rPr>
                <w:rFonts w:hint="eastAsia" w:ascii="宋体" w:hAnsi="宋体"/>
                <w:sz w:val="16"/>
                <w:lang w:eastAsia="zh-CN"/>
              </w:rPr>
              <w:t>台</w:t>
            </w:r>
            <w:r>
              <w:rPr>
                <w:rFonts w:ascii="宋体" w:hAnsi="宋体" w:eastAsia="宋体"/>
                <w:sz w:val="16"/>
              </w:rPr>
              <w:t>打印机、缴纳1次电费、车辆检测2次、购买10次办公用品，该工作的开展确保了各项工作的有序开展，提高了办公效率。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15EF16">
            <w:pPr>
              <w:jc w:val="both"/>
            </w:pPr>
            <w:r>
              <w:rPr>
                <w:rFonts w:ascii="宋体" w:hAnsi="宋体" w:eastAsia="宋体"/>
                <w:sz w:val="16"/>
              </w:rPr>
              <w:t>该项目实际支出19万元，主要用于塔什库尔干塔吉克自治县人民政府办公室运转经费，其中报销网络费1次，车辆油卡充值1次，订阅党报党刊3次，干部出差的差旅费14次、购买打印机1个、缴纳电费1次、车辆检测2次、购买办公用品10次，项目实施保障了塔什库尔干塔吉克自治县人民政府办公室各项工作的正常运转，有效提升办公条件环境，充分调动了干部工作积极性，提高了工作人员的</w:t>
            </w:r>
            <w:r>
              <w:rPr>
                <w:rFonts w:hint="eastAsia" w:ascii="宋体" w:hAnsi="宋体"/>
                <w:sz w:val="16"/>
                <w:lang w:eastAsia="zh-CN"/>
              </w:rPr>
              <w:t>办公</w:t>
            </w:r>
            <w:r>
              <w:rPr>
                <w:rFonts w:ascii="宋体" w:hAnsi="宋体" w:eastAsia="宋体"/>
                <w:sz w:val="16"/>
              </w:rPr>
              <w:t xml:space="preserve">效率。            </w:t>
            </w:r>
          </w:p>
        </w:tc>
      </w:tr>
      <w:tr w14:paraId="5E2997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FD8A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8B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2A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B0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D40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83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2A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794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5C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00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38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FD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F99B">
            <w:pPr>
              <w:jc w:val="center"/>
            </w:pPr>
            <w:r>
              <w:rPr>
                <w:rFonts w:ascii="宋体" w:hAnsi="宋体" w:eastAsia="宋体"/>
                <w:sz w:val="16"/>
              </w:rPr>
              <w:t>偏差原因分析及改进措施</w:t>
            </w:r>
          </w:p>
        </w:tc>
      </w:tr>
      <w:tr w14:paraId="054ED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D14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C82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57B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D2CA">
            <w:pPr>
              <w:jc w:val="center"/>
            </w:pPr>
            <w:r>
              <w:rPr>
                <w:rFonts w:ascii="宋体" w:hAnsi="宋体" w:eastAsia="宋体"/>
                <w:sz w:val="16"/>
              </w:rPr>
              <w:t>网络费充值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62D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7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02D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6B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12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F1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7C4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56F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ECF82">
            <w:pPr>
              <w:jc w:val="center"/>
            </w:pPr>
          </w:p>
        </w:tc>
      </w:tr>
      <w:tr w14:paraId="22505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32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4A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78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842F">
            <w:pPr>
              <w:jc w:val="center"/>
            </w:pPr>
            <w:r>
              <w:rPr>
                <w:rFonts w:ascii="宋体" w:hAnsi="宋体" w:eastAsia="宋体"/>
                <w:sz w:val="16"/>
              </w:rPr>
              <w:t>购买打印机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785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9B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9DD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53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A9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1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F3D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ECE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05AE0">
            <w:pPr>
              <w:jc w:val="center"/>
            </w:pPr>
          </w:p>
        </w:tc>
      </w:tr>
      <w:tr w14:paraId="637D6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BD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EB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CB7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5F50">
            <w:pPr>
              <w:jc w:val="center"/>
            </w:pPr>
            <w:r>
              <w:rPr>
                <w:rFonts w:ascii="宋体" w:hAnsi="宋体" w:eastAsia="宋体"/>
                <w:sz w:val="16"/>
              </w:rPr>
              <w:t>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48B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B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2AD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54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B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42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161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249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FC15">
            <w:pPr>
              <w:jc w:val="center"/>
            </w:pPr>
          </w:p>
        </w:tc>
      </w:tr>
      <w:tr w14:paraId="6A5BD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6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74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9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4E3E">
            <w:pPr>
              <w:jc w:val="center"/>
            </w:pPr>
            <w:r>
              <w:rPr>
                <w:rFonts w:ascii="宋体" w:hAnsi="宋体" w:eastAsia="宋体"/>
                <w:sz w:val="16"/>
              </w:rPr>
              <w:t>车辆油卡充值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838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7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5DB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FD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E6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55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18C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7C1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C1231">
            <w:pPr>
              <w:jc w:val="center"/>
            </w:pPr>
          </w:p>
        </w:tc>
      </w:tr>
      <w:tr w14:paraId="724F4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B9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38C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081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25F8">
            <w:pPr>
              <w:jc w:val="center"/>
            </w:pPr>
            <w:r>
              <w:rPr>
                <w:rFonts w:ascii="宋体" w:hAnsi="宋体" w:eastAsia="宋体"/>
                <w:sz w:val="16"/>
              </w:rPr>
              <w:t>购买办公用品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AC1F">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B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2FD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36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4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0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66F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884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32C82">
            <w:pPr>
              <w:jc w:val="center"/>
            </w:pPr>
          </w:p>
        </w:tc>
      </w:tr>
      <w:tr w14:paraId="0A648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9B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5D9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F0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2805">
            <w:pPr>
              <w:jc w:val="center"/>
            </w:pPr>
            <w:r>
              <w:rPr>
                <w:rFonts w:ascii="宋体" w:hAnsi="宋体" w:eastAsia="宋体"/>
                <w:sz w:val="16"/>
              </w:rPr>
              <w:t>订阅党报党刊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ABC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1A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DF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F1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D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59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4B4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8D3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C5533">
            <w:pPr>
              <w:jc w:val="center"/>
            </w:pPr>
          </w:p>
        </w:tc>
      </w:tr>
      <w:tr w14:paraId="52322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8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65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1B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460B">
            <w:pPr>
              <w:jc w:val="center"/>
            </w:pPr>
            <w:r>
              <w:rPr>
                <w:rFonts w:ascii="宋体" w:hAnsi="宋体" w:eastAsia="宋体"/>
                <w:sz w:val="16"/>
              </w:rPr>
              <w:t>差旅费报销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C05F">
            <w:pPr>
              <w:jc w:val="center"/>
            </w:pPr>
            <w:r>
              <w:rPr>
                <w:rFonts w:ascii="宋体" w:hAnsi="宋体" w:eastAsia="宋体"/>
                <w:sz w:val="16"/>
              </w:rPr>
              <w:t>&gt;=14次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4C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EC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5C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E8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5A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8858">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1DE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4AAC0">
            <w:pPr>
              <w:jc w:val="center"/>
            </w:pPr>
          </w:p>
        </w:tc>
      </w:tr>
      <w:tr w14:paraId="5E56F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44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B4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AE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1C11">
            <w:pPr>
              <w:jc w:val="center"/>
            </w:pPr>
            <w:r>
              <w:rPr>
                <w:rFonts w:ascii="宋体" w:hAnsi="宋体" w:eastAsia="宋体"/>
                <w:sz w:val="16"/>
              </w:rPr>
              <w:t>车辆检测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B32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1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336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16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B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8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E7B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2890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F6A05">
            <w:pPr>
              <w:jc w:val="center"/>
            </w:pPr>
          </w:p>
        </w:tc>
      </w:tr>
      <w:tr w14:paraId="264E7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BB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24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E5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3BAC">
            <w:pPr>
              <w:jc w:val="center"/>
            </w:pPr>
            <w:r>
              <w:rPr>
                <w:rFonts w:ascii="宋体" w:hAnsi="宋体" w:eastAsia="宋体"/>
                <w:sz w:val="16"/>
              </w:rPr>
              <w:t>资金拨付合格率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56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C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94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39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C7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7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8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5F9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74904">
            <w:pPr>
              <w:jc w:val="center"/>
            </w:pPr>
          </w:p>
        </w:tc>
      </w:tr>
      <w:tr w14:paraId="66DAA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18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15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80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3AF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4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E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F42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20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24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33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2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21E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8591">
            <w:pPr>
              <w:jc w:val="center"/>
            </w:pPr>
          </w:p>
        </w:tc>
      </w:tr>
      <w:tr w14:paraId="05438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981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39E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77A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B3DA">
            <w:pPr>
              <w:jc w:val="center"/>
            </w:pPr>
            <w:r>
              <w:rPr>
                <w:rFonts w:ascii="宋体" w:hAnsi="宋体" w:eastAsia="宋体"/>
                <w:sz w:val="16"/>
              </w:rPr>
              <w:t>网络费充值成本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8034">
            <w:pPr>
              <w:jc w:val="center"/>
            </w:pPr>
            <w:r>
              <w:rPr>
                <w:rFonts w:ascii="宋体" w:hAnsi="宋体" w:eastAsia="宋体"/>
                <w:sz w:val="16"/>
              </w:rPr>
              <w:t>&lt;=4608元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C8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00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7B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EE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16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F237">
            <w:pPr>
              <w:jc w:val="center"/>
            </w:pPr>
            <w:r>
              <w:rPr>
                <w:rFonts w:ascii="宋体" w:hAnsi="宋体" w:eastAsia="宋体"/>
                <w:sz w:val="16"/>
              </w:rPr>
              <w:t>=4608元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DE9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31DF0">
            <w:pPr>
              <w:jc w:val="center"/>
            </w:pPr>
          </w:p>
        </w:tc>
      </w:tr>
      <w:tr w14:paraId="6839B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40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4A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FD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6A90">
            <w:pPr>
              <w:jc w:val="center"/>
            </w:pPr>
            <w:r>
              <w:rPr>
                <w:rFonts w:ascii="宋体" w:hAnsi="宋体" w:eastAsia="宋体"/>
                <w:sz w:val="16"/>
              </w:rPr>
              <w:t>购买打印机成本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9D46">
            <w:pPr>
              <w:jc w:val="center"/>
            </w:pPr>
            <w:r>
              <w:rPr>
                <w:rFonts w:ascii="宋体" w:hAnsi="宋体" w:eastAsia="宋体"/>
                <w:sz w:val="16"/>
              </w:rPr>
              <w:t>&lt;=4750元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80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7A9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15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F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AB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A231">
            <w:pPr>
              <w:jc w:val="center"/>
            </w:pPr>
            <w:r>
              <w:rPr>
                <w:rFonts w:ascii="宋体" w:hAnsi="宋体" w:eastAsia="宋体"/>
                <w:sz w:val="16"/>
              </w:rPr>
              <w:t>=4750元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F78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29340">
            <w:pPr>
              <w:jc w:val="center"/>
            </w:pPr>
          </w:p>
        </w:tc>
      </w:tr>
      <w:tr w14:paraId="6C215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43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53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1E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8A40">
            <w:pPr>
              <w:jc w:val="center"/>
            </w:pPr>
            <w:r>
              <w:rPr>
                <w:rFonts w:ascii="宋体" w:hAnsi="宋体" w:eastAsia="宋体"/>
                <w:sz w:val="16"/>
              </w:rPr>
              <w:t>电费成本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F4F9">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21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2CD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BD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B3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85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53AF">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2C0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B4943">
            <w:pPr>
              <w:jc w:val="center"/>
            </w:pPr>
          </w:p>
        </w:tc>
      </w:tr>
      <w:tr w14:paraId="3E8A9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29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B9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9EE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B866">
            <w:pPr>
              <w:jc w:val="center"/>
            </w:pPr>
            <w:r>
              <w:rPr>
                <w:rFonts w:ascii="宋体" w:hAnsi="宋体" w:eastAsia="宋体"/>
                <w:sz w:val="16"/>
              </w:rPr>
              <w:t>车辆油卡充值成本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82C2">
            <w:pPr>
              <w:jc w:val="center"/>
            </w:pPr>
            <w:r>
              <w:rPr>
                <w:rFonts w:ascii="宋体" w:hAnsi="宋体" w:eastAsia="宋体"/>
                <w:sz w:val="16"/>
              </w:rPr>
              <w:t>&lt;=30000元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4C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10A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DD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6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22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C151">
            <w:pPr>
              <w:jc w:val="center"/>
            </w:pPr>
            <w:r>
              <w:rPr>
                <w:rFonts w:ascii="宋体" w:hAnsi="宋体" w:eastAsia="宋体"/>
                <w:sz w:val="16"/>
              </w:rPr>
              <w:t>=30000元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1C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2625A">
            <w:pPr>
              <w:jc w:val="center"/>
            </w:pPr>
          </w:p>
        </w:tc>
      </w:tr>
      <w:tr w14:paraId="56523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39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1A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09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8AE1">
            <w:pPr>
              <w:jc w:val="center"/>
            </w:pPr>
            <w:r>
              <w:rPr>
                <w:rFonts w:ascii="宋体" w:hAnsi="宋体" w:eastAsia="宋体"/>
                <w:sz w:val="16"/>
              </w:rPr>
              <w:t>购买办公用品成本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1B85">
            <w:pPr>
              <w:jc w:val="center"/>
            </w:pPr>
            <w:r>
              <w:rPr>
                <w:rFonts w:ascii="宋体" w:hAnsi="宋体" w:eastAsia="宋体"/>
                <w:sz w:val="16"/>
              </w:rPr>
              <w:t>&lt;=107828元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0E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29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CD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60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40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5F33">
            <w:pPr>
              <w:jc w:val="center"/>
            </w:pPr>
            <w:r>
              <w:rPr>
                <w:rFonts w:ascii="宋体" w:hAnsi="宋体" w:eastAsia="宋体"/>
                <w:sz w:val="16"/>
              </w:rPr>
              <w:t>=107828元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ADF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D5B02">
            <w:pPr>
              <w:jc w:val="center"/>
            </w:pPr>
          </w:p>
        </w:tc>
      </w:tr>
      <w:tr w14:paraId="20A33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B2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77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6F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6CD5">
            <w:pPr>
              <w:jc w:val="center"/>
            </w:pPr>
            <w:r>
              <w:rPr>
                <w:rFonts w:ascii="宋体" w:hAnsi="宋体" w:eastAsia="宋体"/>
                <w:sz w:val="16"/>
              </w:rPr>
              <w:t>订阅党报党刊成本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4986">
            <w:pPr>
              <w:jc w:val="center"/>
            </w:pPr>
            <w:r>
              <w:rPr>
                <w:rFonts w:ascii="宋体" w:hAnsi="宋体" w:eastAsia="宋体"/>
                <w:sz w:val="16"/>
              </w:rPr>
              <w:t>&lt;=5010元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3E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D68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45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B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CE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CD5F">
            <w:pPr>
              <w:jc w:val="center"/>
            </w:pPr>
            <w:r>
              <w:rPr>
                <w:rFonts w:ascii="宋体" w:hAnsi="宋体" w:eastAsia="宋体"/>
                <w:sz w:val="16"/>
              </w:rPr>
              <w:t>=5010元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9AC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531FE">
            <w:pPr>
              <w:jc w:val="center"/>
            </w:pPr>
          </w:p>
        </w:tc>
      </w:tr>
      <w:tr w14:paraId="5235C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79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97F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F45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B2CF">
            <w:pPr>
              <w:jc w:val="center"/>
            </w:pPr>
            <w:r>
              <w:rPr>
                <w:rFonts w:ascii="宋体" w:hAnsi="宋体" w:eastAsia="宋体"/>
                <w:sz w:val="16"/>
              </w:rPr>
              <w:t>差旅费报销成本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72F8">
            <w:pPr>
              <w:jc w:val="center"/>
            </w:pPr>
            <w:r>
              <w:rPr>
                <w:rFonts w:ascii="宋体" w:hAnsi="宋体" w:eastAsia="宋体"/>
                <w:sz w:val="16"/>
              </w:rPr>
              <w:t>&lt;=32144元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56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D41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48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6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15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AED8">
            <w:pPr>
              <w:jc w:val="center"/>
            </w:pPr>
            <w:r>
              <w:rPr>
                <w:rFonts w:ascii="宋体" w:hAnsi="宋体" w:eastAsia="宋体"/>
                <w:sz w:val="16"/>
              </w:rPr>
              <w:t>=32144元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792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5E4D">
            <w:pPr>
              <w:jc w:val="center"/>
            </w:pPr>
          </w:p>
        </w:tc>
      </w:tr>
      <w:tr w14:paraId="4B38F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E3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EB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65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F2C3">
            <w:pPr>
              <w:jc w:val="center"/>
            </w:pPr>
            <w:r>
              <w:rPr>
                <w:rFonts w:ascii="宋体" w:hAnsi="宋体" w:eastAsia="宋体"/>
                <w:sz w:val="16"/>
              </w:rPr>
              <w:t>车辆检测成本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68A6">
            <w:pPr>
              <w:jc w:val="center"/>
            </w:pPr>
            <w:r>
              <w:rPr>
                <w:rFonts w:ascii="宋体" w:hAnsi="宋体" w:eastAsia="宋体"/>
                <w:sz w:val="16"/>
              </w:rPr>
              <w:t>&lt;=660元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3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346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54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C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7F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1D3E">
            <w:pPr>
              <w:jc w:val="center"/>
            </w:pPr>
            <w:r>
              <w:rPr>
                <w:rFonts w:ascii="宋体" w:hAnsi="宋体" w:eastAsia="宋体"/>
                <w:sz w:val="16"/>
              </w:rPr>
              <w:t>=660元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563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3F2DA">
            <w:pPr>
              <w:jc w:val="center"/>
            </w:pPr>
          </w:p>
        </w:tc>
      </w:tr>
      <w:tr w14:paraId="42CED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56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94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37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6907">
            <w:pPr>
              <w:jc w:val="center"/>
            </w:pPr>
            <w:r>
              <w:rPr>
                <w:rFonts w:ascii="宋体" w:hAnsi="宋体" w:eastAsia="宋体"/>
                <w:sz w:val="16"/>
              </w:rPr>
              <w:t>提高办公效率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DE1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705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560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15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82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F3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889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53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BFBFE">
            <w:pPr>
              <w:jc w:val="center"/>
            </w:pPr>
          </w:p>
        </w:tc>
      </w:tr>
      <w:tr w14:paraId="0E10E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80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93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4C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5A8D">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BC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A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008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E7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32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2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0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78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63CF">
            <w:pPr>
              <w:jc w:val="center"/>
            </w:pPr>
            <w:r>
              <w:rPr>
                <w:rFonts w:ascii="宋体" w:hAnsi="宋体" w:eastAsia="宋体"/>
                <w:sz w:val="16"/>
              </w:rPr>
              <w:t>偏差原因分析：项目实施情况较好，办公人员满意度高于预期导致出现正偏差，改进措施：基于当前良好表现，重新审视绩效目标，在以后绩效目标设置时设置更具挑战性的目标，以推动业务持续发展。</w:t>
            </w:r>
          </w:p>
        </w:tc>
      </w:tr>
      <w:tr w14:paraId="4B050B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C6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99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401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20E478">
            <w:pPr>
              <w:jc w:val="center"/>
            </w:pPr>
            <w:r>
              <w:rPr>
                <w:rFonts w:ascii="宋体" w:hAnsi="宋体" w:eastAsia="宋体"/>
                <w:sz w:val="16"/>
              </w:rPr>
              <w:t>100分</w:t>
            </w:r>
          </w:p>
        </w:tc>
      </w:tr>
    </w:tbl>
    <w:p w14:paraId="4EE4FC40">
      <w:r>
        <w:br w:type="page"/>
      </w:r>
    </w:p>
    <w:p w14:paraId="65535B8A">
      <w:pPr>
        <w:spacing w:line="640" w:lineRule="exact"/>
        <w:ind w:firstLine="640"/>
        <w:jc w:val="both"/>
        <w:outlineLvl w:val="2"/>
      </w:pPr>
      <w:r>
        <w:rPr>
          <w:rFonts w:ascii="黑体" w:hAnsi="黑体" w:eastAsia="黑体"/>
          <w:sz w:val="32"/>
        </w:rPr>
        <w:t>十二、其他需说明的事项</w:t>
      </w:r>
    </w:p>
    <w:p w14:paraId="693F01DE">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71058FE">
      <w:r>
        <w:br w:type="page"/>
      </w:r>
    </w:p>
    <w:p w14:paraId="5C99DC3E">
      <w:pPr>
        <w:spacing w:line="240" w:lineRule="auto"/>
        <w:jc w:val="center"/>
        <w:outlineLvl w:val="1"/>
      </w:pPr>
      <w:r>
        <w:rPr>
          <w:rFonts w:ascii="黑体" w:hAnsi="黑体" w:eastAsia="黑体"/>
          <w:sz w:val="32"/>
        </w:rPr>
        <w:t>第三部分 专业名词解释</w:t>
      </w:r>
    </w:p>
    <w:p w14:paraId="4577C63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45A7C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0C99F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97626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F34966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21D670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6E54F6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7F77C3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806FE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82F635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8F6331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40C2E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E6F94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376A9D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FDFE04">
      <w:r>
        <w:br w:type="page"/>
      </w:r>
    </w:p>
    <w:p w14:paraId="070E1A3B">
      <w:pPr>
        <w:spacing w:line="240" w:lineRule="auto"/>
        <w:jc w:val="center"/>
        <w:outlineLvl w:val="1"/>
      </w:pPr>
      <w:r>
        <w:rPr>
          <w:rFonts w:ascii="黑体" w:hAnsi="黑体" w:eastAsia="黑体"/>
          <w:sz w:val="32"/>
        </w:rPr>
        <w:t>第四部分 部门决算报表（见附表）</w:t>
      </w:r>
    </w:p>
    <w:p w14:paraId="73E65636">
      <w:pPr>
        <w:spacing w:line="240" w:lineRule="auto"/>
        <w:ind w:firstLine="640"/>
        <w:jc w:val="both"/>
      </w:pPr>
      <w:r>
        <w:rPr>
          <w:rFonts w:ascii="仿宋_GB2312" w:hAnsi="仿宋_GB2312" w:eastAsia="仿宋_GB2312"/>
          <w:b w:val="0"/>
          <w:sz w:val="32"/>
        </w:rPr>
        <w:t>一、《收入支出决算总表》</w:t>
      </w:r>
    </w:p>
    <w:p w14:paraId="1272BB3C">
      <w:pPr>
        <w:spacing w:line="240" w:lineRule="auto"/>
        <w:ind w:firstLine="640"/>
        <w:jc w:val="both"/>
      </w:pPr>
      <w:r>
        <w:rPr>
          <w:rFonts w:ascii="仿宋_GB2312" w:hAnsi="仿宋_GB2312" w:eastAsia="仿宋_GB2312"/>
          <w:b w:val="0"/>
          <w:sz w:val="32"/>
        </w:rPr>
        <w:t>二、《收入决算表》</w:t>
      </w:r>
    </w:p>
    <w:p w14:paraId="30D4A150">
      <w:pPr>
        <w:spacing w:line="240" w:lineRule="auto"/>
        <w:ind w:firstLine="640"/>
        <w:jc w:val="both"/>
      </w:pPr>
      <w:r>
        <w:rPr>
          <w:rFonts w:ascii="仿宋_GB2312" w:hAnsi="仿宋_GB2312" w:eastAsia="仿宋_GB2312"/>
          <w:b w:val="0"/>
          <w:sz w:val="32"/>
        </w:rPr>
        <w:t>三、《支出决算表》</w:t>
      </w:r>
    </w:p>
    <w:p w14:paraId="1AFDFD62">
      <w:pPr>
        <w:spacing w:line="240" w:lineRule="auto"/>
        <w:ind w:firstLine="640"/>
        <w:jc w:val="both"/>
      </w:pPr>
      <w:r>
        <w:rPr>
          <w:rFonts w:ascii="仿宋_GB2312" w:hAnsi="仿宋_GB2312" w:eastAsia="仿宋_GB2312"/>
          <w:b w:val="0"/>
          <w:sz w:val="32"/>
        </w:rPr>
        <w:t>四、《财政拨款收入支出决算总表》</w:t>
      </w:r>
    </w:p>
    <w:p w14:paraId="4FC58662">
      <w:pPr>
        <w:spacing w:line="240" w:lineRule="auto"/>
        <w:ind w:firstLine="640"/>
        <w:jc w:val="both"/>
      </w:pPr>
      <w:r>
        <w:rPr>
          <w:rFonts w:ascii="仿宋_GB2312" w:hAnsi="仿宋_GB2312" w:eastAsia="仿宋_GB2312"/>
          <w:b w:val="0"/>
          <w:sz w:val="32"/>
        </w:rPr>
        <w:t>五、《一般公共预算财政拨款支出决算表》</w:t>
      </w:r>
    </w:p>
    <w:p w14:paraId="0E109773">
      <w:pPr>
        <w:spacing w:line="240" w:lineRule="auto"/>
        <w:ind w:firstLine="640"/>
        <w:jc w:val="both"/>
      </w:pPr>
      <w:r>
        <w:rPr>
          <w:rFonts w:ascii="仿宋_GB2312" w:hAnsi="仿宋_GB2312" w:eastAsia="仿宋_GB2312"/>
          <w:b w:val="0"/>
          <w:sz w:val="32"/>
        </w:rPr>
        <w:t>六、《一般公共预算财政拨款基本支出决算表》</w:t>
      </w:r>
    </w:p>
    <w:p w14:paraId="2AA5B11A">
      <w:pPr>
        <w:spacing w:line="240" w:lineRule="auto"/>
        <w:ind w:firstLine="640"/>
        <w:jc w:val="both"/>
      </w:pPr>
      <w:r>
        <w:rPr>
          <w:rFonts w:ascii="仿宋_GB2312" w:hAnsi="仿宋_GB2312" w:eastAsia="仿宋_GB2312"/>
          <w:b w:val="0"/>
          <w:sz w:val="32"/>
        </w:rPr>
        <w:t>七、《政府性基金预算财政拨款收入支出决算表》</w:t>
      </w:r>
    </w:p>
    <w:p w14:paraId="7D3108E1">
      <w:pPr>
        <w:spacing w:line="240" w:lineRule="auto"/>
        <w:ind w:firstLine="640"/>
        <w:jc w:val="both"/>
      </w:pPr>
      <w:r>
        <w:rPr>
          <w:rFonts w:ascii="仿宋_GB2312" w:hAnsi="仿宋_GB2312" w:eastAsia="仿宋_GB2312"/>
          <w:b w:val="0"/>
          <w:sz w:val="32"/>
        </w:rPr>
        <w:t>八、《国有资本经营预算财政拨款收入支出决算表》</w:t>
      </w:r>
    </w:p>
    <w:p w14:paraId="77981445">
      <w:pPr>
        <w:spacing w:line="240" w:lineRule="auto"/>
        <w:ind w:firstLine="640"/>
        <w:jc w:val="both"/>
      </w:pPr>
      <w:r>
        <w:rPr>
          <w:rFonts w:ascii="仿宋_GB2312" w:hAnsi="仿宋_GB2312" w:eastAsia="仿宋_GB2312"/>
          <w:b w:val="0"/>
          <w:sz w:val="32"/>
        </w:rPr>
        <w:t>九、《财政拨款“三公”经费支出决算表》</w:t>
      </w:r>
    </w:p>
    <w:p w14:paraId="3E8BB912">
      <w:pPr>
        <w:spacing w:line="240" w:lineRule="auto"/>
        <w:ind w:firstLine="640"/>
        <w:jc w:val="both"/>
      </w:pPr>
    </w:p>
    <w:p w14:paraId="70915476">
      <w:pPr>
        <w:spacing w:line="240" w:lineRule="auto"/>
        <w:ind w:firstLine="640"/>
        <w:jc w:val="both"/>
      </w:pPr>
    </w:p>
    <w:p w14:paraId="58E029B0">
      <w:pPr>
        <w:spacing w:line="240" w:lineRule="auto"/>
        <w:ind w:firstLine="640"/>
        <w:jc w:val="both"/>
      </w:pPr>
    </w:p>
    <w:p w14:paraId="14E683DE">
      <w:pPr>
        <w:spacing w:line="240" w:lineRule="auto"/>
        <w:ind w:firstLine="640"/>
        <w:jc w:val="both"/>
      </w:pPr>
    </w:p>
    <w:p w14:paraId="3521949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8B2EC1"/>
    <w:rsid w:val="06792773"/>
    <w:rsid w:val="09A729D8"/>
    <w:rsid w:val="0A3C58E8"/>
    <w:rsid w:val="0A7B4867"/>
    <w:rsid w:val="0B8C3ECC"/>
    <w:rsid w:val="0BD4088B"/>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6814EC"/>
    <w:rsid w:val="23BC04D2"/>
    <w:rsid w:val="25275618"/>
    <w:rsid w:val="27CE017C"/>
    <w:rsid w:val="27CF2642"/>
    <w:rsid w:val="282459E2"/>
    <w:rsid w:val="282E1BFE"/>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82437D"/>
    <w:rsid w:val="5AFC6609"/>
    <w:rsid w:val="5D3D4CD6"/>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1B3FDF"/>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0A32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5823</Words>
  <Characters>6784</Characters>
  <Lines>0</Lines>
  <Paragraphs>0</Paragraphs>
  <TotalTime>23</TotalTime>
  <ScaleCrop>false</ScaleCrop>
  <LinksUpToDate>false</LinksUpToDate>
  <CharactersWithSpaces>6792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