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中共塔什库尔干塔吉克自治县委员会巡察工作领导小组办公室2024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1B433E9">
      <w:r>
        <w:br w:type="page"/>
      </w:r>
    </w:p>
    <w:p w14:paraId="7AD06A83">
      <w:pPr>
        <w:spacing w:line="640" w:lineRule="exact"/>
        <w:jc w:val="center"/>
        <w:outlineLvl w:val="1"/>
      </w:pPr>
      <w:r>
        <w:rPr>
          <w:rFonts w:ascii="黑体" w:hAnsi="黑体" w:eastAsia="黑体"/>
          <w:sz w:val="32"/>
        </w:rPr>
        <w:t>第一部分 单位概况</w:t>
      </w:r>
    </w:p>
    <w:p w14:paraId="4471D7D8">
      <w:pPr>
        <w:spacing w:line="640" w:lineRule="exact"/>
        <w:ind w:firstLine="640"/>
        <w:jc w:val="both"/>
        <w:outlineLvl w:val="2"/>
      </w:pPr>
      <w:r>
        <w:rPr>
          <w:rFonts w:ascii="黑体" w:hAnsi="黑体" w:eastAsia="黑体"/>
          <w:sz w:val="32"/>
        </w:rPr>
        <w:t>一、主要职能</w:t>
      </w:r>
    </w:p>
    <w:p w14:paraId="3BE76623">
      <w:pPr>
        <w:spacing w:line="580" w:lineRule="exact"/>
        <w:ind w:firstLine="640"/>
        <w:jc w:val="both"/>
      </w:pPr>
      <w:r>
        <w:rPr>
          <w:rFonts w:ascii="仿宋_GB2312" w:hAnsi="仿宋_GB2312" w:eastAsia="仿宋_GB2312"/>
          <w:sz w:val="32"/>
        </w:rPr>
        <w:t>中共塔什库尔干塔吉克自治县委员会巡察工作领导小组办公室是县委巡察工作领导小组的日常办事机构，是县委工作机关，设在县纪委,为正科级。中共塔什库尔干塔吉克自治县委员会巡察工作领导小组办公室，接受中共塔什库尔干塔吉克自治县委员会巡察工作领导小组的直接领导，承担县委巡察工作领导小组办公室具体工作。中共塔什库尔干塔吉克自治县委员会巡察工作领导小组办公室贯彻落实党中央、自治区党委、地委和县委关于巡察工作的方针政策和决策部署，在履行职责过程中坚持和加强党对巡察工作的集中统一领导。</w:t>
      </w:r>
    </w:p>
    <w:p w14:paraId="1A9A8299">
      <w:pPr>
        <w:spacing w:line="640" w:lineRule="exact"/>
        <w:ind w:firstLine="640"/>
        <w:jc w:val="both"/>
        <w:outlineLvl w:val="2"/>
      </w:pPr>
      <w:r>
        <w:rPr>
          <w:rFonts w:ascii="黑体" w:hAnsi="黑体" w:eastAsia="黑体"/>
          <w:sz w:val="32"/>
        </w:rPr>
        <w:t>二、机构设置及人员情况</w:t>
      </w:r>
    </w:p>
    <w:p w14:paraId="57CA0DEA">
      <w:pPr>
        <w:spacing w:line="580" w:lineRule="exact"/>
        <w:ind w:firstLine="640"/>
        <w:jc w:val="both"/>
      </w:pPr>
      <w:r>
        <w:rPr>
          <w:rFonts w:ascii="仿宋_GB2312" w:hAnsi="仿宋_GB2312" w:eastAsia="仿宋_GB2312"/>
          <w:sz w:val="32"/>
        </w:rPr>
        <w:t>中共塔什库尔干塔吉克自治县委员会巡察工作领导小组办公室2024年度，实有人数18人，其中：在职人员15人，减少1人；离休人员0人，增加0人；退休人员3人,增加0人。</w:t>
      </w:r>
    </w:p>
    <w:p w14:paraId="206579D2">
      <w:pPr>
        <w:spacing w:line="580" w:lineRule="exact"/>
        <w:ind w:firstLine="640"/>
        <w:jc w:val="both"/>
      </w:pPr>
      <w:r>
        <w:rPr>
          <w:rFonts w:ascii="仿宋_GB2312" w:hAnsi="仿宋_GB2312" w:eastAsia="仿宋_GB2312"/>
          <w:sz w:val="32"/>
        </w:rPr>
        <w:t>单位无下属预算单位，下设5个科室，分别是：主任办公室、保密室、县委巡察组、巡察指导信息办、综合协调办。</w:t>
      </w:r>
    </w:p>
    <w:p w14:paraId="17C02E1E">
      <w:r>
        <w:br w:type="page"/>
      </w:r>
    </w:p>
    <w:p w14:paraId="750CCE7F">
      <w:pPr>
        <w:spacing w:line="240" w:lineRule="auto"/>
        <w:jc w:val="center"/>
        <w:outlineLvl w:val="1"/>
      </w:pPr>
      <w:r>
        <w:rPr>
          <w:rFonts w:ascii="黑体" w:hAnsi="黑体" w:eastAsia="黑体"/>
          <w:sz w:val="32"/>
        </w:rPr>
        <w:t>第二部分 部门决算情况说明</w:t>
      </w:r>
    </w:p>
    <w:p w14:paraId="48C53032">
      <w:pPr>
        <w:spacing w:line="640" w:lineRule="exact"/>
        <w:ind w:firstLine="640"/>
        <w:jc w:val="both"/>
        <w:outlineLvl w:val="2"/>
      </w:pPr>
      <w:r>
        <w:rPr>
          <w:rFonts w:ascii="黑体" w:hAnsi="黑体" w:eastAsia="黑体"/>
          <w:sz w:val="32"/>
        </w:rPr>
        <w:t>一、收入支出决算总体情况说明</w:t>
      </w:r>
    </w:p>
    <w:p w14:paraId="0C79DEBB">
      <w:pPr>
        <w:spacing w:line="580" w:lineRule="exact"/>
        <w:ind w:firstLine="640"/>
        <w:jc w:val="both"/>
      </w:pPr>
      <w:r>
        <w:rPr>
          <w:rFonts w:ascii="仿宋_GB2312" w:hAnsi="仿宋_GB2312" w:eastAsia="仿宋_GB2312"/>
          <w:b/>
          <w:sz w:val="32"/>
        </w:rPr>
        <w:t>2024年度收入总计362.82万元，</w:t>
      </w:r>
      <w:r>
        <w:rPr>
          <w:rFonts w:ascii="仿宋_GB2312" w:hAnsi="仿宋_GB2312" w:eastAsia="仿宋_GB2312"/>
          <w:b w:val="0"/>
          <w:sz w:val="32"/>
        </w:rPr>
        <w:t>其中：本年收入合计362.82万元，使用非财政拨款结余（含专用结余）0.00万元，年初结转和结余0.00万元。</w:t>
      </w:r>
    </w:p>
    <w:p w14:paraId="45816670">
      <w:pPr>
        <w:spacing w:line="580" w:lineRule="exact"/>
        <w:ind w:firstLine="640"/>
        <w:jc w:val="both"/>
      </w:pPr>
      <w:r>
        <w:rPr>
          <w:rFonts w:ascii="仿宋_GB2312" w:hAnsi="仿宋_GB2312" w:eastAsia="仿宋_GB2312"/>
          <w:b/>
          <w:sz w:val="32"/>
        </w:rPr>
        <w:t>2024年度支出总计362.82万元，</w:t>
      </w:r>
      <w:r>
        <w:rPr>
          <w:rFonts w:ascii="仿宋_GB2312" w:hAnsi="仿宋_GB2312" w:eastAsia="仿宋_GB2312"/>
          <w:b w:val="0"/>
          <w:sz w:val="32"/>
        </w:rPr>
        <w:t>其中：本年支出合计362.82万元，结余分配0.00万元，年末结转和结余0.00万元。</w:t>
      </w:r>
    </w:p>
    <w:p w14:paraId="41922C17">
      <w:pPr>
        <w:spacing w:line="580" w:lineRule="exact"/>
        <w:ind w:firstLine="640"/>
        <w:jc w:val="both"/>
      </w:pPr>
      <w:r>
        <w:rPr>
          <w:rFonts w:ascii="仿宋_GB2312" w:hAnsi="仿宋_GB2312" w:eastAsia="仿宋_GB2312"/>
          <w:b w:val="0"/>
          <w:sz w:val="32"/>
        </w:rPr>
        <w:t>收入支出总体与上年相比，减少7.41万元，下降2.00%，主要原因是：本年在职人员减少，相关人员经费较上年减少。</w:t>
      </w:r>
    </w:p>
    <w:p w14:paraId="749EE6BA">
      <w:pPr>
        <w:spacing w:line="640" w:lineRule="exact"/>
        <w:ind w:firstLine="640"/>
        <w:jc w:val="both"/>
        <w:outlineLvl w:val="2"/>
      </w:pPr>
      <w:r>
        <w:rPr>
          <w:rFonts w:ascii="黑体" w:hAnsi="黑体" w:eastAsia="黑体"/>
          <w:sz w:val="32"/>
        </w:rPr>
        <w:t>二、收入决算情况说明</w:t>
      </w:r>
    </w:p>
    <w:p w14:paraId="2EA62E6E">
      <w:pPr>
        <w:spacing w:line="580" w:lineRule="exact"/>
        <w:ind w:firstLine="640"/>
        <w:jc w:val="both"/>
      </w:pPr>
      <w:r>
        <w:rPr>
          <w:rFonts w:ascii="仿宋_GB2312" w:hAnsi="仿宋_GB2312" w:eastAsia="仿宋_GB2312"/>
          <w:b/>
          <w:sz w:val="32"/>
        </w:rPr>
        <w:t>本年收入362.82万元，</w:t>
      </w:r>
      <w:r>
        <w:rPr>
          <w:rFonts w:ascii="仿宋_GB2312" w:hAnsi="仿宋_GB2312" w:eastAsia="仿宋_GB2312"/>
          <w:b w:val="0"/>
          <w:sz w:val="32"/>
        </w:rPr>
        <w:t>其中：财政拨款收入362.82万元，占100.00%；上级补助收入0.00万元，占0.00%；事业收入0.00万元，占0.00%；经营收入0.00万元，占0.00%；附属单位上缴收入0.00万元，占0.00%；其他收入0.00万元，占0.00%。</w:t>
      </w:r>
    </w:p>
    <w:p w14:paraId="3BD682E8">
      <w:pPr>
        <w:spacing w:line="640" w:lineRule="exact"/>
        <w:ind w:firstLine="640"/>
        <w:jc w:val="both"/>
        <w:outlineLvl w:val="2"/>
      </w:pPr>
      <w:r>
        <w:rPr>
          <w:rFonts w:ascii="黑体" w:hAnsi="黑体" w:eastAsia="黑体"/>
          <w:sz w:val="32"/>
        </w:rPr>
        <w:t>三、支出决算情况说明</w:t>
      </w:r>
    </w:p>
    <w:p w14:paraId="677DD4B2">
      <w:pPr>
        <w:spacing w:line="580" w:lineRule="exact"/>
        <w:ind w:firstLine="640"/>
        <w:jc w:val="both"/>
      </w:pPr>
      <w:r>
        <w:rPr>
          <w:rFonts w:ascii="仿宋_GB2312" w:hAnsi="仿宋_GB2312" w:eastAsia="仿宋_GB2312"/>
          <w:b/>
          <w:sz w:val="32"/>
        </w:rPr>
        <w:t>本年支出362.82万元，</w:t>
      </w:r>
      <w:r>
        <w:rPr>
          <w:rFonts w:ascii="仿宋_GB2312" w:hAnsi="仿宋_GB2312" w:eastAsia="仿宋_GB2312"/>
          <w:b w:val="0"/>
          <w:sz w:val="32"/>
        </w:rPr>
        <w:t>其中：基本支出341.11万元，占94.02%；项目支出21.71万元，占5.98%；上缴上级支出0.00万元，占0.00%；经营支出0.00万元，占0.00%；对附属单位补助支出0.00万元，占0.00%。</w:t>
      </w:r>
    </w:p>
    <w:p w14:paraId="0568436C">
      <w:pPr>
        <w:spacing w:line="640" w:lineRule="exact"/>
        <w:ind w:firstLine="640"/>
        <w:jc w:val="both"/>
        <w:outlineLvl w:val="2"/>
      </w:pPr>
      <w:r>
        <w:rPr>
          <w:rFonts w:ascii="黑体" w:hAnsi="黑体" w:eastAsia="黑体"/>
          <w:sz w:val="32"/>
        </w:rPr>
        <w:t>四、财政拨款收入支出决算总体情况说明</w:t>
      </w:r>
    </w:p>
    <w:p w14:paraId="467AA9E3">
      <w:pPr>
        <w:spacing w:line="580" w:lineRule="exact"/>
        <w:ind w:firstLine="640"/>
        <w:jc w:val="both"/>
      </w:pPr>
      <w:r>
        <w:rPr>
          <w:rFonts w:ascii="仿宋_GB2312" w:hAnsi="仿宋_GB2312" w:eastAsia="仿宋_GB2312"/>
          <w:b/>
          <w:sz w:val="32"/>
        </w:rPr>
        <w:t>2024年度财政拨款收入总计362.82万元，</w:t>
      </w:r>
      <w:r>
        <w:rPr>
          <w:rFonts w:ascii="仿宋_GB2312" w:hAnsi="仿宋_GB2312" w:eastAsia="仿宋_GB2312"/>
          <w:b w:val="0"/>
          <w:sz w:val="32"/>
        </w:rPr>
        <w:t>其中：年初财政拨款结转和结余0.00万元，本年财政拨款收入362.82万元。</w:t>
      </w:r>
      <w:r>
        <w:rPr>
          <w:rFonts w:ascii="仿宋_GB2312" w:hAnsi="仿宋_GB2312" w:eastAsia="仿宋_GB2312"/>
          <w:b/>
          <w:sz w:val="32"/>
        </w:rPr>
        <w:t>财政拨款支出总计362.82万元，</w:t>
      </w:r>
      <w:r>
        <w:rPr>
          <w:rFonts w:ascii="仿宋_GB2312" w:hAnsi="仿宋_GB2312" w:eastAsia="仿宋_GB2312"/>
          <w:b w:val="0"/>
          <w:sz w:val="32"/>
        </w:rPr>
        <w:t>其中：年末财政拨款结转和结余0.00万元，本年财政拨款支出362.82万元。</w:t>
      </w:r>
    </w:p>
    <w:p w14:paraId="474B329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减少7.41万元，下降2.00%，主要原因是：本年在职人员减少，相关人员经费较上年减少。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年初预算数365.87万元，决算数362.82万元，预决算差异率-0.83%，主要原因是：巡察工作经费未执行完，年中调减经费，导致预决算存在差异。</w:t>
      </w:r>
    </w:p>
    <w:p w14:paraId="6AE69DCA">
      <w:pPr>
        <w:spacing w:line="640" w:lineRule="exact"/>
        <w:ind w:firstLine="640"/>
        <w:jc w:val="both"/>
        <w:outlineLvl w:val="2"/>
      </w:pPr>
      <w:r>
        <w:rPr>
          <w:rFonts w:ascii="黑体" w:hAnsi="黑体" w:eastAsia="黑体"/>
          <w:sz w:val="32"/>
        </w:rPr>
        <w:t>五、一般公共预算财政拨款支出决算情况说明</w:t>
      </w:r>
    </w:p>
    <w:p w14:paraId="7C587916">
      <w:pPr>
        <w:spacing w:line="640" w:lineRule="exact"/>
        <w:ind w:firstLine="640"/>
        <w:jc w:val="both"/>
        <w:outlineLvl w:val="3"/>
      </w:pPr>
      <w:r>
        <w:rPr>
          <w:rFonts w:ascii="楷体_GB2312" w:hAnsi="楷体_GB2312" w:eastAsia="楷体_GB2312"/>
          <w:b/>
          <w:sz w:val="32"/>
        </w:rPr>
        <w:t>（一）一般公共预算财政拨款支出决算总体情况</w:t>
      </w:r>
    </w:p>
    <w:p w14:paraId="25C8C4C5">
      <w:pPr>
        <w:spacing w:line="580" w:lineRule="exact"/>
        <w:ind w:firstLine="640"/>
        <w:jc w:val="both"/>
      </w:pPr>
      <w:r>
        <w:rPr>
          <w:rFonts w:ascii="仿宋_GB2312" w:hAnsi="仿宋_GB2312" w:eastAsia="仿宋_GB2312"/>
          <w:b/>
          <w:sz w:val="32"/>
        </w:rPr>
        <w:t>2024年度一般公共预算财政拨款支出362.82万元，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减少7.41万元，下降2.00%，主要原因是：本年在职人员减少，相关人员经费较上年减少。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年初预算数365.87万元，决算数362.82万元，预决算差异率-0.83%，主要原因是：巡察工作经费未执行完，年中调减经费，导致预决算存在差异。</w:t>
      </w:r>
    </w:p>
    <w:p w14:paraId="18993F34">
      <w:pPr>
        <w:spacing w:line="640" w:lineRule="exact"/>
        <w:ind w:firstLine="640"/>
        <w:jc w:val="both"/>
        <w:outlineLvl w:val="3"/>
      </w:pPr>
      <w:r>
        <w:rPr>
          <w:rFonts w:ascii="楷体_GB2312" w:hAnsi="楷体_GB2312" w:eastAsia="楷体_GB2312"/>
          <w:b/>
          <w:sz w:val="32"/>
        </w:rPr>
        <w:t>（二）一般公共预算财政拨款支出决算结构情况</w:t>
      </w:r>
    </w:p>
    <w:p w14:paraId="669BB582">
      <w:pPr>
        <w:spacing w:line="580" w:lineRule="exact"/>
        <w:ind w:firstLine="640"/>
        <w:jc w:val="both"/>
      </w:pPr>
      <w:r>
        <w:rPr>
          <w:rFonts w:ascii="仿宋_GB2312" w:hAnsi="仿宋_GB2312" w:eastAsia="仿宋_GB2312"/>
          <w:b w:val="0"/>
          <w:sz w:val="32"/>
        </w:rPr>
        <w:t>1.一般公共服务支出(类)259.15万元,占71.43%。</w:t>
      </w:r>
    </w:p>
    <w:p w14:paraId="790BC6C3">
      <w:pPr>
        <w:spacing w:line="580" w:lineRule="exact"/>
        <w:ind w:firstLine="640"/>
        <w:jc w:val="both"/>
      </w:pPr>
      <w:r>
        <w:rPr>
          <w:rFonts w:ascii="仿宋_GB2312" w:hAnsi="仿宋_GB2312" w:eastAsia="仿宋_GB2312"/>
          <w:b w:val="0"/>
          <w:sz w:val="32"/>
        </w:rPr>
        <w:t>2.社会保障和就业支出(类)49.87万元,占13.75%。</w:t>
      </w:r>
    </w:p>
    <w:p w14:paraId="348A8AC9">
      <w:pPr>
        <w:spacing w:line="580" w:lineRule="exact"/>
        <w:ind w:firstLine="640"/>
        <w:jc w:val="both"/>
      </w:pPr>
      <w:r>
        <w:rPr>
          <w:rFonts w:ascii="仿宋_GB2312" w:hAnsi="仿宋_GB2312" w:eastAsia="仿宋_GB2312"/>
          <w:b w:val="0"/>
          <w:sz w:val="32"/>
        </w:rPr>
        <w:t>3.卫生健康支出(类)18.38万元,占5.07%。</w:t>
      </w:r>
    </w:p>
    <w:p w14:paraId="4148F0A1">
      <w:pPr>
        <w:spacing w:line="580" w:lineRule="exact"/>
        <w:ind w:firstLine="640"/>
        <w:jc w:val="both"/>
      </w:pPr>
      <w:r>
        <w:rPr>
          <w:rFonts w:ascii="仿宋_GB2312" w:hAnsi="仿宋_GB2312" w:eastAsia="仿宋_GB2312"/>
          <w:b w:val="0"/>
          <w:sz w:val="32"/>
        </w:rPr>
        <w:t>4.住房保障支出(类)28.42万元,占7.83%。</w:t>
      </w:r>
    </w:p>
    <w:p w14:paraId="01D19C09">
      <w:pPr>
        <w:spacing w:line="580" w:lineRule="exact"/>
        <w:ind w:firstLine="640"/>
        <w:jc w:val="both"/>
      </w:pPr>
      <w:r>
        <w:rPr>
          <w:rFonts w:ascii="仿宋_GB2312" w:hAnsi="仿宋_GB2312" w:eastAsia="仿宋_GB2312"/>
          <w:b w:val="0"/>
          <w:sz w:val="32"/>
        </w:rPr>
        <w:t>5.其他支出(类)7.00万元,占1.93%。</w:t>
      </w:r>
    </w:p>
    <w:p w14:paraId="7F755233">
      <w:pPr>
        <w:spacing w:line="640" w:lineRule="exact"/>
        <w:ind w:firstLine="640"/>
        <w:jc w:val="both"/>
        <w:outlineLvl w:val="3"/>
      </w:pPr>
      <w:r>
        <w:rPr>
          <w:rFonts w:ascii="楷体_GB2312" w:hAnsi="楷体_GB2312" w:eastAsia="楷体_GB2312"/>
          <w:b/>
          <w:sz w:val="32"/>
        </w:rPr>
        <w:t>（三）一般公共预算财政拨款支出决算具体情况</w:t>
      </w:r>
    </w:p>
    <w:p w14:paraId="599CD396">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1.一般公共服务支出(类)政府办公厅（室）及相关机构事务(款)行政运行(项):支出决算数为0.00万元，比上年决算减少4.22万元，下降100.00%,主要原因是：本年减少</w:t>
      </w:r>
      <w:r>
        <w:rPr>
          <w:rFonts w:hint="eastAsia" w:ascii="仿宋_GB2312" w:hAnsi="仿宋_GB2312" w:eastAsia="仿宋_GB2312"/>
          <w:b w:val="0"/>
          <w:sz w:val="32"/>
          <w:lang w:eastAsia="zh-CN"/>
        </w:rPr>
        <w:t>纪检监察</w:t>
      </w:r>
      <w:r>
        <w:rPr>
          <w:rFonts w:ascii="仿宋_GB2312" w:hAnsi="仿宋_GB2312" w:eastAsia="仿宋_GB2312"/>
          <w:b w:val="0"/>
          <w:sz w:val="32"/>
        </w:rPr>
        <w:t>经费。</w:t>
      </w:r>
    </w:p>
    <w:p w14:paraId="678431B4">
      <w:pPr>
        <w:spacing w:line="580" w:lineRule="exact"/>
        <w:ind w:firstLine="640"/>
        <w:jc w:val="both"/>
      </w:pPr>
      <w:r>
        <w:rPr>
          <w:rFonts w:ascii="仿宋_GB2312" w:hAnsi="仿宋_GB2312" w:eastAsia="仿宋_GB2312"/>
          <w:b w:val="0"/>
          <w:sz w:val="32"/>
        </w:rPr>
        <w:t>2.一般公共服务支出(类)纪检监察事务(款)行政运行(项):支出决算数为244.44万元，比上年决算减少13.01万元，下降5.05%,主要原因是：本年在职人员减少，相关人员经费较上年减少。</w:t>
      </w:r>
    </w:p>
    <w:p w14:paraId="28AEAEBF">
      <w:pPr>
        <w:spacing w:line="580" w:lineRule="exact"/>
        <w:ind w:firstLine="640"/>
        <w:jc w:val="both"/>
      </w:pPr>
      <w:r>
        <w:rPr>
          <w:rFonts w:ascii="仿宋_GB2312" w:hAnsi="仿宋_GB2312" w:eastAsia="仿宋_GB2312"/>
          <w:b w:val="0"/>
          <w:sz w:val="32"/>
        </w:rPr>
        <w:t>3.一般公共服务支出(类)纪检监察事务(款)其他纪检监察事务支出(项):支出决算数为14.71万元，比上年决算增加14.71万元，增长100.00%,主要原因是：本年增加巡察工作经费项目。</w:t>
      </w:r>
    </w:p>
    <w:p w14:paraId="1008B105">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4.社会保障和就业支出(类)行政事业单位养老支出(款)行政单位离退休(项):支出决算数为4.51万元，比上年决算增加1.89万元，增长72.14%,主要原因是：本年增加退休人员基础绩效奖，退休费支出增加。</w:t>
      </w:r>
    </w:p>
    <w:p w14:paraId="705EC720">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33.42万元，比上年决算增加1.21万元，增长3.76%,主要原因是：本年在职人员工资基数调增，养老缴费基数上涨，相应支出增加。</w:t>
      </w:r>
    </w:p>
    <w:p w14:paraId="7BD97B21">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6.社会保障和就业支出(类)行政事业单位养老支出(款)机关事业单位职业年金缴费支出(项):支出决算数为11.94万元，比上年决算减少4.98万元，下降29.43%,主要原因是：本年</w:t>
      </w:r>
      <w:r>
        <w:rPr>
          <w:rFonts w:hint="eastAsia" w:ascii="仿宋_GB2312" w:hAnsi="仿宋_GB2312" w:eastAsia="仿宋_GB2312"/>
          <w:b w:val="0"/>
          <w:sz w:val="32"/>
          <w:lang w:val="en-US" w:eastAsia="zh-CN"/>
        </w:rPr>
        <w:t>调出</w:t>
      </w:r>
      <w:r>
        <w:rPr>
          <w:rFonts w:ascii="仿宋_GB2312" w:hAnsi="仿宋_GB2312" w:eastAsia="仿宋_GB2312"/>
          <w:b w:val="0"/>
          <w:sz w:val="32"/>
        </w:rPr>
        <w:t>人员较上年减少，职业年金缴费较上年减少。</w:t>
      </w:r>
    </w:p>
    <w:p w14:paraId="5694CC82">
      <w:pPr>
        <w:spacing w:line="580" w:lineRule="exact"/>
        <w:ind w:firstLine="640"/>
        <w:jc w:val="both"/>
      </w:pPr>
      <w:r>
        <w:rPr>
          <w:rFonts w:ascii="仿宋_GB2312" w:hAnsi="仿宋_GB2312" w:eastAsia="仿宋_GB2312"/>
          <w:b w:val="0"/>
          <w:sz w:val="32"/>
        </w:rPr>
        <w:t>7.卫生健康支出(类)行政事业单位医疗(款)行政单位医疗(项):支出决算数为14.20万元，比上年决算减少0.18万元，下降1.25%,主要原因是：本年在职人员减少，行政单位医疗较上年减少。</w:t>
      </w:r>
    </w:p>
    <w:p w14:paraId="19E1D74C">
      <w:pPr>
        <w:spacing w:line="580" w:lineRule="exact"/>
        <w:ind w:firstLine="640"/>
        <w:jc w:val="both"/>
      </w:pPr>
      <w:r>
        <w:rPr>
          <w:rFonts w:ascii="仿宋_GB2312" w:hAnsi="仿宋_GB2312" w:eastAsia="仿宋_GB2312"/>
          <w:b w:val="0"/>
          <w:sz w:val="32"/>
        </w:rPr>
        <w:t>8.卫生健康支出(类)行政事业单位医疗(款)公务员医疗补助(项):支出决算数为4.18万元，比上年决算减少0.08万元，下降1.88%,主要原因是：本年在职人员减少，公务员医疗补助较上年减少。</w:t>
      </w:r>
    </w:p>
    <w:p w14:paraId="69C3C299">
      <w:pPr>
        <w:spacing w:line="580" w:lineRule="exact"/>
        <w:ind w:firstLine="640"/>
        <w:jc w:val="both"/>
      </w:pPr>
      <w:r>
        <w:rPr>
          <w:rFonts w:ascii="仿宋_GB2312" w:hAnsi="仿宋_GB2312" w:eastAsia="仿宋_GB2312"/>
          <w:b w:val="0"/>
          <w:sz w:val="32"/>
        </w:rPr>
        <w:t>9.住房保障支出(类)住房改革支出(款)住房公积金(项):支出决算数为28.42万元，比上年决算减少9.74万元，下降25.52%,主要原因是：本年在职人员减少，住房公积金缴费较上年减少。</w:t>
      </w:r>
    </w:p>
    <w:p w14:paraId="63D41203">
      <w:pPr>
        <w:spacing w:line="580" w:lineRule="exact"/>
        <w:ind w:firstLine="640"/>
        <w:jc w:val="both"/>
      </w:pPr>
      <w:r>
        <w:rPr>
          <w:rFonts w:ascii="仿宋_GB2312" w:hAnsi="仿宋_GB2312" w:eastAsia="仿宋_GB2312"/>
          <w:b w:val="0"/>
          <w:sz w:val="32"/>
        </w:rPr>
        <w:t>10.其他支出(类)其他支出(款)其他支出(项):支出决算数为7.00万元，比上年决算增加7.00万元，增长100.00%,主要原因是：本年增加为民办实事经费。</w:t>
      </w:r>
    </w:p>
    <w:p w14:paraId="158A66EB">
      <w:pPr>
        <w:spacing w:line="640" w:lineRule="exact"/>
        <w:ind w:firstLine="640"/>
        <w:jc w:val="both"/>
        <w:outlineLvl w:val="2"/>
      </w:pPr>
      <w:r>
        <w:rPr>
          <w:rFonts w:ascii="黑体" w:hAnsi="黑体" w:eastAsia="黑体"/>
          <w:sz w:val="32"/>
        </w:rPr>
        <w:t>六、一般公共预算财政拨款基本支出决算情况说明</w:t>
      </w:r>
    </w:p>
    <w:p w14:paraId="52AA4168">
      <w:pPr>
        <w:spacing w:line="580" w:lineRule="exact"/>
        <w:ind w:firstLine="640"/>
        <w:jc w:val="both"/>
      </w:pPr>
      <w:r>
        <w:rPr>
          <w:rFonts w:ascii="仿宋_GB2312" w:hAnsi="仿宋_GB2312" w:eastAsia="仿宋_GB2312"/>
          <w:b w:val="0"/>
          <w:sz w:val="32"/>
        </w:rPr>
        <w:t>2024年度一般公共预算财政拨款基本支出341.11万元，其中：</w:t>
      </w:r>
      <w:r>
        <w:rPr>
          <w:rFonts w:ascii="仿宋_GB2312" w:hAnsi="仿宋_GB2312" w:eastAsia="仿宋_GB2312"/>
          <w:b/>
          <w:sz w:val="32"/>
        </w:rPr>
        <w:t>人员经费335.71万元，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w:t>
      </w:r>
    </w:p>
    <w:p w14:paraId="44D80651">
      <w:pPr>
        <w:spacing w:line="580" w:lineRule="exact"/>
        <w:ind w:firstLine="640"/>
        <w:jc w:val="both"/>
      </w:pPr>
      <w:r>
        <w:rPr>
          <w:rFonts w:ascii="仿宋_GB2312" w:hAnsi="仿宋_GB2312" w:eastAsia="仿宋_GB2312"/>
          <w:b/>
          <w:sz w:val="32"/>
        </w:rPr>
        <w:t>公用经费5.40万元，</w:t>
      </w:r>
      <w:r>
        <w:rPr>
          <w:rFonts w:ascii="仿宋_GB2312" w:hAnsi="仿宋_GB2312" w:eastAsia="仿宋_GB2312"/>
          <w:b w:val="0"/>
          <w:sz w:val="32"/>
        </w:rPr>
        <w:t>包括：办公费、邮电费、差旅费、公务用车运行维护费。</w:t>
      </w:r>
    </w:p>
    <w:p w14:paraId="2FE81267">
      <w:pPr>
        <w:spacing w:line="640" w:lineRule="exact"/>
        <w:ind w:firstLine="640"/>
        <w:jc w:val="both"/>
        <w:outlineLvl w:val="2"/>
      </w:pPr>
      <w:r>
        <w:rPr>
          <w:rFonts w:ascii="黑体" w:hAnsi="黑体" w:eastAsia="黑体"/>
          <w:sz w:val="32"/>
        </w:rPr>
        <w:t>七、政府性基金预算财政拨款收入支出决算情况说明</w:t>
      </w:r>
    </w:p>
    <w:p w14:paraId="3CF729E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6ED23F5">
      <w:pPr>
        <w:spacing w:line="640" w:lineRule="exact"/>
        <w:ind w:firstLine="640"/>
        <w:jc w:val="both"/>
        <w:outlineLvl w:val="2"/>
      </w:pPr>
      <w:r>
        <w:rPr>
          <w:rFonts w:ascii="黑体" w:hAnsi="黑体" w:eastAsia="黑体"/>
          <w:sz w:val="32"/>
        </w:rPr>
        <w:t>八、国有资本经营预算财政拨款收入支出决算情况说明</w:t>
      </w:r>
    </w:p>
    <w:p w14:paraId="7830A98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47357E5">
      <w:pPr>
        <w:spacing w:line="640" w:lineRule="exact"/>
        <w:ind w:firstLine="640"/>
        <w:jc w:val="both"/>
        <w:outlineLvl w:val="2"/>
      </w:pPr>
      <w:r>
        <w:rPr>
          <w:rFonts w:ascii="黑体" w:hAnsi="黑体" w:eastAsia="黑体"/>
          <w:sz w:val="32"/>
        </w:rPr>
        <w:t>九、财政拨款“三公”经费支出决算情况说明</w:t>
      </w:r>
    </w:p>
    <w:p w14:paraId="25B939C4">
      <w:pPr>
        <w:spacing w:line="580" w:lineRule="exact"/>
        <w:ind w:firstLine="640"/>
        <w:jc w:val="both"/>
      </w:pPr>
      <w:r>
        <w:rPr>
          <w:rFonts w:ascii="仿宋_GB2312" w:hAnsi="仿宋_GB2312" w:eastAsia="仿宋_GB2312"/>
          <w:b/>
          <w:sz w:val="32"/>
        </w:rPr>
        <w:t>2024年度财政拨款“三公”经费支出1.80万元，</w:t>
      </w:r>
      <w:r>
        <w:rPr>
          <w:rFonts w:ascii="仿宋_GB2312" w:hAnsi="仿宋_GB2312" w:eastAsia="仿宋_GB2312"/>
          <w:b w:val="0"/>
          <w:sz w:val="32"/>
        </w:rPr>
        <w:t>比上年增加1.80万元，增长100.00%，主要原因是：本年新增公务用车，增加公务用车运行维护费。其中：因公出国（境）费支出0.00万元，占0.00%，比上年增加0.00万元，增长0.00%，主要原因是：2023年与2024年均未安排因公出国（境）费支出。公务用车购置及运行维护费支出1.80万元，占100.00%，比上年增加1.80万元，增长100.00%，主要原因是：本年新增公务用车，增加公务用车运行维护费。公务接待费支出0.00万元，占0.00%，比上年增加0.00万元，增长0.00%，主要原因是：2023年与2024年均未安排公务接待费支出。</w:t>
      </w:r>
    </w:p>
    <w:p w14:paraId="39638A4A">
      <w:pPr>
        <w:spacing w:line="580" w:lineRule="exact"/>
        <w:ind w:firstLine="640"/>
        <w:jc w:val="both"/>
      </w:pPr>
      <w:r>
        <w:rPr>
          <w:rFonts w:ascii="仿宋_GB2312" w:hAnsi="仿宋_GB2312" w:eastAsia="仿宋_GB2312"/>
          <w:b/>
          <w:sz w:val="32"/>
        </w:rPr>
        <w:t>具体情况如下：</w:t>
      </w:r>
    </w:p>
    <w:p w14:paraId="4ABD968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7E76A33">
      <w:pPr>
        <w:spacing w:line="580" w:lineRule="exact"/>
        <w:ind w:firstLine="640"/>
        <w:jc w:val="both"/>
      </w:pPr>
      <w:r>
        <w:rPr>
          <w:rFonts w:ascii="仿宋_GB2312" w:hAnsi="仿宋_GB2312" w:eastAsia="仿宋_GB2312"/>
          <w:b w:val="0"/>
          <w:sz w:val="32"/>
        </w:rPr>
        <w:t>公务用车购置及运行维护费1.80万元，其中：公务用车购置费0.00万元，公务用车运行维护费1.80万元。公务用车运行维护费开支内容包括车辆加油费、维修费、保险费、审车费、过路费等。公务用车购置数0辆，公务用车保有量1辆。国有资产占用情况中固定资产车辆0辆，与公务用车保有量差异原因是：借用其他单位车辆，车辆费用由本单位支付。</w:t>
      </w:r>
    </w:p>
    <w:p w14:paraId="031DA9C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2F8D75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1.80万元，决算数1.80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1.80万元，决算数1.80万元，预决算差异率0.00%，主要原因是：严格按照预算执行，预决算无差异。公务接待费全年预算数0.00万元，决算数0.00万元，预决算差异率0.00%，主要原因是：本单位无公务接待费。</w:t>
      </w:r>
    </w:p>
    <w:p w14:paraId="32E391AE">
      <w:pPr>
        <w:spacing w:line="640" w:lineRule="exact"/>
        <w:ind w:firstLine="640"/>
        <w:jc w:val="both"/>
        <w:outlineLvl w:val="2"/>
      </w:pPr>
      <w:r>
        <w:rPr>
          <w:rFonts w:ascii="黑体" w:hAnsi="黑体" w:eastAsia="黑体"/>
          <w:sz w:val="32"/>
        </w:rPr>
        <w:t>十、其他重要事项的情况说明</w:t>
      </w:r>
    </w:p>
    <w:p w14:paraId="2E9289FB">
      <w:pPr>
        <w:spacing w:line="640" w:lineRule="exact"/>
        <w:ind w:firstLine="640"/>
        <w:jc w:val="both"/>
        <w:outlineLvl w:val="3"/>
      </w:pPr>
      <w:r>
        <w:rPr>
          <w:rFonts w:ascii="楷体_GB2312" w:hAnsi="楷体_GB2312" w:eastAsia="楷体_GB2312"/>
          <w:b/>
          <w:sz w:val="32"/>
        </w:rPr>
        <w:t>（一）机关运行经费及公用经费支出情况</w:t>
      </w:r>
    </w:p>
    <w:p w14:paraId="2D81ADBE">
      <w:pPr>
        <w:spacing w:line="580" w:lineRule="exact"/>
        <w:ind w:firstLine="640"/>
        <w:jc w:val="both"/>
      </w:pPr>
      <w:r>
        <w:rPr>
          <w:rFonts w:ascii="仿宋_GB2312" w:hAnsi="仿宋_GB2312" w:eastAsia="仿宋_GB2312"/>
          <w:b w:val="0"/>
          <w:sz w:val="32"/>
        </w:rPr>
        <w:t>2024年度中共塔什库尔干塔吉克自治县委员会巡察工作领导小组办公室（行政单位和参照公务员法管理事业单位）机关运行经费支出5.40万元，比上年减少0.22万元，下降3.91%，主要原因是：严格控制公用经费，合理节约办公用品，减少不必要开支。</w:t>
      </w:r>
    </w:p>
    <w:p w14:paraId="3C9DEFE8">
      <w:pPr>
        <w:spacing w:line="640" w:lineRule="exact"/>
        <w:ind w:firstLine="640"/>
        <w:jc w:val="both"/>
        <w:outlineLvl w:val="3"/>
      </w:pPr>
      <w:r>
        <w:rPr>
          <w:rFonts w:ascii="楷体_GB2312" w:hAnsi="楷体_GB2312" w:eastAsia="楷体_GB2312"/>
          <w:b/>
          <w:sz w:val="32"/>
        </w:rPr>
        <w:t>（二）政府采购情况</w:t>
      </w:r>
    </w:p>
    <w:p w14:paraId="72683C35">
      <w:pPr>
        <w:spacing w:line="580" w:lineRule="exact"/>
        <w:ind w:firstLine="640"/>
        <w:jc w:val="both"/>
      </w:pPr>
      <w:r>
        <w:rPr>
          <w:rFonts w:ascii="仿宋_GB2312" w:hAnsi="仿宋_GB2312" w:eastAsia="仿宋_GB2312"/>
          <w:b w:val="0"/>
          <w:sz w:val="32"/>
        </w:rPr>
        <w:t>2024年度政府采购支出总额0.24万元，其中：政府采购货物支出0.24万元、政府采购工程支出0.00万元、政府采购服务支出0.00万元。</w:t>
      </w:r>
    </w:p>
    <w:p w14:paraId="180545EF">
      <w:pPr>
        <w:spacing w:line="580" w:lineRule="exact"/>
        <w:ind w:firstLine="640"/>
        <w:jc w:val="both"/>
      </w:pPr>
      <w:r>
        <w:rPr>
          <w:rFonts w:ascii="仿宋_GB2312" w:hAnsi="仿宋_GB2312" w:eastAsia="仿宋_GB2312"/>
          <w:b w:val="0"/>
          <w:sz w:val="32"/>
        </w:rPr>
        <w:t>授予中小企业合同金额0.24万元，占政府采购支出总额的100.00%，其中：授予小微企业合同金额0.24万元，占政府采购支出总额的100.00%。</w:t>
      </w:r>
    </w:p>
    <w:p w14:paraId="73C1975A">
      <w:pPr>
        <w:spacing w:line="640" w:lineRule="exact"/>
        <w:ind w:firstLine="640"/>
        <w:jc w:val="both"/>
        <w:outlineLvl w:val="3"/>
      </w:pPr>
      <w:r>
        <w:rPr>
          <w:rFonts w:ascii="楷体_GB2312" w:hAnsi="楷体_GB2312" w:eastAsia="楷体_GB2312"/>
          <w:b/>
          <w:sz w:val="32"/>
        </w:rPr>
        <w:t>（三）国有资产占用情况说明</w:t>
      </w:r>
    </w:p>
    <w:p w14:paraId="5338C543">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6882AD79">
      <w:pPr>
        <w:spacing w:line="640" w:lineRule="exact"/>
        <w:ind w:firstLine="640"/>
        <w:jc w:val="both"/>
        <w:outlineLvl w:val="2"/>
      </w:pPr>
      <w:r>
        <w:rPr>
          <w:rFonts w:ascii="黑体" w:hAnsi="黑体" w:eastAsia="黑体"/>
          <w:sz w:val="32"/>
        </w:rPr>
        <w:t>十一、预算绩效的情况说明</w:t>
      </w:r>
    </w:p>
    <w:p w14:paraId="3018665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根据预算绩效管理要求，本单位2024年度预算绩效管理形成整体支出绩效自评表1个，全年预算总额362.82万元，实际执行总额362.82万元；预算绩效评价项目</w:t>
      </w:r>
      <w:r>
        <w:rPr>
          <w:rFonts w:hint="eastAsia" w:ascii="仿宋_GB2312" w:hAnsi="仿宋_GB2312" w:eastAsia="仿宋_GB2312"/>
          <w:b w:val="0"/>
          <w:sz w:val="32"/>
          <w:lang w:val="en-US" w:eastAsia="zh-CN"/>
        </w:rPr>
        <w:t>2</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4</w:t>
      </w:r>
      <w:r>
        <w:rPr>
          <w:rFonts w:ascii="仿宋_GB2312" w:hAnsi="仿宋_GB2312" w:eastAsia="仿宋_GB2312"/>
          <w:b w:val="0"/>
          <w:sz w:val="32"/>
        </w:rPr>
        <w:t>7.</w:t>
      </w:r>
      <w:r>
        <w:rPr>
          <w:rFonts w:hint="eastAsia" w:ascii="仿宋_GB2312" w:hAnsi="仿宋_GB2312" w:eastAsia="仿宋_GB2312"/>
          <w:b w:val="0"/>
          <w:sz w:val="32"/>
          <w:lang w:val="en-US" w:eastAsia="zh-CN"/>
        </w:rPr>
        <w:t>3</w:t>
      </w:r>
      <w:r>
        <w:rPr>
          <w:rFonts w:ascii="仿宋_GB2312" w:hAnsi="仿宋_GB2312" w:eastAsia="仿宋_GB2312"/>
          <w:b w:val="0"/>
          <w:sz w:val="32"/>
        </w:rPr>
        <w:t>0万元，全年执行数</w:t>
      </w:r>
      <w:r>
        <w:rPr>
          <w:rFonts w:hint="eastAsia" w:ascii="仿宋_GB2312" w:hAnsi="仿宋_GB2312" w:eastAsia="仿宋_GB2312"/>
          <w:b w:val="0"/>
          <w:sz w:val="32"/>
          <w:lang w:val="en-US" w:eastAsia="zh-CN"/>
        </w:rPr>
        <w:t>21</w:t>
      </w:r>
      <w:r>
        <w:rPr>
          <w:rFonts w:ascii="仿宋_GB2312" w:hAnsi="仿宋_GB2312" w:eastAsia="仿宋_GB2312"/>
          <w:b w:val="0"/>
          <w:sz w:val="32"/>
        </w:rPr>
        <w:t>.</w:t>
      </w:r>
      <w:r>
        <w:rPr>
          <w:rFonts w:hint="eastAsia" w:ascii="仿宋_GB2312" w:hAnsi="仿宋_GB2312" w:eastAsia="仿宋_GB2312"/>
          <w:b w:val="0"/>
          <w:sz w:val="32"/>
          <w:lang w:val="en-US" w:eastAsia="zh-CN"/>
        </w:rPr>
        <w:t>71</w:t>
      </w:r>
      <w:r>
        <w:rPr>
          <w:rFonts w:ascii="仿宋_GB2312" w:hAnsi="仿宋_GB2312" w:eastAsia="仿宋_GB2312"/>
          <w:b w:val="0"/>
          <w:sz w:val="32"/>
        </w:rPr>
        <w:t>万元。预算绩效管理取得的成效：通过该项目的实施，进一步统一了思想，坚定了信心，推进了为民</w:t>
      </w:r>
      <w:r>
        <w:rPr>
          <w:rFonts w:hint="eastAsia" w:ascii="仿宋_GB2312" w:hAnsi="仿宋_GB2312" w:eastAsia="仿宋_GB2312"/>
          <w:b w:val="0"/>
          <w:sz w:val="32"/>
          <w:lang w:eastAsia="zh-CN"/>
        </w:rPr>
        <w:t>办实事</w:t>
      </w:r>
      <w:r>
        <w:rPr>
          <w:rFonts w:ascii="仿宋_GB2312" w:hAnsi="仿宋_GB2312" w:eastAsia="仿宋_GB2312"/>
          <w:b w:val="0"/>
          <w:sz w:val="32"/>
        </w:rPr>
        <w:t>工作向前发展，项目实施使基层办公环境得到了有效改善，保障了基层治理的稳定运行；有效改善了民生问题，缩小了贫富差距</w:t>
      </w:r>
      <w:r>
        <w:rPr>
          <w:rFonts w:hint="eastAsia" w:ascii="仿宋_GB2312" w:hAnsi="仿宋_GB2312" w:eastAsia="仿宋_GB2312"/>
          <w:b w:val="0"/>
          <w:sz w:val="32"/>
          <w:lang w:eastAsia="zh-CN"/>
        </w:rPr>
        <w:t>。</w:t>
      </w:r>
      <w:r>
        <w:rPr>
          <w:rFonts w:ascii="仿宋_GB2312" w:hAnsi="仿宋_GB2312" w:eastAsia="仿宋_GB2312"/>
          <w:b w:val="0"/>
          <w:sz w:val="32"/>
        </w:rPr>
        <w:t>发现的问题及原因：一是对各项指标和指标值要进一步优化、完善，主要在细化、量化上改进，二是自评价工作还存在自我审定的局限性，会影响评价质量，容易造成问题的疏漏，在客观性和公正性上说服力不强。原因分析：单位对绩效项目管理的重要性认识不足，缺乏科学的项目管理理念和方法，导致项目管理工作不到位。绩效项目的实施受到外部环境的影响较大，这些因素可能导致项目目标的调整和变更，但项目单位在应对外部环境变化时，缺乏有效的措施和机制，影响了项目的绩效。下一步改进措施：本单位以本次绩效评价为契机，在以后绩效评价工作中从战略变化、年度目标、管理改进三方面理顺思路</w:t>
      </w:r>
      <w:r>
        <w:rPr>
          <w:rFonts w:hint="eastAsia" w:ascii="仿宋_GB2312" w:hAnsi="仿宋_GB2312" w:eastAsia="仿宋_GB2312"/>
          <w:b w:val="0"/>
          <w:sz w:val="32"/>
          <w:lang w:eastAsia="zh-CN"/>
        </w:rPr>
        <w:t>，应</w:t>
      </w:r>
      <w:r>
        <w:rPr>
          <w:rFonts w:ascii="仿宋_GB2312" w:hAnsi="仿宋_GB2312" w:eastAsia="仿宋_GB2312"/>
          <w:b w:val="0"/>
          <w:sz w:val="32"/>
        </w:rPr>
        <w:t>当运用科学合理的方法，按照规范的程序，对项目绩效进行客观、公正的反映，合理设置内部管理机构和岗位，职责明确，各有侧重，相互衔接，明确业务各环节流程、时间要求、审批权限等，明确单位内部各个业务归口管理责任，加强对预算与计划管理。具体附整体支出绩效自评表，项目支出绩效自评表和评价报告。</w:t>
      </w:r>
    </w:p>
    <w:p w14:paraId="074A993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2F199E9">
        <w:tblPrEx>
          <w:tblCellMar>
            <w:top w:w="0" w:type="dxa"/>
            <w:left w:w="108" w:type="dxa"/>
            <w:bottom w:w="0" w:type="dxa"/>
            <w:right w:w="108" w:type="dxa"/>
          </w:tblCellMar>
        </w:tblPrEx>
        <w:tc>
          <w:tcPr>
            <w:tcW w:w="8847" w:type="dxa"/>
            <w:gridSpan w:val="9"/>
            <w:vAlign w:val="center"/>
          </w:tcPr>
          <w:p w14:paraId="451E3C8F">
            <w:pPr>
              <w:jc w:val="center"/>
            </w:pPr>
            <w:r>
              <w:rPr>
                <w:rFonts w:ascii="宋体" w:hAnsi="宋体" w:eastAsia="宋体"/>
                <w:sz w:val="24"/>
              </w:rPr>
              <w:t>单位整体支出绩效自评表</w:t>
            </w:r>
          </w:p>
        </w:tc>
      </w:tr>
      <w:tr w14:paraId="3C24B1CD">
        <w:tblPrEx>
          <w:tblCellMar>
            <w:top w:w="0" w:type="dxa"/>
            <w:left w:w="108" w:type="dxa"/>
            <w:bottom w:w="0" w:type="dxa"/>
            <w:right w:w="108" w:type="dxa"/>
          </w:tblCellMar>
        </w:tblPrEx>
        <w:tc>
          <w:tcPr>
            <w:tcW w:w="8847" w:type="dxa"/>
            <w:gridSpan w:val="9"/>
            <w:vAlign w:val="center"/>
          </w:tcPr>
          <w:p w14:paraId="7C9461EF">
            <w:pPr>
              <w:jc w:val="center"/>
            </w:pPr>
            <w:r>
              <w:rPr>
                <w:rFonts w:ascii="宋体" w:hAnsi="宋体" w:eastAsia="宋体"/>
                <w:sz w:val="24"/>
              </w:rPr>
              <w:t>（2024年度）</w:t>
            </w:r>
          </w:p>
        </w:tc>
      </w:tr>
      <w:tr w14:paraId="08345F9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B6676">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9B26CE0">
            <w:pPr>
              <w:jc w:val="center"/>
            </w:pPr>
            <w:r>
              <w:rPr>
                <w:rFonts w:ascii="宋体" w:hAnsi="宋体" w:eastAsia="宋体"/>
                <w:sz w:val="16"/>
              </w:rPr>
              <w:t>中共塔什库尔干塔吉克自治县委员会巡察工作领导小组办公室</w:t>
            </w:r>
          </w:p>
        </w:tc>
      </w:tr>
      <w:tr w14:paraId="4E678FE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6E79F0">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01067">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5593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BE138">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F9FBD">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92D3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90F6D">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5FA01">
            <w:pPr>
              <w:jc w:val="center"/>
            </w:pPr>
            <w:r>
              <w:rPr>
                <w:rFonts w:ascii="宋体" w:hAnsi="宋体" w:eastAsia="宋体"/>
                <w:sz w:val="16"/>
              </w:rPr>
              <w:t>得分</w:t>
            </w:r>
          </w:p>
        </w:tc>
      </w:tr>
      <w:tr w14:paraId="4082FD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91564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5E8E8">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725CF">
            <w:pPr>
              <w:jc w:val="center"/>
            </w:pPr>
            <w:r>
              <w:rPr>
                <w:rFonts w:ascii="宋体" w:hAnsi="宋体" w:eastAsia="宋体"/>
                <w:sz w:val="16"/>
              </w:rPr>
              <w:t>365.87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E98A6">
            <w:pPr>
              <w:jc w:val="center"/>
            </w:pPr>
            <w:r>
              <w:rPr>
                <w:rFonts w:ascii="宋体" w:hAnsi="宋体" w:eastAsia="宋体"/>
                <w:sz w:val="16"/>
              </w:rPr>
              <w:t>362.82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F6265">
            <w:pPr>
              <w:jc w:val="center"/>
            </w:pPr>
            <w:r>
              <w:rPr>
                <w:rFonts w:ascii="宋体" w:hAnsi="宋体" w:eastAsia="宋体"/>
                <w:sz w:val="16"/>
              </w:rPr>
              <w:t>362.82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729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D2E9A">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45396">
            <w:pPr>
              <w:jc w:val="center"/>
            </w:pPr>
            <w:r>
              <w:rPr>
                <w:rFonts w:ascii="宋体" w:hAnsi="宋体" w:eastAsia="宋体"/>
                <w:sz w:val="16"/>
              </w:rPr>
              <w:t>10</w:t>
            </w:r>
          </w:p>
        </w:tc>
      </w:tr>
      <w:tr w14:paraId="30F6C1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49D2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D683F">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227A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7A566">
            <w:pPr>
              <w:jc w:val="center"/>
            </w:pPr>
            <w:r>
              <w:rPr>
                <w:rFonts w:ascii="宋体" w:hAnsi="宋体" w:eastAsia="宋体"/>
                <w:sz w:val="16"/>
              </w:rPr>
              <w:t>33.39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88DF2">
            <w:pPr>
              <w:jc w:val="center"/>
            </w:pPr>
            <w:r>
              <w:rPr>
                <w:rFonts w:ascii="宋体" w:hAnsi="宋体" w:eastAsia="宋体"/>
                <w:sz w:val="16"/>
              </w:rPr>
              <w:t>33.39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4A2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30C3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1133E">
            <w:pPr>
              <w:jc w:val="center"/>
            </w:pPr>
            <w:r>
              <w:rPr>
                <w:rFonts w:ascii="宋体" w:hAnsi="宋体" w:eastAsia="宋体"/>
                <w:sz w:val="16"/>
              </w:rPr>
              <w:t>—</w:t>
            </w:r>
          </w:p>
        </w:tc>
      </w:tr>
      <w:tr w14:paraId="3733FC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AE07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F271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A7D6C">
            <w:pPr>
              <w:jc w:val="center"/>
            </w:pPr>
            <w:r>
              <w:rPr>
                <w:rFonts w:ascii="宋体" w:hAnsi="宋体" w:eastAsia="宋体"/>
                <w:sz w:val="16"/>
              </w:rPr>
              <w:t>365.87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A7548">
            <w:pPr>
              <w:jc w:val="center"/>
            </w:pPr>
            <w:r>
              <w:rPr>
                <w:rFonts w:ascii="宋体" w:hAnsi="宋体" w:eastAsia="宋体"/>
                <w:sz w:val="16"/>
              </w:rPr>
              <w:t>329.43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9659C">
            <w:pPr>
              <w:jc w:val="center"/>
            </w:pPr>
            <w:r>
              <w:rPr>
                <w:rFonts w:ascii="宋体" w:hAnsi="宋体" w:eastAsia="宋体"/>
                <w:sz w:val="16"/>
              </w:rPr>
              <w:t>329.43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D34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74D5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80CB0">
            <w:pPr>
              <w:jc w:val="center"/>
            </w:pPr>
            <w:r>
              <w:rPr>
                <w:rFonts w:ascii="宋体" w:hAnsi="宋体" w:eastAsia="宋体"/>
                <w:sz w:val="16"/>
              </w:rPr>
              <w:t>—</w:t>
            </w:r>
          </w:p>
        </w:tc>
      </w:tr>
      <w:tr w14:paraId="3FE314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21F2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E34F6">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5CA8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626C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80DD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E6F0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99EE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47332">
            <w:pPr>
              <w:jc w:val="center"/>
            </w:pPr>
            <w:r>
              <w:rPr>
                <w:rFonts w:ascii="宋体" w:hAnsi="宋体" w:eastAsia="宋体"/>
                <w:sz w:val="16"/>
              </w:rPr>
              <w:t>—</w:t>
            </w:r>
          </w:p>
        </w:tc>
      </w:tr>
      <w:tr w14:paraId="05BFC5B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0FA6B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59050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803C61">
            <w:pPr>
              <w:jc w:val="center"/>
            </w:pPr>
            <w:r>
              <w:rPr>
                <w:rFonts w:ascii="宋体" w:hAnsi="宋体" w:eastAsia="宋体"/>
                <w:sz w:val="16"/>
              </w:rPr>
              <w:t>实际完成目标</w:t>
            </w:r>
          </w:p>
        </w:tc>
      </w:tr>
      <w:tr w14:paraId="214893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45494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75CE7B">
            <w:pPr>
              <w:jc w:val="both"/>
            </w:pPr>
            <w:r>
              <w:rPr>
                <w:rFonts w:ascii="宋体" w:hAnsi="宋体" w:eastAsia="宋体"/>
                <w:sz w:val="16"/>
              </w:rPr>
              <w:t>坚持以习近平新时代中国特色社会主义思想为指导，深入学习贯彻党的二十大、二十届二中和二十届中央纪委二次全会精神，贯彻落实习近平总书记关于巡视工作重要论述和党中央决策部署，完整准确贯彻新时代党的治疆方略，不断</w:t>
            </w:r>
            <w:r>
              <w:rPr>
                <w:rFonts w:hint="eastAsia" w:ascii="宋体" w:hAnsi="宋体"/>
                <w:sz w:val="16"/>
                <w:lang w:eastAsia="zh-CN"/>
              </w:rPr>
              <w:t>增强“四个意识”、坚定“四个自信”、做到“两个维护”</w:t>
            </w:r>
            <w:r>
              <w:rPr>
                <w:rFonts w:ascii="宋体" w:hAnsi="宋体" w:eastAsia="宋体"/>
                <w:sz w:val="16"/>
              </w:rPr>
              <w:t>，坚持以人民为中心的价值取向，以政治建设为统领，深化政治巡察，推进全面从严治党向基层延伸，把管党治党政治责任落实到基层，扎实推进巡察工作高质量发展，为</w:t>
            </w:r>
            <w:r>
              <w:rPr>
                <w:rFonts w:hint="eastAsia" w:ascii="宋体" w:hAnsi="宋体"/>
                <w:sz w:val="16"/>
                <w:lang w:eastAsia="zh-CN"/>
              </w:rPr>
              <w:t>塔什库尔干塔吉克自治县</w:t>
            </w:r>
            <w:r>
              <w:rPr>
                <w:rFonts w:ascii="宋体" w:hAnsi="宋体" w:eastAsia="宋体"/>
                <w:sz w:val="16"/>
              </w:rPr>
              <w:t>经济高质量发展提供坚强政治保证。</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D553C3">
            <w:pPr>
              <w:jc w:val="both"/>
            </w:pPr>
            <w:r>
              <w:rPr>
                <w:rFonts w:ascii="宋体" w:hAnsi="宋体" w:eastAsia="宋体"/>
                <w:sz w:val="16"/>
              </w:rPr>
              <w:t>坚持以习近平新时代中国特色社会主义思想为指导，深入学习贯彻党的二十大、二十届二中和二十届中央纪委二次全会精神，贯彻落实习近平总书记关于巡视工作重要论述和党中央决策部署，完整准确贯彻新时代党的治疆方略，不断</w:t>
            </w:r>
            <w:r>
              <w:rPr>
                <w:rFonts w:hint="eastAsia" w:ascii="宋体" w:hAnsi="宋体"/>
                <w:sz w:val="16"/>
                <w:lang w:eastAsia="zh-CN"/>
              </w:rPr>
              <w:t>增强“四个意识”、坚定“四个自信”、做到“两个维护”</w:t>
            </w:r>
            <w:r>
              <w:rPr>
                <w:rFonts w:ascii="宋体" w:hAnsi="宋体" w:eastAsia="宋体"/>
                <w:sz w:val="16"/>
              </w:rPr>
              <w:t>，坚持以人民为中心的价值取向，以政治建设为统领，深化政治巡察，推进全面从严治党向基层延伸，把管党治党政治责任落实到基层，扎实推进巡察工作高质量发展，为</w:t>
            </w:r>
            <w:r>
              <w:rPr>
                <w:rFonts w:hint="eastAsia" w:ascii="宋体" w:hAnsi="宋体"/>
                <w:sz w:val="16"/>
                <w:lang w:eastAsia="zh-CN"/>
              </w:rPr>
              <w:t>塔什库尔干塔吉克自治县</w:t>
            </w:r>
            <w:r>
              <w:rPr>
                <w:rFonts w:ascii="宋体" w:hAnsi="宋体" w:eastAsia="宋体"/>
                <w:sz w:val="16"/>
              </w:rPr>
              <w:t>经济高质量发展提供坚强政治保证。2024年具体完成的重要工作有：</w:t>
            </w:r>
            <w:r>
              <w:rPr>
                <w:rFonts w:hint="eastAsia" w:ascii="宋体" w:hAnsi="宋体"/>
                <w:sz w:val="16"/>
                <w:lang w:eastAsia="zh-CN"/>
              </w:rPr>
              <w:t>巡察</w:t>
            </w:r>
            <w:r>
              <w:rPr>
                <w:rFonts w:ascii="宋体" w:hAnsi="宋体" w:eastAsia="宋体"/>
                <w:sz w:val="16"/>
              </w:rPr>
              <w:t>组基数3个，完成了3轮</w:t>
            </w:r>
            <w:r>
              <w:rPr>
                <w:rFonts w:hint="eastAsia" w:ascii="宋体" w:hAnsi="宋体"/>
                <w:sz w:val="16"/>
                <w:lang w:eastAsia="zh-CN"/>
              </w:rPr>
              <w:t>巡察</w:t>
            </w:r>
            <w:r>
              <w:rPr>
                <w:rFonts w:ascii="宋体" w:hAnsi="宋体" w:eastAsia="宋体"/>
                <w:sz w:val="16"/>
              </w:rPr>
              <w:t>工作，每轮现场巡察时间2月，巡察每个党组织时间12天，巡查发现“四个聚焦”问题数量651个。</w:t>
            </w:r>
          </w:p>
        </w:tc>
      </w:tr>
      <w:tr w14:paraId="46EF8D0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E8D2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1CE4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78B2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10658">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4165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CEEF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5D27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5EFBF">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3B5B2">
            <w:pPr>
              <w:jc w:val="center"/>
            </w:pPr>
            <w:r>
              <w:rPr>
                <w:rFonts w:ascii="宋体" w:hAnsi="宋体" w:eastAsia="宋体"/>
                <w:sz w:val="16"/>
              </w:rPr>
              <w:t>得分</w:t>
            </w:r>
          </w:p>
        </w:tc>
      </w:tr>
      <w:tr w14:paraId="5E5818A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7D66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A92B3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3C4E7">
            <w:pPr>
              <w:jc w:val="center"/>
            </w:pPr>
            <w:r>
              <w:rPr>
                <w:rFonts w:ascii="宋体" w:hAnsi="宋体" w:eastAsia="宋体"/>
                <w:sz w:val="16"/>
              </w:rPr>
              <w:t>2024年内巡查工作轮数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EE02F">
            <w:pPr>
              <w:jc w:val="center"/>
            </w:pPr>
            <w:r>
              <w:rPr>
                <w:rFonts w:ascii="宋体" w:hAnsi="宋体" w:eastAsia="宋体"/>
                <w:sz w:val="16"/>
              </w:rPr>
              <w:t>&gt;=3轮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B8048">
            <w:pPr>
              <w:jc w:val="center"/>
            </w:pPr>
            <w:r>
              <w:rPr>
                <w:rFonts w:ascii="宋体" w:hAnsi="宋体" w:eastAsia="宋体"/>
                <w:sz w:val="16"/>
              </w:rPr>
              <w:t>塔县</w:t>
            </w:r>
            <w:r>
              <w:rPr>
                <w:rFonts w:hint="eastAsia" w:ascii="宋体" w:hAnsi="宋体"/>
                <w:sz w:val="16"/>
                <w:lang w:eastAsia="zh-CN"/>
              </w:rPr>
              <w:t>巡察</w:t>
            </w:r>
            <w:r>
              <w:rPr>
                <w:rFonts w:ascii="宋体" w:hAnsi="宋体" w:eastAsia="宋体"/>
                <w:sz w:val="16"/>
              </w:rPr>
              <w:t>工作领导小组办公室2024年工作计划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BFBD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7BB33">
            <w:pPr>
              <w:jc w:val="center"/>
            </w:pPr>
            <w:r>
              <w:rPr>
                <w:rFonts w:ascii="宋体" w:hAnsi="宋体" w:eastAsia="宋体"/>
                <w:sz w:val="16"/>
              </w:rPr>
              <w:t>3轮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A39B7">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79546">
            <w:pPr>
              <w:jc w:val="center"/>
            </w:pPr>
            <w:r>
              <w:rPr>
                <w:rFonts w:ascii="宋体" w:hAnsi="宋体" w:eastAsia="宋体"/>
                <w:sz w:val="16"/>
              </w:rPr>
              <w:t>20</w:t>
            </w:r>
          </w:p>
        </w:tc>
      </w:tr>
      <w:tr w14:paraId="04565D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BA6DD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C8A6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B820B">
            <w:pPr>
              <w:jc w:val="center"/>
            </w:pPr>
            <w:r>
              <w:rPr>
                <w:rFonts w:ascii="宋体" w:hAnsi="宋体" w:eastAsia="宋体"/>
                <w:sz w:val="16"/>
              </w:rPr>
              <w:t>巡查报告发现“四个聚焦”问题数量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79CF1">
            <w:pPr>
              <w:jc w:val="center"/>
            </w:pPr>
            <w:r>
              <w:rPr>
                <w:rFonts w:ascii="宋体" w:hAnsi="宋体" w:eastAsia="宋体"/>
                <w:sz w:val="16"/>
              </w:rPr>
              <w:t>&gt;=15个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0AACD">
            <w:pPr>
              <w:jc w:val="center"/>
            </w:pPr>
            <w:r>
              <w:rPr>
                <w:rFonts w:ascii="宋体" w:hAnsi="宋体" w:eastAsia="宋体"/>
                <w:sz w:val="16"/>
              </w:rPr>
              <w:t>塔县</w:t>
            </w:r>
            <w:r>
              <w:rPr>
                <w:rFonts w:hint="eastAsia" w:ascii="宋体" w:hAnsi="宋体"/>
                <w:sz w:val="16"/>
                <w:lang w:eastAsia="zh-CN"/>
              </w:rPr>
              <w:t>巡察</w:t>
            </w:r>
            <w:r>
              <w:rPr>
                <w:rFonts w:ascii="宋体" w:hAnsi="宋体" w:eastAsia="宋体"/>
                <w:sz w:val="16"/>
              </w:rPr>
              <w:t>工作领导小组办公室2024年工作计划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E5EE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2A3EE">
            <w:pPr>
              <w:jc w:val="center"/>
            </w:pPr>
            <w:r>
              <w:rPr>
                <w:rFonts w:ascii="宋体" w:hAnsi="宋体" w:eastAsia="宋体"/>
                <w:sz w:val="16"/>
              </w:rPr>
              <w:t>651个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51F54">
            <w:pPr>
              <w:jc w:val="center"/>
              <w:rPr>
                <w:rFonts w:hint="eastAsia" w:eastAsia="宋体"/>
                <w:lang w:val="en-US" w:eastAsia="zh-CN"/>
              </w:rPr>
            </w:pPr>
            <w:r>
              <w:rPr>
                <w:rFonts w:ascii="宋体" w:hAnsi="宋体" w:eastAsia="宋体"/>
                <w:sz w:val="16"/>
              </w:rPr>
              <w:t>4340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92356">
            <w:pPr>
              <w:jc w:val="center"/>
            </w:pPr>
            <w:r>
              <w:rPr>
                <w:rFonts w:ascii="宋体" w:hAnsi="宋体" w:eastAsia="宋体"/>
                <w:sz w:val="16"/>
              </w:rPr>
              <w:t>20</w:t>
            </w:r>
          </w:p>
        </w:tc>
      </w:tr>
      <w:tr w14:paraId="0BBB60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508A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F0D8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C6E4E">
            <w:pPr>
              <w:jc w:val="center"/>
            </w:pPr>
            <w:r>
              <w:rPr>
                <w:rFonts w:ascii="宋体" w:hAnsi="宋体" w:eastAsia="宋体"/>
                <w:sz w:val="16"/>
              </w:rPr>
              <w:t>巡察每个党组织时间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7420B">
            <w:pPr>
              <w:jc w:val="center"/>
            </w:pPr>
            <w:r>
              <w:rPr>
                <w:rFonts w:ascii="宋体" w:hAnsi="宋体" w:eastAsia="宋体"/>
                <w:sz w:val="16"/>
              </w:rPr>
              <w:t>&gt;=12天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4926D">
            <w:pPr>
              <w:jc w:val="center"/>
            </w:pPr>
            <w:r>
              <w:rPr>
                <w:rFonts w:ascii="宋体" w:hAnsi="宋体" w:eastAsia="宋体"/>
                <w:sz w:val="16"/>
              </w:rPr>
              <w:t>塔县</w:t>
            </w:r>
            <w:r>
              <w:rPr>
                <w:rFonts w:hint="eastAsia" w:ascii="宋体" w:hAnsi="宋体"/>
                <w:sz w:val="16"/>
                <w:lang w:eastAsia="zh-CN"/>
              </w:rPr>
              <w:t>巡察</w:t>
            </w:r>
            <w:r>
              <w:rPr>
                <w:rFonts w:ascii="宋体" w:hAnsi="宋体" w:eastAsia="宋体"/>
                <w:sz w:val="16"/>
              </w:rPr>
              <w:t>工作领导小组办公室2024年工作计划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6229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D40FA">
            <w:pPr>
              <w:jc w:val="center"/>
            </w:pPr>
            <w:r>
              <w:rPr>
                <w:rFonts w:ascii="宋体" w:hAnsi="宋体" w:eastAsia="宋体"/>
                <w:sz w:val="16"/>
              </w:rPr>
              <w:t>12天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642EB">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2FE5A">
            <w:pPr>
              <w:jc w:val="center"/>
            </w:pPr>
            <w:r>
              <w:rPr>
                <w:rFonts w:ascii="宋体" w:hAnsi="宋体" w:eastAsia="宋体"/>
                <w:sz w:val="16"/>
              </w:rPr>
              <w:t>15</w:t>
            </w:r>
          </w:p>
        </w:tc>
      </w:tr>
      <w:tr w14:paraId="64C96B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4241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9B34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FD3DD">
            <w:pPr>
              <w:jc w:val="center"/>
            </w:pPr>
            <w:r>
              <w:rPr>
                <w:rFonts w:ascii="宋体" w:hAnsi="宋体" w:eastAsia="宋体"/>
                <w:sz w:val="16"/>
              </w:rPr>
              <w:t>巡查组基数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9FC0E">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43513">
            <w:pPr>
              <w:jc w:val="center"/>
            </w:pPr>
            <w:r>
              <w:rPr>
                <w:rFonts w:ascii="宋体" w:hAnsi="宋体" w:eastAsia="宋体"/>
                <w:sz w:val="16"/>
              </w:rPr>
              <w:t>塔县</w:t>
            </w:r>
            <w:r>
              <w:rPr>
                <w:rFonts w:hint="eastAsia" w:ascii="宋体" w:hAnsi="宋体"/>
                <w:sz w:val="16"/>
                <w:lang w:eastAsia="zh-CN"/>
              </w:rPr>
              <w:t>巡察</w:t>
            </w:r>
            <w:r>
              <w:rPr>
                <w:rFonts w:ascii="宋体" w:hAnsi="宋体" w:eastAsia="宋体"/>
                <w:sz w:val="16"/>
              </w:rPr>
              <w:t>工作领导小组办公室2024年工作计划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922A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0E363">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48EC7">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E093D">
            <w:pPr>
              <w:jc w:val="center"/>
            </w:pPr>
            <w:r>
              <w:rPr>
                <w:rFonts w:ascii="宋体" w:hAnsi="宋体" w:eastAsia="宋体"/>
                <w:sz w:val="16"/>
              </w:rPr>
              <w:t>20</w:t>
            </w:r>
          </w:p>
        </w:tc>
      </w:tr>
      <w:tr w14:paraId="0E82E7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8C57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CA0A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60BBA">
            <w:pPr>
              <w:jc w:val="center"/>
            </w:pPr>
            <w:r>
              <w:rPr>
                <w:rFonts w:ascii="宋体" w:hAnsi="宋体" w:eastAsia="宋体"/>
                <w:sz w:val="16"/>
              </w:rPr>
              <w:t>每轮现场巡察时间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AF83C">
            <w:pPr>
              <w:jc w:val="center"/>
            </w:pPr>
            <w:r>
              <w:rPr>
                <w:rFonts w:ascii="宋体" w:hAnsi="宋体" w:eastAsia="宋体"/>
                <w:sz w:val="16"/>
              </w:rPr>
              <w:t>&gt;=2月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F3B43">
            <w:pPr>
              <w:jc w:val="center"/>
            </w:pPr>
            <w:r>
              <w:rPr>
                <w:rFonts w:ascii="宋体" w:hAnsi="宋体" w:eastAsia="宋体"/>
                <w:sz w:val="16"/>
              </w:rPr>
              <w:t>塔县</w:t>
            </w:r>
            <w:r>
              <w:rPr>
                <w:rFonts w:hint="eastAsia" w:ascii="宋体" w:hAnsi="宋体"/>
                <w:sz w:val="16"/>
                <w:lang w:eastAsia="zh-CN"/>
              </w:rPr>
              <w:t>巡察</w:t>
            </w:r>
            <w:r>
              <w:rPr>
                <w:rFonts w:ascii="宋体" w:hAnsi="宋体" w:eastAsia="宋体"/>
                <w:sz w:val="16"/>
              </w:rPr>
              <w:t>工作领导小组办公室2024年工作计划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AA10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8ED55">
            <w:pPr>
              <w:jc w:val="center"/>
            </w:pPr>
            <w:r>
              <w:rPr>
                <w:rFonts w:ascii="宋体" w:hAnsi="宋体" w:eastAsia="宋体"/>
                <w:sz w:val="16"/>
              </w:rPr>
              <w:t>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68401">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6F692">
            <w:pPr>
              <w:jc w:val="center"/>
            </w:pPr>
            <w:r>
              <w:rPr>
                <w:rFonts w:ascii="宋体" w:hAnsi="宋体" w:eastAsia="宋体"/>
                <w:sz w:val="16"/>
              </w:rPr>
              <w:t>15</w:t>
            </w:r>
          </w:p>
        </w:tc>
      </w:tr>
    </w:tbl>
    <w:p w14:paraId="0FDF508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E62C946">
        <w:tblPrEx>
          <w:tblCellMar>
            <w:top w:w="0" w:type="dxa"/>
            <w:left w:w="108" w:type="dxa"/>
            <w:bottom w:w="0" w:type="dxa"/>
            <w:right w:w="108" w:type="dxa"/>
          </w:tblCellMar>
        </w:tblPrEx>
        <w:tc>
          <w:tcPr>
            <w:tcW w:w="8848" w:type="dxa"/>
            <w:gridSpan w:val="14"/>
            <w:vAlign w:val="center"/>
          </w:tcPr>
          <w:p w14:paraId="66C1E479">
            <w:pPr>
              <w:jc w:val="center"/>
            </w:pPr>
            <w:r>
              <w:rPr>
                <w:rFonts w:ascii="宋体" w:hAnsi="宋体" w:eastAsia="宋体"/>
                <w:sz w:val="24"/>
              </w:rPr>
              <w:t>项目支出绩效自评表</w:t>
            </w:r>
          </w:p>
        </w:tc>
      </w:tr>
      <w:tr w14:paraId="3BB08237">
        <w:tblPrEx>
          <w:tblCellMar>
            <w:top w:w="0" w:type="dxa"/>
            <w:left w:w="108" w:type="dxa"/>
            <w:bottom w:w="0" w:type="dxa"/>
            <w:right w:w="108" w:type="dxa"/>
          </w:tblCellMar>
        </w:tblPrEx>
        <w:tc>
          <w:tcPr>
            <w:tcW w:w="8848" w:type="dxa"/>
            <w:gridSpan w:val="14"/>
            <w:vAlign w:val="center"/>
          </w:tcPr>
          <w:p w14:paraId="496CD8F5">
            <w:pPr>
              <w:jc w:val="center"/>
            </w:pPr>
            <w:r>
              <w:rPr>
                <w:rFonts w:ascii="宋体" w:hAnsi="宋体" w:eastAsia="宋体"/>
                <w:sz w:val="24"/>
              </w:rPr>
              <w:t>(2024年度)</w:t>
            </w:r>
          </w:p>
        </w:tc>
      </w:tr>
      <w:tr w14:paraId="45C59E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BB27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F92BDD">
            <w:pPr>
              <w:jc w:val="center"/>
            </w:pPr>
            <w:r>
              <w:rPr>
                <w:rFonts w:ascii="宋体" w:hAnsi="宋体" w:eastAsia="宋体"/>
                <w:sz w:val="16"/>
              </w:rPr>
              <w:t>2024年为民办实事工作经费</w:t>
            </w:r>
          </w:p>
        </w:tc>
      </w:tr>
      <w:tr w14:paraId="239C7D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EDD3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F4FF5F">
            <w:pPr>
              <w:jc w:val="center"/>
            </w:pPr>
            <w:r>
              <w:rPr>
                <w:rFonts w:ascii="宋体" w:hAnsi="宋体" w:eastAsia="宋体"/>
                <w:sz w:val="16"/>
              </w:rPr>
              <w:t>中共塔什库尔干塔吉克自治县人民政府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7C44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3257FB">
            <w:pPr>
              <w:jc w:val="center"/>
            </w:pPr>
            <w:r>
              <w:rPr>
                <w:rFonts w:ascii="宋体" w:hAnsi="宋体" w:eastAsia="宋体"/>
                <w:sz w:val="16"/>
              </w:rPr>
              <w:t>中共塔什库尔干塔吉克自治县委员会巡察工作领导小组办公室</w:t>
            </w:r>
          </w:p>
        </w:tc>
      </w:tr>
      <w:tr w14:paraId="03EF0F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8BA6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D659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8E3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1E98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DC10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BA19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75EA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76154">
            <w:pPr>
              <w:jc w:val="center"/>
            </w:pPr>
            <w:r>
              <w:rPr>
                <w:rFonts w:ascii="宋体" w:hAnsi="宋体" w:eastAsia="宋体"/>
                <w:sz w:val="16"/>
              </w:rPr>
              <w:t>得分</w:t>
            </w:r>
          </w:p>
        </w:tc>
      </w:tr>
      <w:tr w14:paraId="52879B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4DA5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80E5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B744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F1059">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93DC2">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672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B29E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00436">
            <w:pPr>
              <w:jc w:val="center"/>
            </w:pPr>
            <w:r>
              <w:rPr>
                <w:rFonts w:ascii="宋体" w:hAnsi="宋体" w:eastAsia="宋体"/>
                <w:sz w:val="16"/>
              </w:rPr>
              <w:t>10.00分</w:t>
            </w:r>
          </w:p>
        </w:tc>
      </w:tr>
      <w:tr w14:paraId="0B9824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315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5C44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E8F1B">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FFC88">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CB497">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7AC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8B4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49741">
            <w:pPr>
              <w:jc w:val="center"/>
            </w:pPr>
            <w:r>
              <w:rPr>
                <w:rFonts w:ascii="宋体" w:hAnsi="宋体" w:eastAsia="宋体"/>
                <w:sz w:val="16"/>
              </w:rPr>
              <w:t>—</w:t>
            </w:r>
          </w:p>
        </w:tc>
      </w:tr>
      <w:tr w14:paraId="388F18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9FE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7F2B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972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E40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201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1E6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F81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D9992">
            <w:pPr>
              <w:jc w:val="center"/>
            </w:pPr>
            <w:r>
              <w:rPr>
                <w:rFonts w:ascii="宋体" w:hAnsi="宋体" w:eastAsia="宋体"/>
                <w:sz w:val="16"/>
              </w:rPr>
              <w:t>—</w:t>
            </w:r>
          </w:p>
        </w:tc>
      </w:tr>
      <w:tr w14:paraId="1E339C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49F2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8F5AF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4FC09E">
            <w:pPr>
              <w:jc w:val="center"/>
            </w:pPr>
            <w:r>
              <w:rPr>
                <w:rFonts w:ascii="宋体" w:hAnsi="宋体" w:eastAsia="宋体"/>
                <w:sz w:val="16"/>
              </w:rPr>
              <w:t>实际完成情况</w:t>
            </w:r>
          </w:p>
        </w:tc>
      </w:tr>
      <w:tr w14:paraId="7D21BC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336F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94542E">
            <w:pPr>
              <w:jc w:val="both"/>
            </w:pPr>
            <w:r>
              <w:rPr>
                <w:rFonts w:ascii="宋体" w:hAnsi="宋体" w:eastAsia="宋体"/>
                <w:sz w:val="16"/>
              </w:rPr>
              <w:t>按照《塔什库尔干塔吉克自治县为民办实事工作经费使用管理方案（试行）》要求预计投入资金7万元，保障村数达到1个村，经费保障率达到100%，经费支付及时性达到100%，有效保障村级为民办实事工作，使得群众满意率达到95%以上，进一步</w:t>
            </w:r>
            <w:r>
              <w:rPr>
                <w:rFonts w:hint="eastAsia" w:ascii="宋体" w:hAnsi="宋体"/>
                <w:sz w:val="16"/>
                <w:lang w:eastAsia="zh-CN"/>
              </w:rPr>
              <w:t>统一</w:t>
            </w:r>
            <w:r>
              <w:rPr>
                <w:rFonts w:ascii="宋体" w:hAnsi="宋体" w:eastAsia="宋体"/>
                <w:sz w:val="16"/>
              </w:rPr>
              <w:t>思想，坚定信心，全力以赴加快推进为民办实事工作。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7C901E">
            <w:pPr>
              <w:jc w:val="both"/>
            </w:pPr>
            <w:r>
              <w:rPr>
                <w:rFonts w:ascii="宋体" w:hAnsi="宋体" w:eastAsia="宋体"/>
                <w:sz w:val="16"/>
              </w:rPr>
              <w:t>本项目实际支出7万元，主要用于中共塔什库尔干塔吉克自治县委员会巡察工作领导小组办公室包联的瓦恰乡昆玉孜村</w:t>
            </w:r>
            <w:r>
              <w:rPr>
                <w:rFonts w:hint="eastAsia" w:ascii="宋体" w:hAnsi="宋体"/>
                <w:sz w:val="16"/>
                <w:lang w:eastAsia="zh-CN"/>
              </w:rPr>
              <w:t>为民办实事</w:t>
            </w:r>
            <w:r>
              <w:rPr>
                <w:rFonts w:ascii="宋体" w:hAnsi="宋体" w:eastAsia="宋体"/>
                <w:sz w:val="16"/>
              </w:rPr>
              <w:t>工作队为民办实事经费，主要包括访贫问苦、改善民生、支持村级产业发展，</w:t>
            </w:r>
            <w:r>
              <w:rPr>
                <w:rFonts w:hint="eastAsia" w:ascii="宋体" w:hAnsi="宋体"/>
                <w:sz w:val="16"/>
                <w:lang w:eastAsia="zh-CN"/>
              </w:rPr>
              <w:t>为民办实事</w:t>
            </w:r>
            <w:r>
              <w:rPr>
                <w:rFonts w:ascii="宋体" w:hAnsi="宋体" w:eastAsia="宋体"/>
                <w:sz w:val="16"/>
              </w:rPr>
              <w:t>工作宣传、调研等工作保障，开展村民自治活动、群众性文化演出活动和群众表彰活动等村级组织工作经费。经费保障率达到100%，经费支付及时性达到100%，通过该项目的实施，进一步统一了思想，坚定了信心，推进了为民</w:t>
            </w:r>
            <w:r>
              <w:rPr>
                <w:rFonts w:hint="eastAsia" w:ascii="宋体" w:hAnsi="宋体"/>
                <w:sz w:val="16"/>
                <w:lang w:eastAsia="zh-CN"/>
              </w:rPr>
              <w:t>办实事</w:t>
            </w:r>
            <w:r>
              <w:rPr>
                <w:rFonts w:ascii="宋体" w:hAnsi="宋体" w:eastAsia="宋体"/>
                <w:sz w:val="16"/>
              </w:rPr>
              <w:t>工作向前发展，项目实施使基层办公环境得到了有效改善，保障了基层治理的稳定运行；有效改善了民生问题，缩小了贫富差距。 使得群众满意率达到了100%。</w:t>
            </w:r>
          </w:p>
        </w:tc>
      </w:tr>
      <w:tr w14:paraId="21A659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982FA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473D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4772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A747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7E8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A454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009E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6DFE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0A39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B7BD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99D6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4462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6E1D3">
            <w:pPr>
              <w:jc w:val="center"/>
            </w:pPr>
            <w:r>
              <w:rPr>
                <w:rFonts w:ascii="宋体" w:hAnsi="宋体" w:eastAsia="宋体"/>
                <w:sz w:val="16"/>
              </w:rPr>
              <w:t>偏差原因分析及改进措施</w:t>
            </w:r>
          </w:p>
        </w:tc>
      </w:tr>
      <w:tr w14:paraId="142053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4B2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53F7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B37A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DBE27">
            <w:pPr>
              <w:jc w:val="center"/>
            </w:pPr>
            <w:r>
              <w:rPr>
                <w:rFonts w:ascii="宋体" w:hAnsi="宋体" w:eastAsia="宋体"/>
                <w:sz w:val="16"/>
              </w:rPr>
              <w:t>为民办实事经费保障村数（个）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0A52A">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44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2E3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3E1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6E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C91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20F8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F58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0F8E1">
            <w:pPr>
              <w:jc w:val="center"/>
            </w:pPr>
          </w:p>
        </w:tc>
      </w:tr>
      <w:tr w14:paraId="323A47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36E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0E1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5BD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EB4DD">
            <w:pPr>
              <w:jc w:val="center"/>
            </w:pPr>
            <w:r>
              <w:rPr>
                <w:rFonts w:ascii="宋体" w:hAnsi="宋体" w:eastAsia="宋体"/>
                <w:sz w:val="16"/>
              </w:rPr>
              <w:t>为民办实事保障率（%）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21ED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4AF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723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363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2F7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16F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109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6D568">
            <w:pPr>
              <w:jc w:val="center"/>
            </w:pPr>
            <w:r>
              <w:rPr>
                <w:rFonts w:ascii="宋体" w:hAnsi="宋体" w:eastAsia="宋体"/>
                <w:sz w:val="16"/>
              </w:rPr>
              <w:t>18.95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C51D4">
            <w:pPr>
              <w:jc w:val="center"/>
            </w:pPr>
            <w:r>
              <w:rPr>
                <w:rFonts w:ascii="宋体" w:hAnsi="宋体" w:eastAsia="宋体"/>
                <w:sz w:val="16"/>
              </w:rPr>
              <w:t>偏差原因分析：项目实施情况较好，为民办实事保障率也较高，所以出现正偏差。改进措施：基于当前良好表现，重新审视绩效目标，在以后绩效目标设置时设置更具挑战性的目标，以推动业务持续发展。</w:t>
            </w:r>
          </w:p>
        </w:tc>
      </w:tr>
      <w:tr w14:paraId="20814D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B5D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303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75D0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A7D89">
            <w:pPr>
              <w:jc w:val="center"/>
            </w:pPr>
            <w:r>
              <w:rPr>
                <w:rFonts w:ascii="宋体" w:hAnsi="宋体" w:eastAsia="宋体"/>
                <w:sz w:val="16"/>
              </w:rPr>
              <w:t>为民办实事经费支付及时性（%）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303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52A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ADD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3DC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4C5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53C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B34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BD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EB4AB">
            <w:pPr>
              <w:jc w:val="center"/>
            </w:pPr>
          </w:p>
        </w:tc>
      </w:tr>
      <w:tr w14:paraId="7314FD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A70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5C64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DDF61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86B28">
            <w:pPr>
              <w:jc w:val="center"/>
            </w:pPr>
            <w:r>
              <w:rPr>
                <w:rFonts w:ascii="宋体" w:hAnsi="宋体" w:eastAsia="宋体"/>
                <w:sz w:val="16"/>
              </w:rPr>
              <w:t>村“两委”办公设施和党内激励关怀帮扶经费（万元）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B09D1">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5337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A4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5FB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AB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748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6F611">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76F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096F7">
            <w:pPr>
              <w:jc w:val="center"/>
            </w:pPr>
          </w:p>
        </w:tc>
      </w:tr>
      <w:tr w14:paraId="0E290F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092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369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AE6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ACFFF">
            <w:pPr>
              <w:jc w:val="center"/>
            </w:pPr>
            <w:r>
              <w:rPr>
                <w:rFonts w:ascii="宋体" w:hAnsi="宋体" w:eastAsia="宋体"/>
                <w:sz w:val="16"/>
              </w:rPr>
              <w:t>访贫问苦经费（万元）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9D47C">
            <w:pPr>
              <w:jc w:val="center"/>
            </w:pPr>
            <w:r>
              <w:rPr>
                <w:rFonts w:ascii="宋体" w:hAnsi="宋体" w:eastAsia="宋体"/>
                <w:sz w:val="16"/>
              </w:rPr>
              <w:t>&lt;=1.75万元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CA4D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06C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E13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8F3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39A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7A8B6">
            <w:pPr>
              <w:jc w:val="center"/>
            </w:pPr>
            <w:r>
              <w:rPr>
                <w:rFonts w:ascii="宋体" w:hAnsi="宋体" w:eastAsia="宋体"/>
                <w:sz w:val="16"/>
              </w:rPr>
              <w: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C9B1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9D281">
            <w:pPr>
              <w:jc w:val="center"/>
            </w:pPr>
          </w:p>
        </w:tc>
      </w:tr>
      <w:tr w14:paraId="64C295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E23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53C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55D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653F7">
            <w:pPr>
              <w:jc w:val="center"/>
            </w:pPr>
            <w:r>
              <w:rPr>
                <w:rFonts w:ascii="宋体" w:hAnsi="宋体" w:eastAsia="宋体"/>
                <w:sz w:val="16"/>
              </w:rPr>
              <w:t>村级组织工作经费（万元）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1CCC5">
            <w:pPr>
              <w:jc w:val="center"/>
            </w:pPr>
            <w:r>
              <w:rPr>
                <w:rFonts w:ascii="宋体" w:hAnsi="宋体" w:eastAsia="宋体"/>
                <w:sz w:val="16"/>
              </w:rPr>
              <w:t>&lt;=1.75万元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31D1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7A8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C83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847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4D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D852C">
            <w:pPr>
              <w:jc w:val="center"/>
            </w:pPr>
            <w:r>
              <w:rPr>
                <w:rFonts w:ascii="宋体" w:hAnsi="宋体" w:eastAsia="宋体"/>
                <w:sz w:val="16"/>
              </w:rPr>
              <w: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3D8B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78DAA">
            <w:pPr>
              <w:jc w:val="center"/>
            </w:pPr>
          </w:p>
        </w:tc>
      </w:tr>
      <w:tr w14:paraId="098532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9C1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466F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552A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DCFA7">
            <w:pPr>
              <w:jc w:val="center"/>
            </w:pPr>
            <w:r>
              <w:rPr>
                <w:rFonts w:ascii="宋体" w:hAnsi="宋体" w:eastAsia="宋体"/>
                <w:sz w:val="16"/>
              </w:rPr>
              <w:t>保障村级为民办实事工作有效开展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0074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6FC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9C4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ABD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788B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0F7E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E274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76F9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0D6B9">
            <w:pPr>
              <w:jc w:val="center"/>
            </w:pPr>
          </w:p>
        </w:tc>
      </w:tr>
      <w:tr w14:paraId="11C450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1AD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0D1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9F6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E233">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200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7EA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648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04B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A7D2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8AD5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76E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80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C4014">
            <w:pPr>
              <w:jc w:val="center"/>
            </w:pPr>
            <w:r>
              <w:rPr>
                <w:rFonts w:ascii="宋体" w:hAnsi="宋体" w:eastAsia="宋体"/>
                <w:sz w:val="16"/>
              </w:rPr>
              <w:t>偏差原因分析：项目实施情况较好，受益群众满意度较高，所以出现正偏差。改进措施：基于当前良好表现，重新审视绩效目标，在以后绩效目标设置时设置更具挑战性的目标，以推动业务持续发展。</w:t>
            </w:r>
          </w:p>
        </w:tc>
      </w:tr>
      <w:tr w14:paraId="344ECF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5198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F0EA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FFBD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C48361">
            <w:pPr>
              <w:jc w:val="center"/>
            </w:pPr>
            <w:r>
              <w:rPr>
                <w:rFonts w:ascii="宋体" w:hAnsi="宋体" w:eastAsia="宋体"/>
                <w:sz w:val="16"/>
              </w:rPr>
              <w:t>98.95分</w:t>
            </w:r>
          </w:p>
        </w:tc>
      </w:tr>
    </w:tbl>
    <w:p w14:paraId="0DF397B9">
      <w:r>
        <w:br w:type="page"/>
      </w:r>
    </w:p>
    <w:p w14:paraId="01B1C513">
      <w:pPr>
        <w:spacing w:line="640" w:lineRule="exact"/>
        <w:ind w:firstLine="640"/>
        <w:jc w:val="both"/>
        <w:outlineLvl w:val="2"/>
      </w:pPr>
      <w:r>
        <w:rPr>
          <w:rFonts w:ascii="黑体" w:hAnsi="黑体" w:eastAsia="黑体"/>
          <w:sz w:val="32"/>
        </w:rPr>
        <w:t>十二、其他需说明的事项</w:t>
      </w:r>
    </w:p>
    <w:p w14:paraId="1930CB94">
      <w:pPr>
        <w:spacing w:line="580" w:lineRule="exact"/>
        <w:ind w:firstLine="640"/>
        <w:jc w:val="both"/>
      </w:pPr>
      <w:r>
        <w:rPr>
          <w:rFonts w:ascii="仿宋_GB2312" w:hAnsi="仿宋_GB2312" w:eastAsia="仿宋_GB2312"/>
          <w:b w:val="0"/>
          <w:sz w:val="32"/>
        </w:rPr>
        <w:t>本年本单位SM项目1个，全年预算数40.3</w:t>
      </w:r>
      <w:r>
        <w:rPr>
          <w:rFonts w:hint="eastAsia" w:ascii="仿宋_GB2312" w:hAnsi="仿宋_GB2312" w:eastAsia="仿宋_GB2312"/>
          <w:b w:val="0"/>
          <w:sz w:val="32"/>
          <w:lang w:val="en-US" w:eastAsia="zh-CN"/>
        </w:rPr>
        <w:t>0</w:t>
      </w:r>
      <w:r>
        <w:rPr>
          <w:rFonts w:ascii="仿宋_GB2312" w:hAnsi="仿宋_GB2312" w:eastAsia="仿宋_GB2312"/>
          <w:b w:val="0"/>
          <w:sz w:val="32"/>
        </w:rPr>
        <w:t>万元，全年执行数14.71万元。</w:t>
      </w:r>
    </w:p>
    <w:p w14:paraId="604B28FB">
      <w:r>
        <w:br w:type="page"/>
      </w:r>
    </w:p>
    <w:p w14:paraId="573DFAF3">
      <w:pPr>
        <w:spacing w:line="240" w:lineRule="auto"/>
        <w:jc w:val="center"/>
        <w:outlineLvl w:val="1"/>
      </w:pPr>
      <w:r>
        <w:rPr>
          <w:rFonts w:ascii="黑体" w:hAnsi="黑体" w:eastAsia="黑体"/>
          <w:sz w:val="32"/>
        </w:rPr>
        <w:t>第三部分 专业名词解释</w:t>
      </w:r>
    </w:p>
    <w:p w14:paraId="7AE1427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AAD991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62484B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4EE838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B5A10B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566992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A27C26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B82A41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FCC941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84262A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796567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249BB6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38853B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D18354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0DCEC6A">
      <w:r>
        <w:br w:type="page"/>
      </w:r>
    </w:p>
    <w:p w14:paraId="27145BB6">
      <w:pPr>
        <w:spacing w:line="240" w:lineRule="auto"/>
        <w:jc w:val="center"/>
        <w:outlineLvl w:val="1"/>
      </w:pPr>
      <w:r>
        <w:rPr>
          <w:rFonts w:ascii="黑体" w:hAnsi="黑体" w:eastAsia="黑体"/>
          <w:sz w:val="32"/>
        </w:rPr>
        <w:t>第四部分 部门决算报表（见附表）</w:t>
      </w:r>
    </w:p>
    <w:p w14:paraId="77D07957">
      <w:pPr>
        <w:spacing w:line="240" w:lineRule="auto"/>
        <w:ind w:firstLine="640"/>
        <w:jc w:val="both"/>
      </w:pPr>
      <w:r>
        <w:rPr>
          <w:rFonts w:ascii="仿宋_GB2312" w:hAnsi="仿宋_GB2312" w:eastAsia="仿宋_GB2312"/>
          <w:b w:val="0"/>
          <w:sz w:val="32"/>
        </w:rPr>
        <w:t>一、《收入支出决算总表》</w:t>
      </w:r>
    </w:p>
    <w:p w14:paraId="0E6ACD5D">
      <w:pPr>
        <w:spacing w:line="240" w:lineRule="auto"/>
        <w:ind w:firstLine="640"/>
        <w:jc w:val="both"/>
      </w:pPr>
      <w:r>
        <w:rPr>
          <w:rFonts w:ascii="仿宋_GB2312" w:hAnsi="仿宋_GB2312" w:eastAsia="仿宋_GB2312"/>
          <w:b w:val="0"/>
          <w:sz w:val="32"/>
        </w:rPr>
        <w:t>二、《收入决算表》</w:t>
      </w:r>
    </w:p>
    <w:p w14:paraId="66A3E426">
      <w:pPr>
        <w:spacing w:line="240" w:lineRule="auto"/>
        <w:ind w:firstLine="640"/>
        <w:jc w:val="both"/>
      </w:pPr>
      <w:r>
        <w:rPr>
          <w:rFonts w:ascii="仿宋_GB2312" w:hAnsi="仿宋_GB2312" w:eastAsia="仿宋_GB2312"/>
          <w:b w:val="0"/>
          <w:sz w:val="32"/>
        </w:rPr>
        <w:t>三、《支出决算表》</w:t>
      </w:r>
    </w:p>
    <w:p w14:paraId="35473B30">
      <w:pPr>
        <w:spacing w:line="240" w:lineRule="auto"/>
        <w:ind w:firstLine="640"/>
        <w:jc w:val="both"/>
      </w:pPr>
      <w:r>
        <w:rPr>
          <w:rFonts w:ascii="仿宋_GB2312" w:hAnsi="仿宋_GB2312" w:eastAsia="仿宋_GB2312"/>
          <w:b w:val="0"/>
          <w:sz w:val="32"/>
        </w:rPr>
        <w:t>四、《财政拨款收入支出决算总表》</w:t>
      </w:r>
    </w:p>
    <w:p w14:paraId="60608352">
      <w:pPr>
        <w:spacing w:line="240" w:lineRule="auto"/>
        <w:ind w:firstLine="640"/>
        <w:jc w:val="both"/>
      </w:pPr>
      <w:r>
        <w:rPr>
          <w:rFonts w:ascii="仿宋_GB2312" w:hAnsi="仿宋_GB2312" w:eastAsia="仿宋_GB2312"/>
          <w:b w:val="0"/>
          <w:sz w:val="32"/>
        </w:rPr>
        <w:t>五、《一般公共预算财政拨款支出决算表》</w:t>
      </w:r>
    </w:p>
    <w:p w14:paraId="0563D5FB">
      <w:pPr>
        <w:spacing w:line="240" w:lineRule="auto"/>
        <w:ind w:firstLine="640"/>
        <w:jc w:val="both"/>
      </w:pPr>
      <w:r>
        <w:rPr>
          <w:rFonts w:ascii="仿宋_GB2312" w:hAnsi="仿宋_GB2312" w:eastAsia="仿宋_GB2312"/>
          <w:b w:val="0"/>
          <w:sz w:val="32"/>
        </w:rPr>
        <w:t>六、《一般公共预算财政拨款基本支出决算表》</w:t>
      </w:r>
    </w:p>
    <w:p w14:paraId="5D4C025B">
      <w:pPr>
        <w:spacing w:line="240" w:lineRule="auto"/>
        <w:ind w:firstLine="640"/>
        <w:jc w:val="both"/>
      </w:pPr>
      <w:r>
        <w:rPr>
          <w:rFonts w:ascii="仿宋_GB2312" w:hAnsi="仿宋_GB2312" w:eastAsia="仿宋_GB2312"/>
          <w:b w:val="0"/>
          <w:sz w:val="32"/>
        </w:rPr>
        <w:t>七、《政府性基金预算财政拨款收入支出决算表》</w:t>
      </w:r>
    </w:p>
    <w:p w14:paraId="03F69A40">
      <w:pPr>
        <w:spacing w:line="240" w:lineRule="auto"/>
        <w:ind w:firstLine="640"/>
        <w:jc w:val="both"/>
      </w:pPr>
      <w:r>
        <w:rPr>
          <w:rFonts w:ascii="仿宋_GB2312" w:hAnsi="仿宋_GB2312" w:eastAsia="仿宋_GB2312"/>
          <w:b w:val="0"/>
          <w:sz w:val="32"/>
        </w:rPr>
        <w:t>八、《国有资本经营预算财政拨款收入支出决算表》</w:t>
      </w:r>
    </w:p>
    <w:p w14:paraId="10F731BC">
      <w:pPr>
        <w:spacing w:line="240" w:lineRule="auto"/>
        <w:ind w:firstLine="640"/>
        <w:jc w:val="both"/>
      </w:pPr>
      <w:r>
        <w:rPr>
          <w:rFonts w:ascii="仿宋_GB2312" w:hAnsi="仿宋_GB2312" w:eastAsia="仿宋_GB2312"/>
          <w:b w:val="0"/>
          <w:sz w:val="32"/>
        </w:rPr>
        <w:t>九、《财政拨款“三公”经费支出决算表》</w:t>
      </w:r>
    </w:p>
    <w:p w14:paraId="045EA39C">
      <w:pPr>
        <w:spacing w:line="240" w:lineRule="auto"/>
        <w:ind w:firstLine="640"/>
        <w:jc w:val="both"/>
      </w:pPr>
    </w:p>
    <w:p w14:paraId="4DBE747F">
      <w:pPr>
        <w:spacing w:line="240" w:lineRule="auto"/>
        <w:ind w:firstLine="640"/>
        <w:jc w:val="both"/>
      </w:pPr>
    </w:p>
    <w:p w14:paraId="390F68F8">
      <w:pPr>
        <w:spacing w:line="240" w:lineRule="auto"/>
        <w:ind w:firstLine="640"/>
        <w:jc w:val="both"/>
      </w:pPr>
    </w:p>
    <w:p w14:paraId="04308D98">
      <w:pPr>
        <w:spacing w:line="240" w:lineRule="auto"/>
        <w:ind w:firstLine="640"/>
        <w:jc w:val="both"/>
      </w:pPr>
    </w:p>
    <w:p w14:paraId="1B0EA67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461FD9"/>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4400BAF"/>
    <w:rsid w:val="25275618"/>
    <w:rsid w:val="27CE017C"/>
    <w:rsid w:val="27CF2642"/>
    <w:rsid w:val="282459E2"/>
    <w:rsid w:val="29116777"/>
    <w:rsid w:val="2A053397"/>
    <w:rsid w:val="2A444FB1"/>
    <w:rsid w:val="2A6064E2"/>
    <w:rsid w:val="2C1965E9"/>
    <w:rsid w:val="2D1136DF"/>
    <w:rsid w:val="2DAE0E44"/>
    <w:rsid w:val="2EC117FF"/>
    <w:rsid w:val="2FD27414"/>
    <w:rsid w:val="313F1D52"/>
    <w:rsid w:val="318029AB"/>
    <w:rsid w:val="31C63837"/>
    <w:rsid w:val="326F0A17"/>
    <w:rsid w:val="3277581B"/>
    <w:rsid w:val="343A1DDF"/>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4B7882"/>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9A711B"/>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4814</Words>
  <Characters>5490</Characters>
  <Lines>0</Lines>
  <Paragraphs>0</Paragraphs>
  <TotalTime>6</TotalTime>
  <ScaleCrop>false</ScaleCrop>
  <LinksUpToDate>false</LinksUpToDate>
  <CharactersWithSpaces>5498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