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中共塔什库尔干塔吉克自治县委员会统战部2024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32F751">
      <w:r>
        <w:br w:type="page"/>
      </w:r>
    </w:p>
    <w:p w14:paraId="30298A19">
      <w:pPr>
        <w:spacing w:line="640" w:lineRule="exact"/>
        <w:jc w:val="center"/>
        <w:outlineLvl w:val="1"/>
      </w:pPr>
      <w:r>
        <w:rPr>
          <w:rFonts w:ascii="黑体" w:hAnsi="黑体" w:eastAsia="黑体"/>
          <w:sz w:val="32"/>
        </w:rPr>
        <w:t>第一部分 单位概况</w:t>
      </w:r>
    </w:p>
    <w:p w14:paraId="37A41699">
      <w:pPr>
        <w:spacing w:line="640" w:lineRule="exact"/>
        <w:ind w:firstLine="640"/>
        <w:jc w:val="both"/>
        <w:outlineLvl w:val="2"/>
      </w:pPr>
      <w:r>
        <w:rPr>
          <w:rFonts w:ascii="黑体" w:hAnsi="黑体" w:eastAsia="黑体"/>
          <w:sz w:val="32"/>
        </w:rPr>
        <w:t>一、主要职能</w:t>
      </w:r>
    </w:p>
    <w:p w14:paraId="71181245">
      <w:pPr>
        <w:spacing w:line="580" w:lineRule="exact"/>
        <w:ind w:firstLine="640"/>
        <w:jc w:val="both"/>
      </w:pPr>
      <w:r>
        <w:rPr>
          <w:rFonts w:ascii="仿宋_GB2312" w:hAnsi="仿宋_GB2312" w:eastAsia="仿宋_GB2312"/>
          <w:sz w:val="32"/>
        </w:rPr>
        <w:t>（一）坚持和加强党对统一战线工作的集中领导，贯彻落实自治区党委、地委关于统一战线工作的方针政策和决策部署，贯彻落实自治区党委、地委关于统一战线工作的部署要求和重大举措，紧紧围绕新疆社会稳定和长治久安总目标，发挥县委在统战工作方面的参谋机构、组织协调机构、具体执行机构作用，了解情况、掌握政策、协调关系、加强团结，协调统一战线各方面关系，巩固壮大最广泛的统一战线。</w:t>
      </w:r>
    </w:p>
    <w:p w14:paraId="700C4C48">
      <w:pPr>
        <w:spacing w:line="580" w:lineRule="exact"/>
        <w:ind w:firstLine="640"/>
        <w:jc w:val="both"/>
      </w:pPr>
      <w:r>
        <w:rPr>
          <w:rFonts w:ascii="仿宋_GB2312" w:hAnsi="仿宋_GB2312" w:eastAsia="仿宋_GB2312"/>
          <w:sz w:val="32"/>
        </w:rPr>
        <w:t>（二）贯彻落实统一战线工作的政策和法律法规，调查研究向县委报告统一战线工作情况并提出建议。落实党的宣传工作方针，推动本县统一战线宣传工作。</w:t>
      </w:r>
    </w:p>
    <w:p w14:paraId="6EB1A435">
      <w:pPr>
        <w:spacing w:line="580" w:lineRule="exact"/>
        <w:ind w:firstLine="640"/>
        <w:jc w:val="both"/>
      </w:pPr>
      <w:r>
        <w:rPr>
          <w:rFonts w:ascii="仿宋_GB2312" w:hAnsi="仿宋_GB2312" w:eastAsia="仿宋_GB2312"/>
          <w:sz w:val="32"/>
        </w:rPr>
        <w:t>（三）贯彻落实党的民族工作方针，研究制定民族工作政策措施并督促落实，协调处理民族工作中的重大问题，加强“民族团结一家亲”和民族团结联谊活动的组织协调、调研指导和督导考核，促进各民族交往交流交融，全面推进民族事业发展。</w:t>
      </w:r>
    </w:p>
    <w:p w14:paraId="18048D5E">
      <w:pPr>
        <w:spacing w:line="580" w:lineRule="exact"/>
        <w:ind w:firstLine="640"/>
        <w:jc w:val="both"/>
      </w:pPr>
      <w:r>
        <w:rPr>
          <w:rFonts w:ascii="仿宋_GB2312" w:hAnsi="仿宋_GB2312" w:eastAsia="仿宋_GB2312"/>
          <w:sz w:val="32"/>
        </w:rPr>
        <w:t>（四）贯彻落实党的</w:t>
      </w:r>
      <w:r>
        <w:rPr>
          <w:rFonts w:hint="eastAsia" w:ascii="仿宋_GB2312" w:hAnsi="仿宋_GB2312" w:eastAsia="仿宋_GB2312"/>
          <w:sz w:val="32"/>
          <w:lang w:eastAsia="zh-CN"/>
        </w:rPr>
        <w:t>ZJ</w:t>
      </w:r>
      <w:r>
        <w:rPr>
          <w:rFonts w:ascii="仿宋_GB2312" w:hAnsi="仿宋_GB2312" w:eastAsia="仿宋_GB2312"/>
          <w:sz w:val="32"/>
        </w:rPr>
        <w:t>工作基本方针、政策，依法管理</w:t>
      </w:r>
      <w:r>
        <w:rPr>
          <w:rFonts w:hint="eastAsia" w:ascii="仿宋_GB2312" w:hAnsi="仿宋_GB2312" w:eastAsia="仿宋_GB2312"/>
          <w:sz w:val="32"/>
          <w:lang w:eastAsia="zh-CN"/>
        </w:rPr>
        <w:t>ZJ</w:t>
      </w:r>
      <w:r>
        <w:rPr>
          <w:rFonts w:ascii="仿宋_GB2312" w:hAnsi="仿宋_GB2312" w:eastAsia="仿宋_GB2312"/>
          <w:sz w:val="32"/>
        </w:rPr>
        <w:t>，研究拟制订自治县在民族、</w:t>
      </w:r>
      <w:r>
        <w:rPr>
          <w:rFonts w:hint="eastAsia" w:ascii="仿宋_GB2312" w:hAnsi="仿宋_GB2312" w:eastAsia="仿宋_GB2312"/>
          <w:sz w:val="32"/>
          <w:lang w:eastAsia="zh-CN"/>
        </w:rPr>
        <w:t>ZJ</w:t>
      </w:r>
      <w:r>
        <w:rPr>
          <w:rFonts w:ascii="仿宋_GB2312" w:hAnsi="仿宋_GB2312" w:eastAsia="仿宋_GB2312"/>
          <w:sz w:val="32"/>
        </w:rPr>
        <w:t>工作方面的措施、办法，拟定自治县民族</w:t>
      </w:r>
      <w:r>
        <w:rPr>
          <w:rFonts w:hint="eastAsia" w:ascii="仿宋_GB2312" w:hAnsi="仿宋_GB2312" w:eastAsia="仿宋_GB2312"/>
          <w:sz w:val="32"/>
          <w:lang w:eastAsia="zh-CN"/>
        </w:rPr>
        <w:t>ZJ</w:t>
      </w:r>
      <w:r>
        <w:rPr>
          <w:rFonts w:ascii="仿宋_GB2312" w:hAnsi="仿宋_GB2312" w:eastAsia="仿宋_GB2312"/>
          <w:sz w:val="32"/>
        </w:rPr>
        <w:t>事务管理的地方性法规，健全自治县民族</w:t>
      </w:r>
      <w:r>
        <w:rPr>
          <w:rFonts w:hint="eastAsia" w:ascii="仿宋_GB2312" w:hAnsi="仿宋_GB2312" w:eastAsia="仿宋_GB2312"/>
          <w:sz w:val="32"/>
          <w:lang w:eastAsia="zh-CN"/>
        </w:rPr>
        <w:t>ZJ</w:t>
      </w:r>
      <w:r>
        <w:rPr>
          <w:rFonts w:ascii="仿宋_GB2312" w:hAnsi="仿宋_GB2312" w:eastAsia="仿宋_GB2312"/>
          <w:sz w:val="32"/>
        </w:rPr>
        <w:t>法规体系。保护公民</w:t>
      </w:r>
      <w:r>
        <w:rPr>
          <w:rFonts w:hint="eastAsia" w:ascii="仿宋_GB2312" w:hAnsi="仿宋_GB2312" w:eastAsia="仿宋_GB2312"/>
          <w:sz w:val="32"/>
          <w:lang w:eastAsia="zh-CN"/>
        </w:rPr>
        <w:t>ZJ</w:t>
      </w:r>
      <w:r>
        <w:rPr>
          <w:rFonts w:ascii="仿宋_GB2312" w:hAnsi="仿宋_GB2312" w:eastAsia="仿宋_GB2312"/>
          <w:sz w:val="32"/>
        </w:rPr>
        <w:t>信仰自由和正常的</w:t>
      </w:r>
      <w:r>
        <w:rPr>
          <w:rFonts w:hint="eastAsia" w:ascii="仿宋_GB2312" w:hAnsi="仿宋_GB2312" w:eastAsia="仿宋_GB2312"/>
          <w:sz w:val="32"/>
          <w:lang w:eastAsia="zh-CN"/>
        </w:rPr>
        <w:t>ZJ</w:t>
      </w:r>
      <w:r>
        <w:rPr>
          <w:rFonts w:ascii="仿宋_GB2312" w:hAnsi="仿宋_GB2312" w:eastAsia="仿宋_GB2312"/>
          <w:sz w:val="32"/>
        </w:rPr>
        <w:t>活动，维护</w:t>
      </w:r>
      <w:r>
        <w:rPr>
          <w:rFonts w:hint="eastAsia" w:ascii="仿宋_GB2312" w:hAnsi="仿宋_GB2312" w:eastAsia="仿宋_GB2312"/>
          <w:sz w:val="32"/>
          <w:lang w:eastAsia="zh-CN"/>
        </w:rPr>
        <w:t>ZJ</w:t>
      </w:r>
      <w:r>
        <w:rPr>
          <w:rFonts w:ascii="仿宋_GB2312" w:hAnsi="仿宋_GB2312" w:eastAsia="仿宋_GB2312"/>
          <w:sz w:val="32"/>
        </w:rPr>
        <w:t>界合法权益，遏制</w:t>
      </w:r>
      <w:r>
        <w:rPr>
          <w:rFonts w:hint="eastAsia" w:ascii="仿宋_GB2312" w:hAnsi="仿宋_GB2312" w:eastAsia="仿宋_GB2312"/>
          <w:sz w:val="32"/>
          <w:lang w:eastAsia="zh-CN"/>
        </w:rPr>
        <w:t>ZJ</w:t>
      </w:r>
      <w:r>
        <w:rPr>
          <w:rFonts w:ascii="仿宋_GB2312" w:hAnsi="仿宋_GB2312" w:eastAsia="仿宋_GB2312"/>
          <w:sz w:val="32"/>
        </w:rPr>
        <w:t>极端，抵御境外利用</w:t>
      </w:r>
      <w:r>
        <w:rPr>
          <w:rFonts w:hint="eastAsia" w:ascii="仿宋_GB2312" w:hAnsi="仿宋_GB2312" w:eastAsia="仿宋_GB2312"/>
          <w:sz w:val="32"/>
          <w:lang w:eastAsia="zh-CN"/>
        </w:rPr>
        <w:t>ZJ</w:t>
      </w:r>
      <w:r>
        <w:rPr>
          <w:rFonts w:ascii="仿宋_GB2312" w:hAnsi="仿宋_GB2312" w:eastAsia="仿宋_GB2312"/>
          <w:sz w:val="32"/>
        </w:rPr>
        <w:t>进行渗透，防止和打击不法分子利用</w:t>
      </w:r>
      <w:r>
        <w:rPr>
          <w:rFonts w:hint="eastAsia" w:ascii="仿宋_GB2312" w:hAnsi="仿宋_GB2312" w:eastAsia="仿宋_GB2312"/>
          <w:sz w:val="32"/>
          <w:lang w:eastAsia="zh-CN"/>
        </w:rPr>
        <w:t>ZJ</w:t>
      </w:r>
      <w:r>
        <w:rPr>
          <w:rFonts w:ascii="仿宋_GB2312" w:hAnsi="仿宋_GB2312" w:eastAsia="仿宋_GB2312"/>
          <w:sz w:val="32"/>
        </w:rPr>
        <w:t>进行非法、违法活动，引导各</w:t>
      </w:r>
      <w:r>
        <w:rPr>
          <w:rFonts w:hint="eastAsia" w:ascii="仿宋_GB2312" w:hAnsi="仿宋_GB2312" w:eastAsia="仿宋_GB2312"/>
          <w:sz w:val="32"/>
          <w:lang w:eastAsia="zh-CN"/>
        </w:rPr>
        <w:t>ZJ</w:t>
      </w:r>
      <w:r>
        <w:rPr>
          <w:rFonts w:ascii="仿宋_GB2312" w:hAnsi="仿宋_GB2312" w:eastAsia="仿宋_GB2312"/>
          <w:sz w:val="32"/>
        </w:rPr>
        <w:t>坚持中国化发展，促进</w:t>
      </w:r>
      <w:r>
        <w:rPr>
          <w:rFonts w:hint="eastAsia" w:ascii="仿宋_GB2312" w:hAnsi="仿宋_GB2312" w:eastAsia="仿宋_GB2312"/>
          <w:sz w:val="32"/>
          <w:lang w:eastAsia="zh-CN"/>
        </w:rPr>
        <w:t>ZJ</w:t>
      </w:r>
      <w:r>
        <w:rPr>
          <w:rFonts w:ascii="仿宋_GB2312" w:hAnsi="仿宋_GB2312" w:eastAsia="仿宋_GB2312"/>
          <w:sz w:val="32"/>
        </w:rPr>
        <w:t>与社会主义社会相适应，巩固和发展同</w:t>
      </w:r>
      <w:r>
        <w:rPr>
          <w:rFonts w:hint="eastAsia" w:ascii="仿宋_GB2312" w:hAnsi="仿宋_GB2312" w:eastAsia="仿宋_GB2312"/>
          <w:sz w:val="32"/>
          <w:lang w:eastAsia="zh-CN"/>
        </w:rPr>
        <w:t>ZJ</w:t>
      </w:r>
      <w:r>
        <w:rPr>
          <w:rFonts w:ascii="仿宋_GB2312" w:hAnsi="仿宋_GB2312" w:eastAsia="仿宋_GB2312"/>
          <w:sz w:val="32"/>
        </w:rPr>
        <w:t>界的爱国统一战线。</w:t>
      </w:r>
    </w:p>
    <w:p w14:paraId="0A7161D0">
      <w:pPr>
        <w:spacing w:line="580" w:lineRule="exact"/>
        <w:ind w:firstLine="640"/>
        <w:jc w:val="both"/>
      </w:pPr>
      <w:r>
        <w:rPr>
          <w:rFonts w:ascii="仿宋_GB2312" w:hAnsi="仿宋_GB2312" w:eastAsia="仿宋_GB2312"/>
          <w:sz w:val="32"/>
        </w:rPr>
        <w:t>（五）组织开展民族、</w:t>
      </w:r>
      <w:r>
        <w:rPr>
          <w:rFonts w:hint="eastAsia" w:ascii="仿宋_GB2312" w:hAnsi="仿宋_GB2312" w:eastAsia="仿宋_GB2312"/>
          <w:sz w:val="32"/>
          <w:lang w:eastAsia="zh-CN"/>
        </w:rPr>
        <w:t>ZJ</w:t>
      </w:r>
      <w:r>
        <w:rPr>
          <w:rFonts w:ascii="仿宋_GB2312" w:hAnsi="仿宋_GB2312" w:eastAsia="仿宋_GB2312"/>
          <w:sz w:val="32"/>
        </w:rPr>
        <w:t>理论、政策和民族、</w:t>
      </w:r>
      <w:r>
        <w:rPr>
          <w:rFonts w:hint="eastAsia" w:ascii="仿宋_GB2312" w:hAnsi="仿宋_GB2312" w:eastAsia="仿宋_GB2312"/>
          <w:sz w:val="32"/>
          <w:lang w:eastAsia="zh-CN"/>
        </w:rPr>
        <w:t>ZJ</w:t>
      </w:r>
      <w:r>
        <w:rPr>
          <w:rFonts w:ascii="仿宋_GB2312" w:hAnsi="仿宋_GB2312" w:eastAsia="仿宋_GB2312"/>
          <w:sz w:val="32"/>
        </w:rPr>
        <w:t>问题等重大课题的研究，开展宣传教育并监督检查贯彻执行情况，及时发现新情况、新问题，掌握新动态，向县委反映情况。</w:t>
      </w:r>
    </w:p>
    <w:p w14:paraId="4AE94C6D">
      <w:pPr>
        <w:spacing w:line="580" w:lineRule="exact"/>
        <w:ind w:firstLine="640"/>
        <w:jc w:val="both"/>
      </w:pPr>
      <w:r>
        <w:rPr>
          <w:rFonts w:ascii="仿宋_GB2312" w:hAnsi="仿宋_GB2312" w:eastAsia="仿宋_GB2312"/>
          <w:sz w:val="32"/>
        </w:rPr>
        <w:t>（六）监督检查实施民族区域自治法和党的民族政策的贯彻落实执行情况，及时报告和研究处理执行</w:t>
      </w:r>
      <w:r>
        <w:rPr>
          <w:rFonts w:hint="eastAsia" w:ascii="仿宋_GB2312" w:hAnsi="仿宋_GB2312" w:eastAsia="仿宋_GB2312"/>
          <w:sz w:val="32"/>
          <w:lang w:eastAsia="zh-CN"/>
        </w:rPr>
        <w:t>中</w:t>
      </w:r>
      <w:r>
        <w:rPr>
          <w:rFonts w:ascii="仿宋_GB2312" w:hAnsi="仿宋_GB2312" w:eastAsia="仿宋_GB2312"/>
          <w:sz w:val="32"/>
        </w:rPr>
        <w:t>遇到的问题；督办少数民族权益保障事宜。</w:t>
      </w:r>
    </w:p>
    <w:p w14:paraId="541A5E1E">
      <w:pPr>
        <w:spacing w:line="580" w:lineRule="exact"/>
        <w:ind w:firstLine="640"/>
        <w:jc w:val="both"/>
      </w:pPr>
      <w:r>
        <w:rPr>
          <w:rFonts w:ascii="仿宋_GB2312" w:hAnsi="仿宋_GB2312" w:eastAsia="仿宋_GB2312"/>
          <w:sz w:val="32"/>
        </w:rPr>
        <w:t>（七）协调处理民族关系中的重大事宜；协助有关部门同国内外民族分裂主义破坏民族团结，分裂祖国的活动做斗争，参与处理有关突发事件，维护社会稳定和长治久安总目标；会同有关部门安排民族团结进步教育活动的有关工作以及组织和承办县民族团结进步表彰活动。</w:t>
      </w:r>
    </w:p>
    <w:p w14:paraId="4EB1B2B6">
      <w:pPr>
        <w:spacing w:line="580" w:lineRule="exact"/>
        <w:ind w:firstLine="640"/>
        <w:jc w:val="both"/>
      </w:pPr>
      <w:r>
        <w:rPr>
          <w:rFonts w:ascii="仿宋_GB2312" w:hAnsi="仿宋_GB2312" w:eastAsia="仿宋_GB2312"/>
          <w:sz w:val="32"/>
        </w:rPr>
        <w:t>（八）组织对自治县少数民族人权状况，妇女、儿童状态和散杂居少数民族情况的调查研究，配合有关部门拟定自治县少数民族人权报告。</w:t>
      </w:r>
    </w:p>
    <w:p w14:paraId="450271FE">
      <w:pPr>
        <w:spacing w:line="580" w:lineRule="exact"/>
        <w:ind w:firstLine="640"/>
        <w:jc w:val="both"/>
      </w:pPr>
      <w:r>
        <w:rPr>
          <w:rFonts w:ascii="仿宋_GB2312" w:hAnsi="仿宋_GB2312" w:eastAsia="仿宋_GB2312"/>
          <w:sz w:val="32"/>
        </w:rPr>
        <w:t>（九）联系少数民族和</w:t>
      </w:r>
      <w:r>
        <w:rPr>
          <w:rFonts w:hint="eastAsia" w:ascii="仿宋_GB2312" w:hAnsi="仿宋_GB2312" w:eastAsia="仿宋_GB2312"/>
          <w:sz w:val="32"/>
          <w:lang w:eastAsia="zh-CN"/>
        </w:rPr>
        <w:t>ZJ</w:t>
      </w:r>
      <w:r>
        <w:rPr>
          <w:rFonts w:ascii="仿宋_GB2312" w:hAnsi="仿宋_GB2312" w:eastAsia="仿宋_GB2312"/>
          <w:sz w:val="32"/>
        </w:rPr>
        <w:t>界的代表人物，协助有关部门做好少数民族干部的培养和举荐工作。</w:t>
      </w:r>
    </w:p>
    <w:p w14:paraId="4F590B04">
      <w:pPr>
        <w:spacing w:line="580" w:lineRule="exact"/>
        <w:ind w:firstLine="640"/>
        <w:jc w:val="both"/>
      </w:pPr>
      <w:r>
        <w:rPr>
          <w:rFonts w:ascii="仿宋_GB2312" w:hAnsi="仿宋_GB2312" w:eastAsia="仿宋_GB2312"/>
          <w:sz w:val="32"/>
        </w:rPr>
        <w:t>（十）督促检查自治县少数民族经济发展政策的落实，研究提出少数民族经济发展的特殊措施和办法；组织调查研究少数民族农牧区、边境地区、贫困地区少数民族经济发展的有关问题，配合承办事宜（特别要抓好“兴边富民”和对人口较少民</w:t>
      </w:r>
      <w:r>
        <w:rPr>
          <w:rFonts w:hint="eastAsia" w:ascii="仿宋_GB2312" w:hAnsi="仿宋_GB2312" w:eastAsia="仿宋_GB2312"/>
          <w:sz w:val="32"/>
          <w:lang w:eastAsia="zh-CN"/>
        </w:rPr>
        <w:t>族的</w:t>
      </w:r>
      <w:r>
        <w:rPr>
          <w:rFonts w:ascii="仿宋_GB2312" w:hAnsi="仿宋_GB2312" w:eastAsia="仿宋_GB2312"/>
          <w:sz w:val="32"/>
        </w:rPr>
        <w:t>政策落实）。</w:t>
      </w:r>
    </w:p>
    <w:p w14:paraId="2ABCC0FB">
      <w:pPr>
        <w:spacing w:line="580" w:lineRule="exact"/>
        <w:ind w:firstLine="640"/>
        <w:jc w:val="both"/>
      </w:pPr>
      <w:r>
        <w:rPr>
          <w:rFonts w:ascii="仿宋_GB2312" w:hAnsi="仿宋_GB2312" w:eastAsia="仿宋_GB2312"/>
          <w:sz w:val="32"/>
        </w:rPr>
        <w:t>（十一）参与研究、制定自治县的少数民族文化、艺术、医疗卫生、体育、教育等方面的政策，组织监督检查相关政策、措施的贯彻落实；指导民族古籍的搜集、整理、出版工作。</w:t>
      </w:r>
    </w:p>
    <w:p w14:paraId="13D7EA49">
      <w:pPr>
        <w:spacing w:line="580" w:lineRule="exact"/>
        <w:ind w:firstLine="640"/>
        <w:jc w:val="both"/>
      </w:pPr>
      <w:r>
        <w:rPr>
          <w:rFonts w:ascii="仿宋_GB2312" w:hAnsi="仿宋_GB2312" w:eastAsia="仿宋_GB2312"/>
          <w:sz w:val="32"/>
        </w:rPr>
        <w:t>（十二）组织协调自治县民族、</w:t>
      </w:r>
      <w:r>
        <w:rPr>
          <w:rFonts w:hint="eastAsia" w:ascii="仿宋_GB2312" w:hAnsi="仿宋_GB2312" w:eastAsia="仿宋_GB2312"/>
          <w:sz w:val="32"/>
          <w:lang w:eastAsia="zh-CN"/>
        </w:rPr>
        <w:t>ZJ</w:t>
      </w:r>
      <w:r>
        <w:rPr>
          <w:rFonts w:ascii="仿宋_GB2312" w:hAnsi="仿宋_GB2312" w:eastAsia="仿宋_GB2312"/>
          <w:sz w:val="32"/>
        </w:rPr>
        <w:t>工作领域有关对外交流和合作；会同有关部门做好民族、</w:t>
      </w:r>
      <w:r>
        <w:rPr>
          <w:rFonts w:hint="eastAsia" w:ascii="仿宋_GB2312" w:hAnsi="仿宋_GB2312" w:eastAsia="仿宋_GB2312"/>
          <w:sz w:val="32"/>
          <w:lang w:eastAsia="zh-CN"/>
        </w:rPr>
        <w:t>ZJ</w:t>
      </w:r>
      <w:r>
        <w:rPr>
          <w:rFonts w:ascii="仿宋_GB2312" w:hAnsi="仿宋_GB2312" w:eastAsia="仿宋_GB2312"/>
          <w:sz w:val="32"/>
        </w:rPr>
        <w:t>政策的对外宣传和有关民族、</w:t>
      </w:r>
      <w:r>
        <w:rPr>
          <w:rFonts w:hint="eastAsia" w:ascii="仿宋_GB2312" w:hAnsi="仿宋_GB2312" w:eastAsia="仿宋_GB2312"/>
          <w:sz w:val="32"/>
          <w:lang w:eastAsia="zh-CN"/>
        </w:rPr>
        <w:t>ZJ</w:t>
      </w:r>
      <w:r>
        <w:rPr>
          <w:rFonts w:ascii="仿宋_GB2312" w:hAnsi="仿宋_GB2312" w:eastAsia="仿宋_GB2312"/>
          <w:sz w:val="32"/>
        </w:rPr>
        <w:t>的对外交往等工作；主持、帮助</w:t>
      </w:r>
      <w:r>
        <w:rPr>
          <w:rFonts w:hint="eastAsia" w:ascii="仿宋_GB2312" w:hAnsi="仿宋_GB2312" w:eastAsia="仿宋_GB2312"/>
          <w:sz w:val="32"/>
          <w:lang w:eastAsia="zh-CN"/>
        </w:rPr>
        <w:t>ZJ</w:t>
      </w:r>
      <w:r>
        <w:rPr>
          <w:rFonts w:ascii="仿宋_GB2312" w:hAnsi="仿宋_GB2312" w:eastAsia="仿宋_GB2312"/>
          <w:sz w:val="32"/>
        </w:rPr>
        <w:t>界开展对外和对香港、澳门特别行政区及</w:t>
      </w:r>
      <w:r>
        <w:rPr>
          <w:rFonts w:hint="eastAsia" w:ascii="仿宋_GB2312" w:hAnsi="仿宋_GB2312" w:eastAsia="仿宋_GB2312"/>
          <w:sz w:val="32"/>
          <w:lang w:eastAsia="zh-CN"/>
        </w:rPr>
        <w:t>中国台湾地区</w:t>
      </w:r>
      <w:r>
        <w:rPr>
          <w:rFonts w:ascii="仿宋_GB2312" w:hAnsi="仿宋_GB2312" w:eastAsia="仿宋_GB2312"/>
          <w:sz w:val="32"/>
        </w:rPr>
        <w:t>的友好交流活动；负责朝觐的组织工作。</w:t>
      </w:r>
    </w:p>
    <w:p w14:paraId="7BE0EB7A">
      <w:pPr>
        <w:spacing w:line="580" w:lineRule="exact"/>
        <w:ind w:firstLine="640"/>
        <w:jc w:val="both"/>
      </w:pPr>
      <w:r>
        <w:rPr>
          <w:rFonts w:ascii="仿宋_GB2312" w:hAnsi="仿宋_GB2312" w:eastAsia="仿宋_GB2312"/>
          <w:sz w:val="32"/>
        </w:rPr>
        <w:t>（十三）帮助</w:t>
      </w:r>
      <w:r>
        <w:rPr>
          <w:rFonts w:hint="eastAsia" w:ascii="仿宋_GB2312" w:hAnsi="仿宋_GB2312" w:eastAsia="仿宋_GB2312"/>
          <w:sz w:val="32"/>
          <w:lang w:eastAsia="zh-CN"/>
        </w:rPr>
        <w:t>ZJ</w:t>
      </w:r>
      <w:r>
        <w:rPr>
          <w:rFonts w:ascii="仿宋_GB2312" w:hAnsi="仿宋_GB2312" w:eastAsia="仿宋_GB2312"/>
          <w:sz w:val="32"/>
        </w:rPr>
        <w:t>团体培养、教育</w:t>
      </w:r>
      <w:r>
        <w:rPr>
          <w:rFonts w:hint="eastAsia" w:ascii="仿宋_GB2312" w:hAnsi="仿宋_GB2312" w:eastAsia="仿宋_GB2312"/>
          <w:sz w:val="32"/>
          <w:lang w:eastAsia="zh-CN"/>
        </w:rPr>
        <w:t>ZJ</w:t>
      </w:r>
      <w:r>
        <w:rPr>
          <w:rFonts w:ascii="仿宋_GB2312" w:hAnsi="仿宋_GB2312" w:eastAsia="仿宋_GB2312"/>
          <w:sz w:val="32"/>
        </w:rPr>
        <w:t>教职人员，搞好自身建设；办理</w:t>
      </w:r>
      <w:r>
        <w:rPr>
          <w:rFonts w:hint="eastAsia" w:ascii="仿宋_GB2312" w:hAnsi="仿宋_GB2312" w:eastAsia="仿宋_GB2312"/>
          <w:sz w:val="32"/>
          <w:lang w:eastAsia="zh-CN"/>
        </w:rPr>
        <w:t>ZJ</w:t>
      </w:r>
      <w:r>
        <w:rPr>
          <w:rFonts w:ascii="仿宋_GB2312" w:hAnsi="仿宋_GB2312" w:eastAsia="仿宋_GB2312"/>
          <w:sz w:val="32"/>
        </w:rPr>
        <w:t>团体需由政府帮助和协调的事宜。</w:t>
      </w:r>
    </w:p>
    <w:p w14:paraId="0B78E8F2">
      <w:pPr>
        <w:spacing w:line="580" w:lineRule="exact"/>
        <w:ind w:firstLine="640"/>
        <w:jc w:val="both"/>
      </w:pPr>
      <w:r>
        <w:rPr>
          <w:rFonts w:ascii="仿宋_GB2312" w:hAnsi="仿宋_GB2312" w:eastAsia="仿宋_GB2312"/>
          <w:sz w:val="32"/>
        </w:rPr>
        <w:t>（十四）负责联系、培养无党派人士，支持、帮助无党派人士加强自身建设、发挥作用。组织好自治县新的社会阶层人士统战工作。</w:t>
      </w:r>
    </w:p>
    <w:p w14:paraId="78DCD5F9">
      <w:pPr>
        <w:spacing w:line="580" w:lineRule="exact"/>
        <w:ind w:firstLine="640"/>
        <w:jc w:val="both"/>
      </w:pPr>
      <w:r>
        <w:rPr>
          <w:rFonts w:ascii="仿宋_GB2312" w:hAnsi="仿宋_GB2312" w:eastAsia="仿宋_GB2312"/>
          <w:sz w:val="32"/>
        </w:rPr>
        <w:t>（十五）统一领导海外统战工作。配合上级部门开展港澳台统战工作，会同有关部门对香港、澳门地区统一战线工作进行调查研究提出政策建议，联系海外有关社团及代表人士，做好台胞、台属有关工作。</w:t>
      </w:r>
    </w:p>
    <w:p w14:paraId="5B4E4E9C">
      <w:pPr>
        <w:spacing w:line="580" w:lineRule="exact"/>
        <w:ind w:firstLine="640"/>
        <w:jc w:val="both"/>
      </w:pPr>
      <w:r>
        <w:rPr>
          <w:rFonts w:ascii="仿宋_GB2312" w:hAnsi="仿宋_GB2312" w:eastAsia="仿宋_GB2312"/>
          <w:sz w:val="32"/>
        </w:rPr>
        <w:t>（十六）统一管理侨务工作，贯彻落实党的侨务工作方针政策，负责拟订侨务工作政策和规划并组织协调、督促检查落实，调查研究国内外侨情和侨务工作情况，管理侨务行政事务，保护华侨和归侨侨眷在国内的合法权利和利益。</w:t>
      </w:r>
    </w:p>
    <w:p w14:paraId="64E6F8C2">
      <w:pPr>
        <w:spacing w:line="580" w:lineRule="exact"/>
        <w:ind w:firstLine="640"/>
        <w:jc w:val="both"/>
      </w:pPr>
      <w:r>
        <w:rPr>
          <w:rFonts w:ascii="仿宋_GB2312" w:hAnsi="仿宋_GB2312" w:eastAsia="仿宋_GB2312"/>
          <w:sz w:val="32"/>
        </w:rPr>
        <w:t>（十七）管理自治县工商联合会党组，指导工商联工作。</w:t>
      </w:r>
    </w:p>
    <w:p w14:paraId="34269FAB">
      <w:pPr>
        <w:spacing w:line="580" w:lineRule="exact"/>
        <w:ind w:firstLine="640"/>
        <w:jc w:val="both"/>
      </w:pPr>
      <w:r>
        <w:rPr>
          <w:rFonts w:ascii="仿宋_GB2312" w:hAnsi="仿宋_GB2312" w:eastAsia="仿宋_GB2312"/>
          <w:sz w:val="32"/>
        </w:rPr>
        <w:t>（十八）完成县委交办的其他</w:t>
      </w:r>
      <w:r>
        <w:rPr>
          <w:rFonts w:hint="eastAsia" w:ascii="仿宋_GB2312" w:hAnsi="仿宋_GB2312" w:eastAsia="仿宋_GB2312"/>
          <w:sz w:val="32"/>
          <w:lang w:eastAsia="zh-CN"/>
        </w:rPr>
        <w:t>任务</w:t>
      </w:r>
      <w:r>
        <w:rPr>
          <w:rFonts w:ascii="仿宋_GB2312" w:hAnsi="仿宋_GB2312" w:eastAsia="仿宋_GB2312"/>
          <w:sz w:val="32"/>
        </w:rPr>
        <w:t>。</w:t>
      </w:r>
    </w:p>
    <w:p w14:paraId="3A0FA495">
      <w:pPr>
        <w:spacing w:line="640" w:lineRule="exact"/>
        <w:ind w:firstLine="640"/>
        <w:jc w:val="both"/>
        <w:outlineLvl w:val="2"/>
      </w:pPr>
      <w:r>
        <w:rPr>
          <w:rFonts w:ascii="黑体" w:hAnsi="黑体" w:eastAsia="黑体"/>
          <w:sz w:val="32"/>
        </w:rPr>
        <w:t>二、机构设置及人员情况</w:t>
      </w:r>
    </w:p>
    <w:p w14:paraId="2947B095">
      <w:pPr>
        <w:spacing w:line="580" w:lineRule="exact"/>
        <w:ind w:firstLine="640"/>
        <w:jc w:val="both"/>
      </w:pPr>
      <w:r>
        <w:rPr>
          <w:rFonts w:ascii="仿宋_GB2312" w:hAnsi="仿宋_GB2312" w:eastAsia="仿宋_GB2312"/>
          <w:sz w:val="32"/>
        </w:rPr>
        <w:t>中共塔什库尔干塔吉克自治县委员会统战部2024年度，实有人数33人，其中：在职人员15人，减少1人；离休人员0人，增加0人；退休人员18人,增加0人。</w:t>
      </w:r>
    </w:p>
    <w:p w14:paraId="368481A4">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无下属预算单位，下设3个科室，分别是：办公室（综合科）、</w:t>
      </w:r>
      <w:r>
        <w:rPr>
          <w:rFonts w:hint="eastAsia" w:ascii="仿宋_GB2312" w:hAnsi="仿宋_GB2312" w:eastAsia="仿宋_GB2312"/>
          <w:sz w:val="32"/>
          <w:lang w:eastAsia="zh-CN"/>
        </w:rPr>
        <w:t>ZJ</w:t>
      </w:r>
      <w:r>
        <w:rPr>
          <w:rFonts w:ascii="仿宋_GB2312" w:hAnsi="仿宋_GB2312" w:eastAsia="仿宋_GB2312"/>
          <w:sz w:val="32"/>
        </w:rPr>
        <w:t>工作科、民族工作科。</w:t>
      </w:r>
    </w:p>
    <w:p w14:paraId="347F0E73">
      <w:r>
        <w:br w:type="page"/>
      </w:r>
    </w:p>
    <w:p w14:paraId="02DFB16C">
      <w:pPr>
        <w:spacing w:line="240" w:lineRule="auto"/>
        <w:jc w:val="center"/>
        <w:outlineLvl w:val="1"/>
      </w:pPr>
      <w:r>
        <w:rPr>
          <w:rFonts w:ascii="黑体" w:hAnsi="黑体" w:eastAsia="黑体"/>
          <w:sz w:val="32"/>
        </w:rPr>
        <w:t>第二部分 部门决算情况说明</w:t>
      </w:r>
    </w:p>
    <w:p w14:paraId="58FC9EF7">
      <w:pPr>
        <w:spacing w:line="640" w:lineRule="exact"/>
        <w:ind w:firstLine="640"/>
        <w:jc w:val="both"/>
        <w:outlineLvl w:val="2"/>
      </w:pPr>
      <w:r>
        <w:rPr>
          <w:rFonts w:ascii="黑体" w:hAnsi="黑体" w:eastAsia="黑体"/>
          <w:sz w:val="32"/>
        </w:rPr>
        <w:t>一、收入支出决算总体情况说明</w:t>
      </w:r>
    </w:p>
    <w:p w14:paraId="09589145">
      <w:pPr>
        <w:spacing w:line="580" w:lineRule="exact"/>
        <w:ind w:firstLine="640"/>
        <w:jc w:val="both"/>
      </w:pPr>
      <w:r>
        <w:rPr>
          <w:rFonts w:ascii="仿宋_GB2312" w:hAnsi="仿宋_GB2312" w:eastAsia="仿宋_GB2312"/>
          <w:b/>
          <w:sz w:val="32"/>
        </w:rPr>
        <w:t>2024年度收入总计755.12万元，</w:t>
      </w:r>
      <w:r>
        <w:rPr>
          <w:rFonts w:ascii="仿宋_GB2312" w:hAnsi="仿宋_GB2312" w:eastAsia="仿宋_GB2312"/>
          <w:b w:val="0"/>
          <w:sz w:val="32"/>
        </w:rPr>
        <w:t>其中：本年收入合计755.12万元，使用非财政拨款结余（含专用结余）0.00万元，年初结转和结余0.00万元。</w:t>
      </w:r>
    </w:p>
    <w:p w14:paraId="3E50EDC9">
      <w:pPr>
        <w:spacing w:line="580" w:lineRule="exact"/>
        <w:ind w:firstLine="640"/>
        <w:jc w:val="both"/>
      </w:pPr>
      <w:r>
        <w:rPr>
          <w:rFonts w:ascii="仿宋_GB2312" w:hAnsi="仿宋_GB2312" w:eastAsia="仿宋_GB2312"/>
          <w:b/>
          <w:sz w:val="32"/>
        </w:rPr>
        <w:t>2024年度支出总计755.12万元，</w:t>
      </w:r>
      <w:r>
        <w:rPr>
          <w:rFonts w:ascii="仿宋_GB2312" w:hAnsi="仿宋_GB2312" w:eastAsia="仿宋_GB2312"/>
          <w:b w:val="0"/>
          <w:sz w:val="32"/>
        </w:rPr>
        <w:t>其中：本年支出合计755.12万元，结余分配0.00万元，年末结转和结余0.00万元。</w:t>
      </w:r>
    </w:p>
    <w:p w14:paraId="58C353C2">
      <w:pPr>
        <w:spacing w:line="580" w:lineRule="exact"/>
        <w:ind w:firstLine="640"/>
        <w:jc w:val="both"/>
      </w:pPr>
      <w:r>
        <w:rPr>
          <w:rFonts w:ascii="仿宋_GB2312" w:hAnsi="仿宋_GB2312" w:eastAsia="仿宋_GB2312"/>
          <w:b w:val="0"/>
          <w:sz w:val="32"/>
        </w:rPr>
        <w:t>收入支出总体与上年相比，减少2.55万元，下降0.34%，主要原因是：本年在职人员减少，相关人员经费较上年减少。</w:t>
      </w:r>
    </w:p>
    <w:p w14:paraId="01EB196E">
      <w:pPr>
        <w:spacing w:line="640" w:lineRule="exact"/>
        <w:ind w:firstLine="640"/>
        <w:jc w:val="both"/>
        <w:outlineLvl w:val="2"/>
      </w:pPr>
      <w:r>
        <w:rPr>
          <w:rFonts w:ascii="黑体" w:hAnsi="黑体" w:eastAsia="黑体"/>
          <w:sz w:val="32"/>
        </w:rPr>
        <w:t>二、收入决算情况说明</w:t>
      </w:r>
    </w:p>
    <w:p w14:paraId="2E50E462">
      <w:pPr>
        <w:spacing w:line="580" w:lineRule="exact"/>
        <w:ind w:firstLine="640"/>
        <w:jc w:val="both"/>
      </w:pPr>
      <w:r>
        <w:rPr>
          <w:rFonts w:ascii="仿宋_GB2312" w:hAnsi="仿宋_GB2312" w:eastAsia="仿宋_GB2312"/>
          <w:b/>
          <w:sz w:val="32"/>
        </w:rPr>
        <w:t>本年收入755.12万元，</w:t>
      </w:r>
      <w:r>
        <w:rPr>
          <w:rFonts w:ascii="仿宋_GB2312" w:hAnsi="仿宋_GB2312" w:eastAsia="仿宋_GB2312"/>
          <w:b w:val="0"/>
          <w:sz w:val="32"/>
        </w:rPr>
        <w:t>其中：财政拨款收入685.52万元，占90.78%；上级补助收入0.00万元，占0.00%；事业收入0.00万元，占0.00%；经营收入0.00万元，占0.00%；附属单位上缴收入0.00万元，占0.00%；其他收入69.60万元，占9.22%。</w:t>
      </w:r>
    </w:p>
    <w:p w14:paraId="66EC6A8F">
      <w:pPr>
        <w:spacing w:line="640" w:lineRule="exact"/>
        <w:ind w:firstLine="640"/>
        <w:jc w:val="both"/>
        <w:outlineLvl w:val="2"/>
      </w:pPr>
      <w:r>
        <w:rPr>
          <w:rFonts w:ascii="黑体" w:hAnsi="黑体" w:eastAsia="黑体"/>
          <w:sz w:val="32"/>
        </w:rPr>
        <w:t>三、支出决算情况说明</w:t>
      </w:r>
    </w:p>
    <w:p w14:paraId="02A5A2F2">
      <w:pPr>
        <w:spacing w:line="580" w:lineRule="exact"/>
        <w:ind w:firstLine="640"/>
        <w:jc w:val="both"/>
      </w:pPr>
      <w:r>
        <w:rPr>
          <w:rFonts w:ascii="仿宋_GB2312" w:hAnsi="仿宋_GB2312" w:eastAsia="仿宋_GB2312"/>
          <w:b/>
          <w:sz w:val="32"/>
        </w:rPr>
        <w:t>本年支出755.12万元，</w:t>
      </w:r>
      <w:r>
        <w:rPr>
          <w:rFonts w:ascii="仿宋_GB2312" w:hAnsi="仿宋_GB2312" w:eastAsia="仿宋_GB2312"/>
          <w:b w:val="0"/>
          <w:sz w:val="32"/>
        </w:rPr>
        <w:t>其中：基本支出435.40万元，占57.66%；项目支出319.72万元，占42.34%；上缴上级支出0.00万元，占0.00%；经营支出0.00万元，占0.00%；对附属单位补助支出0.00万元，占0.00%。</w:t>
      </w:r>
    </w:p>
    <w:p w14:paraId="535D59F9">
      <w:pPr>
        <w:spacing w:line="640" w:lineRule="exact"/>
        <w:ind w:firstLine="640"/>
        <w:jc w:val="both"/>
        <w:outlineLvl w:val="2"/>
      </w:pPr>
      <w:r>
        <w:rPr>
          <w:rFonts w:ascii="黑体" w:hAnsi="黑体" w:eastAsia="黑体"/>
          <w:sz w:val="32"/>
        </w:rPr>
        <w:t>四、财政拨款收入支出决算总体情况说明</w:t>
      </w:r>
    </w:p>
    <w:p w14:paraId="7A3612B8">
      <w:pPr>
        <w:spacing w:line="580" w:lineRule="exact"/>
        <w:ind w:firstLine="640"/>
        <w:jc w:val="both"/>
      </w:pPr>
      <w:r>
        <w:rPr>
          <w:rFonts w:ascii="仿宋_GB2312" w:hAnsi="仿宋_GB2312" w:eastAsia="仿宋_GB2312"/>
          <w:b/>
          <w:sz w:val="32"/>
        </w:rPr>
        <w:t>2024年度财政拨款收入总计685.52万元，</w:t>
      </w:r>
      <w:r>
        <w:rPr>
          <w:rFonts w:ascii="仿宋_GB2312" w:hAnsi="仿宋_GB2312" w:eastAsia="仿宋_GB2312"/>
          <w:b w:val="0"/>
          <w:sz w:val="32"/>
        </w:rPr>
        <w:t>其中：年初财政拨款结转和结余0.00万元，本年财政拨款收入685.52万元。</w:t>
      </w:r>
      <w:r>
        <w:rPr>
          <w:rFonts w:ascii="仿宋_GB2312" w:hAnsi="仿宋_GB2312" w:eastAsia="仿宋_GB2312"/>
          <w:b/>
          <w:sz w:val="32"/>
        </w:rPr>
        <w:t>财政拨款支出总计685.52万元，</w:t>
      </w:r>
      <w:r>
        <w:rPr>
          <w:rFonts w:ascii="仿宋_GB2312" w:hAnsi="仿宋_GB2312" w:eastAsia="仿宋_GB2312"/>
          <w:b w:val="0"/>
          <w:sz w:val="32"/>
        </w:rPr>
        <w:t>其中：年末财政拨款结转和结余0.00万元，本年财政拨款支出685.52万元。</w:t>
      </w:r>
    </w:p>
    <w:p w14:paraId="35940C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减少2.15万元，下降0.31%，主要原因是：本年在职人员减少，相关人员经费较上年减少。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年初预算数599.02万元，决算数685.52万元，预决算差异率14.44%，主要原因是：年中追加铸牢中华民族共同体意识项目，</w:t>
      </w:r>
      <w:r>
        <w:rPr>
          <w:rFonts w:hint="eastAsia" w:ascii="仿宋_GB2312" w:hAnsi="仿宋_GB2312" w:eastAsia="仿宋_GB2312"/>
          <w:b w:val="0"/>
          <w:sz w:val="32"/>
          <w:lang w:eastAsia="zh-CN"/>
        </w:rPr>
        <w:t>ZJ</w:t>
      </w:r>
      <w:r>
        <w:rPr>
          <w:rFonts w:ascii="仿宋_GB2312" w:hAnsi="仿宋_GB2312" w:eastAsia="仿宋_GB2312"/>
          <w:b w:val="0"/>
          <w:sz w:val="32"/>
        </w:rPr>
        <w:t>人士生活补助提标经费，导致预决算存在差异。</w:t>
      </w:r>
    </w:p>
    <w:p w14:paraId="4BDFD912">
      <w:pPr>
        <w:spacing w:line="640" w:lineRule="exact"/>
        <w:ind w:firstLine="640"/>
        <w:jc w:val="both"/>
        <w:outlineLvl w:val="2"/>
      </w:pPr>
      <w:r>
        <w:rPr>
          <w:rFonts w:ascii="黑体" w:hAnsi="黑体" w:eastAsia="黑体"/>
          <w:sz w:val="32"/>
        </w:rPr>
        <w:t>五、一般公共预算财政拨款支出决算情况说明</w:t>
      </w:r>
    </w:p>
    <w:p w14:paraId="1BF40961">
      <w:pPr>
        <w:spacing w:line="640" w:lineRule="exact"/>
        <w:ind w:firstLine="640"/>
        <w:jc w:val="both"/>
        <w:outlineLvl w:val="3"/>
      </w:pPr>
      <w:r>
        <w:rPr>
          <w:rFonts w:ascii="楷体_GB2312" w:hAnsi="楷体_GB2312" w:eastAsia="楷体_GB2312"/>
          <w:b/>
          <w:sz w:val="32"/>
        </w:rPr>
        <w:t>（一）一般公共预算财政拨款支出决算总体情况</w:t>
      </w:r>
    </w:p>
    <w:p w14:paraId="71DB00D3">
      <w:pPr>
        <w:spacing w:line="580" w:lineRule="exact"/>
        <w:ind w:firstLine="640"/>
        <w:jc w:val="both"/>
      </w:pPr>
      <w:r>
        <w:rPr>
          <w:rFonts w:ascii="仿宋_GB2312" w:hAnsi="仿宋_GB2312" w:eastAsia="仿宋_GB2312"/>
          <w:b/>
          <w:sz w:val="32"/>
        </w:rPr>
        <w:t>2024年度一般公共预算财政拨款支出685.52万元，</w:t>
      </w:r>
      <w:r>
        <w:rPr>
          <w:rFonts w:ascii="仿宋_GB2312" w:hAnsi="仿宋_GB2312" w:eastAsia="仿宋_GB2312"/>
          <w:b w:val="0"/>
          <w:sz w:val="32"/>
        </w:rPr>
        <w:t>占本年支出合计的90.78%。</w:t>
      </w:r>
      <w:r>
        <w:rPr>
          <w:rFonts w:ascii="仿宋_GB2312" w:hAnsi="仿宋_GB2312" w:eastAsia="仿宋_GB2312"/>
          <w:b/>
          <w:sz w:val="32"/>
        </w:rPr>
        <w:t>与上年相比，</w:t>
      </w:r>
      <w:r>
        <w:rPr>
          <w:rFonts w:ascii="仿宋_GB2312" w:hAnsi="仿宋_GB2312" w:eastAsia="仿宋_GB2312"/>
          <w:b w:val="0"/>
          <w:sz w:val="32"/>
        </w:rPr>
        <w:t>减少2.15万元，下降0.31%，主要原因是：本年在职人员减少，相关人员经费较上年减少。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年初预算数599.02万元，决算数685.52万元，预决算差异率14.44%，主要原因是：年中追加铸牢中华民族共同体意识项目，ZJ人士生活补助提标经费，导致预决算存在差异。</w:t>
      </w:r>
    </w:p>
    <w:p w14:paraId="19D768DA">
      <w:pPr>
        <w:spacing w:line="640" w:lineRule="exact"/>
        <w:ind w:firstLine="640"/>
        <w:jc w:val="both"/>
        <w:outlineLvl w:val="3"/>
      </w:pPr>
      <w:r>
        <w:rPr>
          <w:rFonts w:ascii="楷体_GB2312" w:hAnsi="楷体_GB2312" w:eastAsia="楷体_GB2312"/>
          <w:b/>
          <w:sz w:val="32"/>
        </w:rPr>
        <w:t>（二）一般公共预算财政拨款支出决算结构情况</w:t>
      </w:r>
    </w:p>
    <w:p w14:paraId="6362519F">
      <w:pPr>
        <w:spacing w:line="580" w:lineRule="exact"/>
        <w:ind w:firstLine="640"/>
        <w:jc w:val="both"/>
      </w:pPr>
      <w:r>
        <w:rPr>
          <w:rFonts w:ascii="仿宋_GB2312" w:hAnsi="仿宋_GB2312" w:eastAsia="仿宋_GB2312"/>
          <w:b w:val="0"/>
          <w:sz w:val="32"/>
        </w:rPr>
        <w:t>1.一般公共服务支出(类)513.41万元,占74.89%。</w:t>
      </w:r>
    </w:p>
    <w:p w14:paraId="6DF82A01">
      <w:pPr>
        <w:spacing w:line="580" w:lineRule="exact"/>
        <w:ind w:firstLine="640"/>
        <w:jc w:val="both"/>
      </w:pPr>
      <w:r>
        <w:rPr>
          <w:rFonts w:ascii="仿宋_GB2312" w:hAnsi="仿宋_GB2312" w:eastAsia="仿宋_GB2312"/>
          <w:b w:val="0"/>
          <w:sz w:val="32"/>
        </w:rPr>
        <w:t>2.社会保障和就业支出(类)64.20万元,占9.37%。</w:t>
      </w:r>
    </w:p>
    <w:p w14:paraId="7EF26DF9">
      <w:pPr>
        <w:spacing w:line="580" w:lineRule="exact"/>
        <w:ind w:firstLine="640"/>
        <w:jc w:val="both"/>
      </w:pPr>
      <w:r>
        <w:rPr>
          <w:rFonts w:ascii="仿宋_GB2312" w:hAnsi="仿宋_GB2312" w:eastAsia="仿宋_GB2312"/>
          <w:b w:val="0"/>
          <w:sz w:val="32"/>
        </w:rPr>
        <w:t>3.卫生健康支出(类)18.78万元,占2.74%。</w:t>
      </w:r>
    </w:p>
    <w:p w14:paraId="6BB58621">
      <w:pPr>
        <w:spacing w:line="580" w:lineRule="exact"/>
        <w:ind w:firstLine="640"/>
        <w:jc w:val="both"/>
      </w:pPr>
      <w:r>
        <w:rPr>
          <w:rFonts w:ascii="仿宋_GB2312" w:hAnsi="仿宋_GB2312" w:eastAsia="仿宋_GB2312"/>
          <w:b w:val="0"/>
          <w:sz w:val="32"/>
        </w:rPr>
        <w:t>4.农林水支出(类)45.69万元,占6.67%。</w:t>
      </w:r>
    </w:p>
    <w:p w14:paraId="285117B7">
      <w:pPr>
        <w:spacing w:line="580" w:lineRule="exact"/>
        <w:ind w:firstLine="640"/>
        <w:jc w:val="both"/>
      </w:pPr>
      <w:r>
        <w:rPr>
          <w:rFonts w:ascii="仿宋_GB2312" w:hAnsi="仿宋_GB2312" w:eastAsia="仿宋_GB2312"/>
          <w:b w:val="0"/>
          <w:sz w:val="32"/>
        </w:rPr>
        <w:t>5.住房保障支出(类)33.44万元,占4.88%。</w:t>
      </w:r>
    </w:p>
    <w:p w14:paraId="358662FD">
      <w:pPr>
        <w:spacing w:line="580" w:lineRule="exact"/>
        <w:ind w:firstLine="640"/>
        <w:jc w:val="both"/>
      </w:pPr>
      <w:r>
        <w:rPr>
          <w:rFonts w:ascii="仿宋_GB2312" w:hAnsi="仿宋_GB2312" w:eastAsia="仿宋_GB2312"/>
          <w:b w:val="0"/>
          <w:sz w:val="32"/>
        </w:rPr>
        <w:t>6.其他支出(类)10.00万元,占1.46%。</w:t>
      </w:r>
    </w:p>
    <w:p w14:paraId="27E421E7">
      <w:pPr>
        <w:spacing w:line="640" w:lineRule="exact"/>
        <w:ind w:firstLine="640"/>
        <w:jc w:val="both"/>
        <w:outlineLvl w:val="3"/>
      </w:pPr>
      <w:r>
        <w:rPr>
          <w:rFonts w:ascii="楷体_GB2312" w:hAnsi="楷体_GB2312" w:eastAsia="楷体_GB2312"/>
          <w:b/>
          <w:sz w:val="32"/>
        </w:rPr>
        <w:t>（三）一般公共预算财政拨款支出决算具体情况</w:t>
      </w:r>
    </w:p>
    <w:p w14:paraId="17F949B6">
      <w:pPr>
        <w:spacing w:line="580" w:lineRule="exact"/>
        <w:ind w:firstLine="640"/>
        <w:jc w:val="both"/>
      </w:pPr>
      <w:r>
        <w:rPr>
          <w:rFonts w:ascii="仿宋_GB2312" w:hAnsi="仿宋_GB2312" w:eastAsia="仿宋_GB2312"/>
          <w:b w:val="0"/>
          <w:sz w:val="32"/>
        </w:rPr>
        <w:t>1.一般公共服务支出(类)统战事务(款)行政运行(项):支出决算数为218.88万元，比上年决算增加0.04万元，增长0.02%,主要原因是：本年在职人员工资调增，导致相关人员经费较上年有所增加。</w:t>
      </w:r>
    </w:p>
    <w:p w14:paraId="2565B705">
      <w:pPr>
        <w:spacing w:line="580" w:lineRule="exact"/>
        <w:ind w:firstLine="640"/>
        <w:jc w:val="both"/>
      </w:pPr>
      <w:r>
        <w:rPr>
          <w:rFonts w:ascii="仿宋_GB2312" w:hAnsi="仿宋_GB2312" w:eastAsia="仿宋_GB2312"/>
          <w:b w:val="0"/>
          <w:sz w:val="32"/>
        </w:rPr>
        <w:t>2.一般公共服务支出(类)统战事务(款)</w:t>
      </w:r>
      <w:r>
        <w:rPr>
          <w:rFonts w:hint="eastAsia" w:ascii="仿宋_GB2312" w:hAnsi="仿宋_GB2312" w:eastAsia="仿宋_GB2312"/>
          <w:b w:val="0"/>
          <w:sz w:val="32"/>
          <w:lang w:eastAsia="zh-CN"/>
        </w:rPr>
        <w:t>ZJ</w:t>
      </w:r>
      <w:r>
        <w:rPr>
          <w:rFonts w:ascii="仿宋_GB2312" w:hAnsi="仿宋_GB2312" w:eastAsia="仿宋_GB2312"/>
          <w:b w:val="0"/>
          <w:sz w:val="32"/>
        </w:rPr>
        <w:t>事务(项):支出决算数为193.91万元，比上年决算减少7.20万元，下降3.58%,主要原因是：ZJ教职人员减少，人员经费减少。</w:t>
      </w:r>
    </w:p>
    <w:p w14:paraId="1D120B97">
      <w:pPr>
        <w:spacing w:line="580" w:lineRule="exact"/>
        <w:ind w:firstLine="640"/>
        <w:jc w:val="both"/>
      </w:pPr>
      <w:r>
        <w:rPr>
          <w:rFonts w:ascii="仿宋_GB2312" w:hAnsi="仿宋_GB2312" w:eastAsia="仿宋_GB2312"/>
          <w:b w:val="0"/>
          <w:sz w:val="32"/>
        </w:rPr>
        <w:t>3.一般公共服务支出(类)统战事务(款)事业运行(项):支出决算数为100.09万元，比上年决算增加1.30万元，增长1.32%,主要原因是：本年在职人员工资调增，导致相关人员经费较上年有所增加。</w:t>
      </w:r>
    </w:p>
    <w:p w14:paraId="32B21EA9">
      <w:pPr>
        <w:spacing w:line="580" w:lineRule="exact"/>
        <w:ind w:firstLine="640"/>
        <w:jc w:val="both"/>
      </w:pPr>
      <w:r>
        <w:rPr>
          <w:rFonts w:ascii="仿宋_GB2312" w:hAnsi="仿宋_GB2312" w:eastAsia="仿宋_GB2312"/>
          <w:b w:val="0"/>
          <w:sz w:val="32"/>
        </w:rPr>
        <w:t>4.一般公共服务支出(类)统战事务(款)其他统战事务支出(项):支出决算数为0.53万元，比上年决算减少6.06万元，下降91.96%,主要原因是：本年度减少民族团结进步创建经费。</w:t>
      </w:r>
    </w:p>
    <w:p w14:paraId="01ACAA0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5.社会保障和就业支出(类)行政事业单位养老支出(款)行政单位离退休(项):支出决算数为24.96万元，比上年决算增加10.10万元，增长67.97%,主要原因是：本年增加退休人员基础绩效奖，退休费支出增加。</w:t>
      </w:r>
    </w:p>
    <w:p w14:paraId="25C2B95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39.24万元，比上年决算增加5.06万元，增长14.80%,主要原因是：本年在职人员工资基数调增，养老缴费基数上涨，相应支出增加。</w:t>
      </w:r>
    </w:p>
    <w:p w14:paraId="37D8BC5B">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8.53万元，下降100.00%,主要原因是：本年功能科目调整，机关事业单位职业年金缴费上年度单独列支，本年调整至主科目列支，导致经费较上年减少。</w:t>
      </w:r>
    </w:p>
    <w:p w14:paraId="3FD3BBBF">
      <w:pPr>
        <w:spacing w:line="580" w:lineRule="exact"/>
        <w:ind w:firstLine="640"/>
        <w:jc w:val="both"/>
      </w:pPr>
      <w:r>
        <w:rPr>
          <w:rFonts w:ascii="仿宋_GB2312" w:hAnsi="仿宋_GB2312" w:eastAsia="仿宋_GB2312"/>
          <w:b w:val="0"/>
          <w:sz w:val="32"/>
        </w:rPr>
        <w:t>8.卫生健康支出(类)行政事业单位医疗(款)行政单位医疗(项):支出决算数为15.78万元，比上年决算减少8.96万元，下降36.22%,主要原因是：因退休人员医疗保险制度改革，退休人员基本医疗不再由单位缴纳，导致经费较上年减少。</w:t>
      </w:r>
    </w:p>
    <w:p w14:paraId="28D7EA2A">
      <w:pPr>
        <w:spacing w:line="580" w:lineRule="exact"/>
        <w:ind w:firstLine="640"/>
        <w:jc w:val="both"/>
      </w:pPr>
      <w:r>
        <w:rPr>
          <w:rFonts w:ascii="仿宋_GB2312" w:hAnsi="仿宋_GB2312" w:eastAsia="仿宋_GB2312"/>
          <w:b w:val="0"/>
          <w:sz w:val="32"/>
        </w:rPr>
        <w:t>9.卫生健康支出(类)行政事业单位医疗(款)公务员医疗补助(项):支出决算数为3.00万元，比上年决算减少3.10万元，下降50.82%,主要原因是：因退休人员医疗保险制度改革，退休人员公务员医疗补助不再由单位缴纳，导致经费较上年减少。</w:t>
      </w:r>
    </w:p>
    <w:p w14:paraId="029CFE70">
      <w:pPr>
        <w:spacing w:line="580" w:lineRule="exact"/>
        <w:ind w:firstLine="640"/>
        <w:jc w:val="both"/>
      </w:pPr>
      <w:r>
        <w:rPr>
          <w:rFonts w:ascii="仿宋_GB2312" w:hAnsi="仿宋_GB2312" w:eastAsia="仿宋_GB2312"/>
          <w:b w:val="0"/>
          <w:sz w:val="32"/>
        </w:rPr>
        <w:t>10.农林水支出(类)巩固脱贫攻坚成果衔接乡村振兴(款)生产发展(项):支出决算数为45.69万元，比上年决算增加0.11万元，增长0.24%,主要原因是：本年度巩固脱贫攻坚成果衔接乡村振兴项目发放户数增加，经费支出增加。</w:t>
      </w:r>
    </w:p>
    <w:p w14:paraId="30905EE9">
      <w:pPr>
        <w:spacing w:line="580" w:lineRule="exact"/>
        <w:ind w:firstLine="640"/>
        <w:jc w:val="both"/>
      </w:pPr>
      <w:r>
        <w:rPr>
          <w:rFonts w:ascii="仿宋_GB2312" w:hAnsi="仿宋_GB2312" w:eastAsia="仿宋_GB2312"/>
          <w:b w:val="0"/>
          <w:sz w:val="32"/>
        </w:rPr>
        <w:t>11.住房保障支出(类)住房改革支出(款)住房公积金(项):支出决算数为33.44万元，比上年决算增加5.09万元，增长17.95%,主要原因是：本年度在职人员工资基数调增，公积金缴费基数上涨，相应支出增加。</w:t>
      </w:r>
    </w:p>
    <w:p w14:paraId="20641458">
      <w:pPr>
        <w:spacing w:line="580" w:lineRule="exact"/>
        <w:ind w:firstLine="640"/>
        <w:jc w:val="both"/>
      </w:pPr>
      <w:r>
        <w:rPr>
          <w:rFonts w:ascii="仿宋_GB2312" w:hAnsi="仿宋_GB2312" w:eastAsia="仿宋_GB2312"/>
          <w:b w:val="0"/>
          <w:sz w:val="32"/>
        </w:rPr>
        <w:t>12.其他支出(类)其他支出(款)其他支出(项):支出决算数为10.00万元，比上年决算增加10.00万元，增长100.00%,主要原因是：本年度增加为民办实事工作经费项目。</w:t>
      </w:r>
    </w:p>
    <w:p w14:paraId="6CEFCB54">
      <w:pPr>
        <w:spacing w:line="640" w:lineRule="exact"/>
        <w:ind w:firstLine="640"/>
        <w:jc w:val="both"/>
        <w:outlineLvl w:val="2"/>
      </w:pPr>
      <w:r>
        <w:rPr>
          <w:rFonts w:ascii="黑体" w:hAnsi="黑体" w:eastAsia="黑体"/>
          <w:sz w:val="32"/>
        </w:rPr>
        <w:t>六、一般公共预算财政拨款基本支出决算情况说明</w:t>
      </w:r>
    </w:p>
    <w:p w14:paraId="1F011B25">
      <w:pPr>
        <w:spacing w:line="580" w:lineRule="exact"/>
        <w:ind w:firstLine="640"/>
        <w:jc w:val="both"/>
      </w:pPr>
      <w:r>
        <w:rPr>
          <w:rFonts w:ascii="仿宋_GB2312" w:hAnsi="仿宋_GB2312" w:eastAsia="仿宋_GB2312"/>
          <w:b w:val="0"/>
          <w:sz w:val="32"/>
        </w:rPr>
        <w:t>2024年度一般公共预算财政拨款基本支出435.40万元，其中：</w:t>
      </w:r>
      <w:r>
        <w:rPr>
          <w:rFonts w:ascii="仿宋_GB2312" w:hAnsi="仿宋_GB2312" w:eastAsia="仿宋_GB2312"/>
          <w:b/>
          <w:sz w:val="32"/>
        </w:rPr>
        <w:t>人员经费399.97万元，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57C2318B">
      <w:pPr>
        <w:spacing w:line="580" w:lineRule="exact"/>
        <w:ind w:firstLine="640"/>
        <w:jc w:val="both"/>
      </w:pPr>
      <w:r>
        <w:rPr>
          <w:rFonts w:ascii="仿宋_GB2312" w:hAnsi="仿宋_GB2312" w:eastAsia="仿宋_GB2312"/>
          <w:b/>
          <w:sz w:val="32"/>
        </w:rPr>
        <w:t>公用经费35.43万元，</w:t>
      </w:r>
      <w:r>
        <w:rPr>
          <w:rFonts w:ascii="仿宋_GB2312" w:hAnsi="仿宋_GB2312" w:eastAsia="仿宋_GB2312"/>
          <w:b w:val="0"/>
          <w:sz w:val="32"/>
        </w:rPr>
        <w:t>包括：办公费、邮电费、差旅费、公务用车运行维护费。</w:t>
      </w:r>
    </w:p>
    <w:p w14:paraId="2F259719">
      <w:pPr>
        <w:spacing w:line="640" w:lineRule="exact"/>
        <w:ind w:firstLine="640"/>
        <w:jc w:val="both"/>
        <w:outlineLvl w:val="2"/>
      </w:pPr>
      <w:r>
        <w:rPr>
          <w:rFonts w:ascii="黑体" w:hAnsi="黑体" w:eastAsia="黑体"/>
          <w:sz w:val="32"/>
        </w:rPr>
        <w:t>七、政府性基金预算财政拨款收入支出决算情况说明</w:t>
      </w:r>
    </w:p>
    <w:p w14:paraId="2ADD51B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369B8AB">
      <w:pPr>
        <w:spacing w:line="640" w:lineRule="exact"/>
        <w:ind w:firstLine="640"/>
        <w:jc w:val="both"/>
        <w:outlineLvl w:val="2"/>
      </w:pPr>
      <w:r>
        <w:rPr>
          <w:rFonts w:ascii="黑体" w:hAnsi="黑体" w:eastAsia="黑体"/>
          <w:sz w:val="32"/>
        </w:rPr>
        <w:t>八、国有资本经营预算财政拨款收入支出决算情况说明</w:t>
      </w:r>
    </w:p>
    <w:p w14:paraId="0C3F926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2CD67A">
      <w:pPr>
        <w:spacing w:line="640" w:lineRule="exact"/>
        <w:ind w:firstLine="640"/>
        <w:jc w:val="both"/>
        <w:outlineLvl w:val="2"/>
      </w:pPr>
      <w:r>
        <w:rPr>
          <w:rFonts w:ascii="黑体" w:hAnsi="黑体" w:eastAsia="黑体"/>
          <w:sz w:val="32"/>
        </w:rPr>
        <w:t>九、财政拨款“三公”经费支出决算情况说明</w:t>
      </w:r>
    </w:p>
    <w:p w14:paraId="77D5EE25">
      <w:pPr>
        <w:spacing w:line="580" w:lineRule="exact"/>
        <w:ind w:firstLine="640"/>
        <w:jc w:val="both"/>
      </w:pPr>
      <w:r>
        <w:rPr>
          <w:rFonts w:ascii="仿宋_GB2312" w:hAnsi="仿宋_GB2312" w:eastAsia="仿宋_GB2312"/>
          <w:b/>
          <w:sz w:val="32"/>
        </w:rPr>
        <w:t>2024年度财政拨款“三公”经费支出3.60万元，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3.60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21A815BA">
      <w:pPr>
        <w:spacing w:line="580" w:lineRule="exact"/>
        <w:ind w:firstLine="640"/>
        <w:jc w:val="both"/>
      </w:pPr>
      <w:r>
        <w:rPr>
          <w:rFonts w:ascii="仿宋_GB2312" w:hAnsi="仿宋_GB2312" w:eastAsia="仿宋_GB2312"/>
          <w:b/>
          <w:sz w:val="32"/>
        </w:rPr>
        <w:t>具体情况如下：</w:t>
      </w:r>
    </w:p>
    <w:p w14:paraId="50A5F5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D0E5F5">
      <w:pPr>
        <w:spacing w:line="580" w:lineRule="exact"/>
        <w:ind w:firstLine="640"/>
        <w:jc w:val="both"/>
      </w:pPr>
      <w:r>
        <w:rPr>
          <w:rFonts w:ascii="仿宋_GB2312" w:hAnsi="仿宋_GB2312" w:eastAsia="仿宋_GB2312"/>
          <w:b w:val="0"/>
          <w:sz w:val="32"/>
        </w:rPr>
        <w:t>公务用车购置及运行维护费3.60万元，其中：公务用车购置费0.00万元，公务用车运行维护费3.60万元。公务用车运行维护费开支内容包括车辆保险、车辆维修费、燃油费。公务用车购置数0辆，公务用车保有量1辆。国有资产占用情况中固定资产车辆1辆，与公务用车保有量差异原因是：本单位固定资产车辆与公务用车保有量一致无差异。</w:t>
      </w:r>
    </w:p>
    <w:p w14:paraId="41AFABE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484A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3.60万元，决算数3.60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3.60万元，决算数3.60万元，预决算差异率0.00%，主要原因是：严格按照预算执行，预决算无差异。公务接待费全年预算数0.00万元，决算数0.00万元，预决算差异率0.00%，主要原因是：本单位无公务接待费。</w:t>
      </w:r>
    </w:p>
    <w:p w14:paraId="4663144D">
      <w:pPr>
        <w:spacing w:line="640" w:lineRule="exact"/>
        <w:ind w:firstLine="640"/>
        <w:jc w:val="both"/>
        <w:outlineLvl w:val="2"/>
      </w:pPr>
      <w:r>
        <w:rPr>
          <w:rFonts w:ascii="黑体" w:hAnsi="黑体" w:eastAsia="黑体"/>
          <w:sz w:val="32"/>
        </w:rPr>
        <w:t>十、其他重要事项的情况说明</w:t>
      </w:r>
    </w:p>
    <w:p w14:paraId="119014E5">
      <w:pPr>
        <w:spacing w:line="640" w:lineRule="exact"/>
        <w:ind w:firstLine="640"/>
        <w:jc w:val="both"/>
        <w:outlineLvl w:val="3"/>
      </w:pPr>
      <w:r>
        <w:rPr>
          <w:rFonts w:ascii="楷体_GB2312" w:hAnsi="楷体_GB2312" w:eastAsia="楷体_GB2312"/>
          <w:b/>
          <w:sz w:val="32"/>
        </w:rPr>
        <w:t>（一）机关运行经费及公用经费支出情况</w:t>
      </w:r>
    </w:p>
    <w:p w14:paraId="2BA60C60">
      <w:pPr>
        <w:spacing w:line="580" w:lineRule="exact"/>
        <w:ind w:firstLine="640"/>
        <w:jc w:val="both"/>
      </w:pPr>
      <w:r>
        <w:rPr>
          <w:rFonts w:ascii="仿宋_GB2312" w:hAnsi="仿宋_GB2312" w:eastAsia="仿宋_GB2312"/>
          <w:b w:val="0"/>
          <w:sz w:val="32"/>
        </w:rPr>
        <w:t>2024年度中共塔什库尔干塔吉克自治县委员会统战部（行政单位和参照公务员法管理事业单位）机关运行经费支出35.43万元，比上年增加17.03万元，增长92.55%，主要原因是：本年更新、维护补充办公用品，</w:t>
      </w:r>
      <w:r>
        <w:rPr>
          <w:rFonts w:hint="eastAsia" w:ascii="仿宋_GB2312" w:hAnsi="仿宋_GB2312" w:eastAsia="仿宋_GB2312"/>
          <w:b w:val="0"/>
          <w:sz w:val="32"/>
          <w:lang w:val="en-US" w:eastAsia="zh-CN"/>
        </w:rPr>
        <w:t>办公费等经费增加，</w:t>
      </w:r>
      <w:r>
        <w:rPr>
          <w:rFonts w:ascii="仿宋_GB2312" w:hAnsi="仿宋_GB2312" w:eastAsia="仿宋_GB2312"/>
          <w:b w:val="0"/>
          <w:sz w:val="32"/>
        </w:rPr>
        <w:t>导致机关运行经费较上年增加。</w:t>
      </w:r>
    </w:p>
    <w:p w14:paraId="3AC207C0">
      <w:pPr>
        <w:spacing w:line="640" w:lineRule="exact"/>
        <w:ind w:firstLine="640"/>
        <w:jc w:val="both"/>
        <w:outlineLvl w:val="3"/>
      </w:pPr>
      <w:r>
        <w:rPr>
          <w:rFonts w:ascii="楷体_GB2312" w:hAnsi="楷体_GB2312" w:eastAsia="楷体_GB2312"/>
          <w:b/>
          <w:sz w:val="32"/>
        </w:rPr>
        <w:t>（二）政府采购情况</w:t>
      </w:r>
    </w:p>
    <w:p w14:paraId="01C420FE">
      <w:pPr>
        <w:spacing w:line="580" w:lineRule="exact"/>
        <w:ind w:firstLine="640"/>
        <w:jc w:val="both"/>
      </w:pPr>
      <w:r>
        <w:rPr>
          <w:rFonts w:ascii="仿宋_GB2312" w:hAnsi="仿宋_GB2312" w:eastAsia="仿宋_GB2312"/>
          <w:b w:val="0"/>
          <w:sz w:val="32"/>
        </w:rPr>
        <w:t>2024年度政府采购支出总额4.84万元，其中：政府采购货物支出2.93万元、政府采购工程支出0.00万元、政府采购服务支出1.91万元。</w:t>
      </w:r>
    </w:p>
    <w:p w14:paraId="7C9ECA32">
      <w:pPr>
        <w:spacing w:line="580" w:lineRule="exact"/>
        <w:ind w:firstLine="640"/>
        <w:jc w:val="both"/>
      </w:pPr>
      <w:r>
        <w:rPr>
          <w:rFonts w:ascii="仿宋_GB2312" w:hAnsi="仿宋_GB2312" w:eastAsia="仿宋_GB2312"/>
          <w:b w:val="0"/>
          <w:sz w:val="32"/>
        </w:rPr>
        <w:t>授予中小企业合同金额3.73万元，占政府采购支出总额的77.07%，其中：授予小微企业合同金额3.73万元，占政府采购支出总额的77.07%。</w:t>
      </w:r>
    </w:p>
    <w:p w14:paraId="65F5C72A">
      <w:pPr>
        <w:spacing w:line="640" w:lineRule="exact"/>
        <w:ind w:firstLine="640"/>
        <w:jc w:val="both"/>
        <w:outlineLvl w:val="3"/>
      </w:pPr>
      <w:r>
        <w:rPr>
          <w:rFonts w:ascii="楷体_GB2312" w:hAnsi="楷体_GB2312" w:eastAsia="楷体_GB2312"/>
          <w:b/>
          <w:sz w:val="32"/>
        </w:rPr>
        <w:t>（三）国有资产占用情况说明</w:t>
      </w:r>
    </w:p>
    <w:p w14:paraId="6F9A41B2">
      <w:pPr>
        <w:spacing w:line="580" w:lineRule="exact"/>
        <w:ind w:firstLine="640"/>
        <w:jc w:val="both"/>
      </w:pPr>
      <w:r>
        <w:rPr>
          <w:rFonts w:ascii="仿宋_GB2312" w:hAnsi="仿宋_GB2312" w:eastAsia="仿宋_GB2312"/>
          <w:b w:val="0"/>
          <w:sz w:val="32"/>
        </w:rPr>
        <w:t>截至2024年12月31日，房屋80.00平方米，价值9.93万元。车辆1辆，价值19.00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6BC07E9">
      <w:pPr>
        <w:spacing w:line="640" w:lineRule="exact"/>
        <w:ind w:firstLine="640"/>
        <w:jc w:val="both"/>
        <w:outlineLvl w:val="2"/>
      </w:pPr>
      <w:r>
        <w:rPr>
          <w:rFonts w:ascii="黑体" w:hAnsi="黑体" w:eastAsia="黑体"/>
          <w:sz w:val="32"/>
        </w:rPr>
        <w:t>十一、预算绩效的情况说明</w:t>
      </w:r>
    </w:p>
    <w:p w14:paraId="465BF4F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699.88万元，实际执行总额685.52万元；预算绩效评价项目1个，全年预算数10.00万元，全年执行数10.00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开展绩效评价，提高了绩效工作管理水平，科学制定目标，促进了绩效目标顺利实现，提高了项目资金使用的绩效意识，对下一年此类项目预算编制提供参考。下一步改进措施：高度重视，加强领导，精心组织，逐步推开，实现编制预算绩效目标全覆盖。积极开展绩效跟踪监控，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2D8AB0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474417">
        <w:tblPrEx>
          <w:tblCellMar>
            <w:top w:w="0" w:type="dxa"/>
            <w:left w:w="108" w:type="dxa"/>
            <w:bottom w:w="0" w:type="dxa"/>
            <w:right w:w="108" w:type="dxa"/>
          </w:tblCellMar>
        </w:tblPrEx>
        <w:tc>
          <w:tcPr>
            <w:tcW w:w="8847" w:type="dxa"/>
            <w:gridSpan w:val="9"/>
            <w:vAlign w:val="center"/>
          </w:tcPr>
          <w:p w14:paraId="3271CE07">
            <w:pPr>
              <w:jc w:val="center"/>
            </w:pPr>
            <w:r>
              <w:rPr>
                <w:rFonts w:ascii="宋体" w:hAnsi="宋体" w:eastAsia="宋体"/>
                <w:sz w:val="24"/>
              </w:rPr>
              <w:t>单位整体支出绩效自评表</w:t>
            </w:r>
          </w:p>
        </w:tc>
      </w:tr>
      <w:tr w14:paraId="5A37FE33">
        <w:tblPrEx>
          <w:tblCellMar>
            <w:top w:w="0" w:type="dxa"/>
            <w:left w:w="108" w:type="dxa"/>
            <w:bottom w:w="0" w:type="dxa"/>
            <w:right w:w="108" w:type="dxa"/>
          </w:tblCellMar>
        </w:tblPrEx>
        <w:tc>
          <w:tcPr>
            <w:tcW w:w="8847" w:type="dxa"/>
            <w:gridSpan w:val="9"/>
            <w:vAlign w:val="center"/>
          </w:tcPr>
          <w:p w14:paraId="5C4C5A02">
            <w:pPr>
              <w:jc w:val="center"/>
            </w:pPr>
            <w:r>
              <w:rPr>
                <w:rFonts w:ascii="宋体" w:hAnsi="宋体" w:eastAsia="宋体"/>
                <w:sz w:val="24"/>
              </w:rPr>
              <w:t>（2024年度）</w:t>
            </w:r>
          </w:p>
        </w:tc>
      </w:tr>
      <w:tr w14:paraId="06D934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78A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050579">
            <w:pPr>
              <w:jc w:val="center"/>
            </w:pPr>
            <w:r>
              <w:rPr>
                <w:rFonts w:ascii="宋体" w:hAnsi="宋体" w:eastAsia="宋体"/>
                <w:sz w:val="16"/>
              </w:rPr>
              <w:t>中共塔什库尔干塔吉克自治县委员会统战部</w:t>
            </w:r>
          </w:p>
        </w:tc>
      </w:tr>
      <w:tr w14:paraId="7C637C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A17B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53C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D62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3DB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CB25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D9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36E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3CCEC">
            <w:pPr>
              <w:jc w:val="center"/>
            </w:pPr>
            <w:r>
              <w:rPr>
                <w:rFonts w:ascii="宋体" w:hAnsi="宋体" w:eastAsia="宋体"/>
                <w:sz w:val="16"/>
              </w:rPr>
              <w:t>得分</w:t>
            </w:r>
          </w:p>
        </w:tc>
      </w:tr>
      <w:tr w14:paraId="730838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360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2D3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8F99">
            <w:pPr>
              <w:jc w:val="center"/>
            </w:pPr>
            <w:r>
              <w:rPr>
                <w:rFonts w:ascii="宋体" w:hAnsi="宋体" w:eastAsia="宋体"/>
                <w:sz w:val="16"/>
              </w:rPr>
              <w:t>599.02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EDC2">
            <w:pPr>
              <w:jc w:val="center"/>
            </w:pPr>
            <w:r>
              <w:rPr>
                <w:rFonts w:ascii="宋体" w:hAnsi="宋体" w:eastAsia="宋体"/>
                <w:sz w:val="16"/>
              </w:rPr>
              <w:t>699.88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0B9B">
            <w:pPr>
              <w:jc w:val="center"/>
            </w:pPr>
            <w:r>
              <w:rPr>
                <w:rFonts w:ascii="宋体" w:hAnsi="宋体" w:eastAsia="宋体"/>
                <w:sz w:val="16"/>
              </w:rPr>
              <w:t>685.52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81D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166A">
            <w:pPr>
              <w:jc w:val="center"/>
            </w:pPr>
            <w:r>
              <w:rPr>
                <w:rFonts w:ascii="宋体" w:hAnsi="宋体" w:eastAsia="宋体"/>
                <w:sz w:val="16"/>
              </w:rPr>
              <w:t>97.95%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CD7D">
            <w:pPr>
              <w:jc w:val="center"/>
            </w:pPr>
            <w:r>
              <w:rPr>
                <w:rFonts w:ascii="宋体" w:hAnsi="宋体" w:eastAsia="宋体"/>
                <w:sz w:val="16"/>
              </w:rPr>
              <w:t>9.8</w:t>
            </w:r>
          </w:p>
        </w:tc>
      </w:tr>
      <w:tr w14:paraId="60C0A9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445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D02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DE81">
            <w:pPr>
              <w:jc w:val="center"/>
            </w:pPr>
            <w:r>
              <w:rPr>
                <w:rFonts w:ascii="宋体" w:hAnsi="宋体" w:eastAsia="宋体"/>
                <w:sz w:val="16"/>
              </w:rPr>
              <w:t>167.32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201EA">
            <w:pPr>
              <w:jc w:val="center"/>
            </w:pPr>
            <w:r>
              <w:rPr>
                <w:rFonts w:ascii="宋体" w:hAnsi="宋体" w:eastAsia="宋体"/>
                <w:sz w:val="16"/>
              </w:rPr>
              <w:t>254.21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0C3A">
            <w:pPr>
              <w:jc w:val="center"/>
            </w:pPr>
            <w:r>
              <w:rPr>
                <w:rFonts w:ascii="宋体" w:hAnsi="宋体" w:eastAsia="宋体"/>
                <w:sz w:val="16"/>
              </w:rPr>
              <w:t>254.21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7D6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8F3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B3F7">
            <w:pPr>
              <w:jc w:val="center"/>
            </w:pPr>
            <w:r>
              <w:rPr>
                <w:rFonts w:ascii="宋体" w:hAnsi="宋体" w:eastAsia="宋体"/>
                <w:sz w:val="16"/>
              </w:rPr>
              <w:t>—</w:t>
            </w:r>
          </w:p>
        </w:tc>
      </w:tr>
      <w:tr w14:paraId="39F04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AF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F78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1E69">
            <w:pPr>
              <w:jc w:val="center"/>
            </w:pPr>
            <w:r>
              <w:rPr>
                <w:rFonts w:ascii="宋体" w:hAnsi="宋体" w:eastAsia="宋体"/>
                <w:sz w:val="16"/>
              </w:rPr>
              <w:t>431.70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B5D6">
            <w:pPr>
              <w:jc w:val="center"/>
            </w:pPr>
            <w:r>
              <w:rPr>
                <w:rFonts w:ascii="宋体" w:hAnsi="宋体" w:eastAsia="宋体"/>
                <w:sz w:val="16"/>
              </w:rPr>
              <w:t>445.67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7243">
            <w:pPr>
              <w:jc w:val="center"/>
            </w:pPr>
            <w:r>
              <w:rPr>
                <w:rFonts w:ascii="宋体" w:hAnsi="宋体" w:eastAsia="宋体"/>
                <w:sz w:val="16"/>
              </w:rPr>
              <w:t>431.31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EA7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417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A0FC">
            <w:pPr>
              <w:jc w:val="center"/>
            </w:pPr>
            <w:r>
              <w:rPr>
                <w:rFonts w:ascii="宋体" w:hAnsi="宋体" w:eastAsia="宋体"/>
                <w:sz w:val="16"/>
              </w:rPr>
              <w:t>—</w:t>
            </w:r>
          </w:p>
        </w:tc>
      </w:tr>
      <w:tr w14:paraId="0B497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AB7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48CF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16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2B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0E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A1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A6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29A8">
            <w:pPr>
              <w:jc w:val="center"/>
            </w:pPr>
            <w:r>
              <w:rPr>
                <w:rFonts w:ascii="宋体" w:hAnsi="宋体" w:eastAsia="宋体"/>
                <w:sz w:val="16"/>
              </w:rPr>
              <w:t>—</w:t>
            </w:r>
          </w:p>
        </w:tc>
      </w:tr>
      <w:tr w14:paraId="6AD951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1D10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8BF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961D2">
            <w:pPr>
              <w:jc w:val="center"/>
            </w:pPr>
            <w:r>
              <w:rPr>
                <w:rFonts w:ascii="宋体" w:hAnsi="宋体" w:eastAsia="宋体"/>
                <w:sz w:val="16"/>
              </w:rPr>
              <w:t>实际完成目标</w:t>
            </w:r>
          </w:p>
        </w:tc>
      </w:tr>
      <w:tr w14:paraId="729CD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C812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35E5C">
            <w:pPr>
              <w:jc w:val="both"/>
            </w:pPr>
            <w:r>
              <w:rPr>
                <w:rFonts w:ascii="宋体" w:hAnsi="宋体" w:eastAsia="宋体"/>
                <w:sz w:val="16"/>
              </w:rPr>
              <w:t>坚持以习近平新时代中国特色社会主义思想为指导，深入贯彻落实党的十九大和</w:t>
            </w:r>
            <w:r>
              <w:rPr>
                <w:rFonts w:hint="eastAsia" w:ascii="宋体" w:hAnsi="宋体"/>
                <w:sz w:val="16"/>
                <w:lang w:eastAsia="zh-CN"/>
              </w:rPr>
              <w:t>党的十九届历次全会精神</w:t>
            </w:r>
            <w:r>
              <w:rPr>
                <w:rFonts w:ascii="宋体" w:hAnsi="宋体" w:eastAsia="宋体"/>
                <w:sz w:val="16"/>
              </w:rPr>
              <w:t>，党的二十大精神，第三次中央新疆工作座谈会精神、中央统战工作会议精神、中央民族工作会议精神、全国</w:t>
            </w:r>
            <w:r>
              <w:rPr>
                <w:rFonts w:hint="eastAsia" w:ascii="宋体" w:hAnsi="宋体"/>
                <w:sz w:val="16"/>
                <w:lang w:eastAsia="zh-CN"/>
              </w:rPr>
              <w:t>ZJ</w:t>
            </w:r>
            <w:r>
              <w:rPr>
                <w:rFonts w:ascii="宋体" w:hAnsi="宋体" w:eastAsia="宋体"/>
                <w:sz w:val="16"/>
              </w:rPr>
              <w:t>工作会议精神以及自治区党委、地委相关会议精神，以铸牢中华民族共同体意识为主线，推进新时代党的民族工作高质量发展，全力以赴巩固国家级民族团结进步示范县创建成果，始终坚持新疆伊斯兰教中国化方向，积极引导</w:t>
            </w:r>
            <w:r>
              <w:rPr>
                <w:rFonts w:hint="eastAsia" w:ascii="宋体" w:hAnsi="宋体"/>
                <w:sz w:val="16"/>
                <w:lang w:eastAsia="zh-CN"/>
              </w:rPr>
              <w:t>ZJ</w:t>
            </w:r>
            <w:r>
              <w:rPr>
                <w:rFonts w:ascii="宋体" w:hAnsi="宋体" w:eastAsia="宋体"/>
                <w:sz w:val="16"/>
              </w:rPr>
              <w:t>和社会主义社会相适应，实现</w:t>
            </w:r>
            <w:r>
              <w:rPr>
                <w:rFonts w:hint="eastAsia" w:ascii="宋体" w:hAnsi="宋体"/>
                <w:sz w:val="16"/>
                <w:lang w:eastAsia="zh-CN"/>
              </w:rPr>
              <w:t>ZJ</w:t>
            </w:r>
            <w:r>
              <w:rPr>
                <w:rFonts w:ascii="宋体" w:hAnsi="宋体" w:eastAsia="宋体"/>
                <w:sz w:val="16"/>
              </w:rPr>
              <w:t>健康发展，确保了</w:t>
            </w:r>
            <w:r>
              <w:rPr>
                <w:rFonts w:hint="eastAsia" w:ascii="宋体" w:hAnsi="宋体"/>
                <w:sz w:val="16"/>
                <w:lang w:eastAsia="zh-CN"/>
              </w:rPr>
              <w:t>ZJ</w:t>
            </w:r>
            <w:r>
              <w:rPr>
                <w:rFonts w:ascii="宋体" w:hAnsi="宋体" w:eastAsia="宋体"/>
                <w:sz w:val="16"/>
              </w:rPr>
              <w:t>和睦和顺，民族团结和谐，社会大局稳定。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3014CD">
            <w:pPr>
              <w:jc w:val="both"/>
            </w:pPr>
            <w:r>
              <w:rPr>
                <w:rFonts w:ascii="宋体" w:hAnsi="宋体" w:eastAsia="宋体"/>
                <w:sz w:val="16"/>
              </w:rPr>
              <w:t>坚持以习近平新时代中国特色社会主义思想为指导，深入贯彻落实党的十九大和</w:t>
            </w:r>
            <w:r>
              <w:rPr>
                <w:rFonts w:hint="eastAsia" w:ascii="宋体" w:hAnsi="宋体"/>
                <w:sz w:val="16"/>
                <w:lang w:eastAsia="zh-CN"/>
              </w:rPr>
              <w:t>党的十九届历次全会精神</w:t>
            </w:r>
            <w:r>
              <w:rPr>
                <w:rFonts w:ascii="宋体" w:hAnsi="宋体" w:eastAsia="宋体"/>
                <w:sz w:val="16"/>
              </w:rPr>
              <w:t>，党的二十大精神，第三次中央新疆工作座谈会精神、中央统战工作会议精神、中央民族工作会议精神、全国</w:t>
            </w:r>
            <w:r>
              <w:rPr>
                <w:rFonts w:hint="eastAsia" w:ascii="宋体" w:hAnsi="宋体"/>
                <w:sz w:val="16"/>
                <w:lang w:eastAsia="zh-CN"/>
              </w:rPr>
              <w:t>ZJ</w:t>
            </w:r>
            <w:r>
              <w:rPr>
                <w:rFonts w:ascii="宋体" w:hAnsi="宋体" w:eastAsia="宋体"/>
                <w:sz w:val="16"/>
              </w:rPr>
              <w:t>工作会议精神以及自治区党委、地委相关会议精神，以铸牢中华民族共同体意识为主线，推进新时代党的民族工作高质量发展，全力以赴巩固国家级民族团结进步示范县创建成果，始终坚持新疆伊斯兰教中国化方向，积极引导</w:t>
            </w:r>
            <w:r>
              <w:rPr>
                <w:rFonts w:hint="eastAsia" w:ascii="宋体" w:hAnsi="宋体"/>
                <w:sz w:val="16"/>
                <w:lang w:eastAsia="zh-CN"/>
              </w:rPr>
              <w:t>ZJ</w:t>
            </w:r>
            <w:r>
              <w:rPr>
                <w:rFonts w:ascii="宋体" w:hAnsi="宋体" w:eastAsia="宋体"/>
                <w:sz w:val="16"/>
              </w:rPr>
              <w:t>和社会主义社会相适应，实现</w:t>
            </w:r>
            <w:r>
              <w:rPr>
                <w:rFonts w:hint="eastAsia" w:ascii="宋体" w:hAnsi="宋体"/>
                <w:sz w:val="16"/>
                <w:lang w:eastAsia="zh-CN"/>
              </w:rPr>
              <w:t>ZJ</w:t>
            </w:r>
            <w:r>
              <w:rPr>
                <w:rFonts w:ascii="宋体" w:hAnsi="宋体" w:eastAsia="宋体"/>
                <w:sz w:val="16"/>
              </w:rPr>
              <w:t>健康发展，确保了</w:t>
            </w:r>
            <w:r>
              <w:rPr>
                <w:rFonts w:hint="eastAsia" w:ascii="宋体" w:hAnsi="宋体"/>
                <w:sz w:val="16"/>
                <w:lang w:eastAsia="zh-CN"/>
              </w:rPr>
              <w:t>ZJ</w:t>
            </w:r>
            <w:r>
              <w:rPr>
                <w:rFonts w:ascii="宋体" w:hAnsi="宋体" w:eastAsia="宋体"/>
                <w:sz w:val="16"/>
              </w:rPr>
              <w:t>和睦和顺，民族团结和谐，社会大局稳定。2024年具体完成的重要工作有：开展中华儿女一家亲活动专题会议次数12次，上报中华儿女一家亲活动信息次数12次，全年推进伊斯兰教中国化工作培训次数2次，开展统战系统各类培训活动次数12次，开展去极端化整治活动次数12次。</w:t>
            </w:r>
          </w:p>
        </w:tc>
      </w:tr>
      <w:tr w14:paraId="1E7493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DE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DA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9A6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2CA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ABA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661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90D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57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65C0">
            <w:pPr>
              <w:jc w:val="center"/>
            </w:pPr>
            <w:r>
              <w:rPr>
                <w:rFonts w:ascii="宋体" w:hAnsi="宋体" w:eastAsia="宋体"/>
                <w:sz w:val="16"/>
              </w:rPr>
              <w:t>得分</w:t>
            </w:r>
          </w:p>
        </w:tc>
      </w:tr>
      <w:tr w14:paraId="7D3D5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1D16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E91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10133">
            <w:pPr>
              <w:jc w:val="center"/>
            </w:pPr>
            <w:r>
              <w:rPr>
                <w:rFonts w:ascii="宋体" w:hAnsi="宋体" w:eastAsia="宋体"/>
                <w:sz w:val="16"/>
              </w:rPr>
              <w:t>中华儿女一家亲活动专题会议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3C36">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F4BD0">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08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CE5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630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F64E">
            <w:pPr>
              <w:jc w:val="center"/>
            </w:pPr>
            <w:r>
              <w:rPr>
                <w:rFonts w:ascii="宋体" w:hAnsi="宋体" w:eastAsia="宋体"/>
                <w:sz w:val="16"/>
              </w:rPr>
              <w:t>20</w:t>
            </w:r>
          </w:p>
        </w:tc>
      </w:tr>
      <w:tr w14:paraId="18E2E7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ED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33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0965">
            <w:pPr>
              <w:jc w:val="center"/>
            </w:pPr>
            <w:r>
              <w:rPr>
                <w:rFonts w:ascii="宋体" w:hAnsi="宋体" w:eastAsia="宋体"/>
                <w:sz w:val="16"/>
              </w:rPr>
              <w:t>上报中华儿女一家亲活动信息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46A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670F3">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EA7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AB5D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D26D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8117">
            <w:pPr>
              <w:jc w:val="center"/>
            </w:pPr>
            <w:r>
              <w:rPr>
                <w:rFonts w:ascii="宋体" w:hAnsi="宋体" w:eastAsia="宋体"/>
                <w:sz w:val="16"/>
              </w:rPr>
              <w:t>20</w:t>
            </w:r>
          </w:p>
        </w:tc>
      </w:tr>
      <w:tr w14:paraId="322A72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7CA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E9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A55E">
            <w:pPr>
              <w:jc w:val="center"/>
            </w:pPr>
            <w:r>
              <w:rPr>
                <w:rFonts w:hint="eastAsia" w:ascii="宋体" w:hAnsi="宋体"/>
                <w:sz w:val="16"/>
                <w:lang w:eastAsia="zh-CN"/>
              </w:rPr>
              <w:t>全面</w:t>
            </w:r>
            <w:r>
              <w:rPr>
                <w:rFonts w:ascii="宋体" w:hAnsi="宋体" w:eastAsia="宋体"/>
                <w:sz w:val="16"/>
              </w:rPr>
              <w:t>推进伊斯兰教中国化工作培训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5BF5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644D">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ED0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59A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197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D2C6">
            <w:pPr>
              <w:jc w:val="center"/>
            </w:pPr>
            <w:r>
              <w:rPr>
                <w:rFonts w:ascii="宋体" w:hAnsi="宋体" w:eastAsia="宋体"/>
                <w:sz w:val="16"/>
              </w:rPr>
              <w:t>20</w:t>
            </w:r>
          </w:p>
        </w:tc>
      </w:tr>
      <w:tr w14:paraId="01425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27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A96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DB296">
            <w:pPr>
              <w:jc w:val="center"/>
            </w:pPr>
            <w:r>
              <w:rPr>
                <w:rFonts w:ascii="宋体" w:hAnsi="宋体" w:eastAsia="宋体"/>
                <w:sz w:val="16"/>
              </w:rPr>
              <w:t>开展统战系统各类培训活动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554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D4C2">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2C9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B0F4">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99A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A1C9C">
            <w:pPr>
              <w:jc w:val="center"/>
            </w:pPr>
            <w:r>
              <w:rPr>
                <w:rFonts w:ascii="宋体" w:hAnsi="宋体" w:eastAsia="宋体"/>
                <w:sz w:val="16"/>
              </w:rPr>
              <w:t>15</w:t>
            </w:r>
          </w:p>
        </w:tc>
      </w:tr>
      <w:tr w14:paraId="3BF36C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2EA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C08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CC42">
            <w:pPr>
              <w:jc w:val="center"/>
            </w:pPr>
            <w:r>
              <w:rPr>
                <w:rFonts w:ascii="宋体" w:hAnsi="宋体" w:eastAsia="宋体"/>
                <w:sz w:val="16"/>
              </w:rPr>
              <w:t>去极端化整治活动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3C01">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57E1F">
            <w:pPr>
              <w:jc w:val="center"/>
            </w:pPr>
            <w:r>
              <w:rPr>
                <w:rFonts w:ascii="宋体" w:hAnsi="宋体" w:eastAsia="宋体"/>
                <w:sz w:val="16"/>
              </w:rPr>
              <w:t>2024年重点工作计划（计划涉密）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715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2626">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3F4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03C7">
            <w:pPr>
              <w:jc w:val="center"/>
            </w:pPr>
            <w:r>
              <w:rPr>
                <w:rFonts w:ascii="宋体" w:hAnsi="宋体" w:eastAsia="宋体"/>
                <w:sz w:val="16"/>
              </w:rPr>
              <w:t>15</w:t>
            </w:r>
          </w:p>
        </w:tc>
      </w:tr>
    </w:tbl>
    <w:p w14:paraId="081FD0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722"/>
        <w:gridCol w:w="542"/>
        <w:gridCol w:w="102"/>
        <w:gridCol w:w="229"/>
        <w:gridCol w:w="301"/>
        <w:gridCol w:w="632"/>
        <w:gridCol w:w="632"/>
        <w:gridCol w:w="632"/>
        <w:gridCol w:w="563"/>
        <w:gridCol w:w="701"/>
        <w:gridCol w:w="632"/>
      </w:tblGrid>
      <w:tr w14:paraId="726D4A6B">
        <w:tblPrEx>
          <w:tblCellMar>
            <w:top w:w="0" w:type="dxa"/>
            <w:left w:w="108" w:type="dxa"/>
            <w:bottom w:w="0" w:type="dxa"/>
            <w:right w:w="108" w:type="dxa"/>
          </w:tblCellMar>
        </w:tblPrEx>
        <w:tc>
          <w:tcPr>
            <w:tcW w:w="8912" w:type="dxa"/>
            <w:gridSpan w:val="16"/>
            <w:vAlign w:val="center"/>
          </w:tcPr>
          <w:p w14:paraId="72C13C37">
            <w:pPr>
              <w:jc w:val="center"/>
            </w:pPr>
            <w:r>
              <w:rPr>
                <w:rFonts w:ascii="宋体" w:hAnsi="宋体" w:eastAsia="宋体"/>
                <w:sz w:val="24"/>
              </w:rPr>
              <w:t>项目支出绩效自评表</w:t>
            </w:r>
          </w:p>
        </w:tc>
      </w:tr>
      <w:tr w14:paraId="770D09EF">
        <w:tblPrEx>
          <w:tblCellMar>
            <w:top w:w="0" w:type="dxa"/>
            <w:left w:w="108" w:type="dxa"/>
            <w:bottom w:w="0" w:type="dxa"/>
            <w:right w:w="108" w:type="dxa"/>
          </w:tblCellMar>
        </w:tblPrEx>
        <w:tc>
          <w:tcPr>
            <w:tcW w:w="8912" w:type="dxa"/>
            <w:gridSpan w:val="16"/>
            <w:vAlign w:val="center"/>
          </w:tcPr>
          <w:p w14:paraId="469030BC">
            <w:pPr>
              <w:jc w:val="center"/>
            </w:pPr>
            <w:r>
              <w:rPr>
                <w:rFonts w:ascii="宋体" w:hAnsi="宋体" w:eastAsia="宋体"/>
                <w:sz w:val="24"/>
              </w:rPr>
              <w:t>(2024年度)</w:t>
            </w:r>
          </w:p>
        </w:tc>
      </w:tr>
      <w:tr w14:paraId="10126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3D1F">
            <w:pPr>
              <w:jc w:val="center"/>
            </w:pPr>
            <w:r>
              <w:rPr>
                <w:rFonts w:ascii="宋体" w:hAnsi="宋体" w:eastAsia="宋体"/>
                <w:sz w:val="16"/>
              </w:rPr>
              <w:t>项目名称</w:t>
            </w:r>
          </w:p>
        </w:tc>
        <w:tc>
          <w:tcPr>
            <w:tcW w:w="8280"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672EDCCA">
            <w:pPr>
              <w:jc w:val="center"/>
            </w:pPr>
            <w:r>
              <w:rPr>
                <w:rFonts w:ascii="宋体" w:hAnsi="宋体" w:eastAsia="宋体"/>
                <w:sz w:val="16"/>
              </w:rPr>
              <w:t>2024年为民办实事工作经费</w:t>
            </w:r>
          </w:p>
        </w:tc>
      </w:tr>
      <w:tr w14:paraId="13CCCF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999B">
            <w:pPr>
              <w:jc w:val="center"/>
            </w:pPr>
            <w:r>
              <w:rPr>
                <w:rFonts w:ascii="宋体" w:hAnsi="宋体" w:eastAsia="宋体"/>
                <w:sz w:val="16"/>
              </w:rPr>
              <w:t>主管部门</w:t>
            </w:r>
          </w:p>
        </w:tc>
        <w:tc>
          <w:tcPr>
            <w:tcW w:w="44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13DB6FC">
            <w:pPr>
              <w:jc w:val="center"/>
            </w:pPr>
            <w:r>
              <w:rPr>
                <w:rFonts w:ascii="宋体" w:hAnsi="宋体" w:eastAsia="宋体"/>
                <w:sz w:val="16"/>
              </w:rPr>
              <w:t>中共塔什库尔干塔吉克自治县委员会统战部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EB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8BBE3">
            <w:pPr>
              <w:jc w:val="center"/>
            </w:pPr>
            <w:r>
              <w:rPr>
                <w:rFonts w:ascii="宋体" w:hAnsi="宋体" w:eastAsia="宋体"/>
                <w:sz w:val="16"/>
              </w:rPr>
              <w:t>中共塔什库尔干塔吉克自治县委员会统战部</w:t>
            </w:r>
          </w:p>
        </w:tc>
      </w:tr>
      <w:tr w14:paraId="325ACB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3F5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50FB">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F7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92C4">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C3EC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7C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15E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FED1">
            <w:pPr>
              <w:jc w:val="center"/>
            </w:pPr>
            <w:r>
              <w:rPr>
                <w:rFonts w:ascii="宋体" w:hAnsi="宋体" w:eastAsia="宋体"/>
                <w:sz w:val="16"/>
              </w:rPr>
              <w:t>得分</w:t>
            </w:r>
          </w:p>
        </w:tc>
      </w:tr>
      <w:tr w14:paraId="36FE7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638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5BB6">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8A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D503">
            <w:pPr>
              <w:jc w:val="center"/>
            </w:pPr>
            <w:r>
              <w:rPr>
                <w:rFonts w:ascii="宋体" w:hAnsi="宋体" w:eastAsia="宋体"/>
                <w:sz w:val="16"/>
              </w:rPr>
              <w:t>10.00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49BA3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A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84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F39">
            <w:pPr>
              <w:jc w:val="center"/>
            </w:pPr>
            <w:r>
              <w:rPr>
                <w:rFonts w:ascii="宋体" w:hAnsi="宋体" w:eastAsia="宋体"/>
                <w:sz w:val="16"/>
              </w:rPr>
              <w:t>10.00分</w:t>
            </w:r>
          </w:p>
        </w:tc>
      </w:tr>
      <w:tr w14:paraId="291E7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EE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155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CFC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3E50">
            <w:pPr>
              <w:jc w:val="center"/>
            </w:pPr>
            <w:r>
              <w:rPr>
                <w:rFonts w:ascii="宋体" w:hAnsi="宋体" w:eastAsia="宋体"/>
                <w:sz w:val="16"/>
              </w:rPr>
              <w:t>10.00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111DD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9D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2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F63">
            <w:pPr>
              <w:jc w:val="center"/>
            </w:pPr>
            <w:r>
              <w:rPr>
                <w:rFonts w:ascii="宋体" w:hAnsi="宋体" w:eastAsia="宋体"/>
                <w:sz w:val="16"/>
              </w:rPr>
              <w:t>—</w:t>
            </w:r>
          </w:p>
        </w:tc>
      </w:tr>
      <w:tr w14:paraId="0EC37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2C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ACBF">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3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3DDCD">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E17D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F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D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1A99">
            <w:pPr>
              <w:jc w:val="center"/>
            </w:pPr>
            <w:r>
              <w:rPr>
                <w:rFonts w:ascii="宋体" w:hAnsi="宋体" w:eastAsia="宋体"/>
                <w:sz w:val="16"/>
              </w:rPr>
              <w:t>—</w:t>
            </w:r>
          </w:p>
        </w:tc>
      </w:tr>
      <w:tr w14:paraId="160B4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907BF">
            <w:pPr>
              <w:jc w:val="center"/>
            </w:pPr>
            <w:r>
              <w:rPr>
                <w:rFonts w:ascii="宋体" w:hAnsi="宋体" w:eastAsia="宋体"/>
                <w:sz w:val="16"/>
              </w:rPr>
              <w:t>三、目标完成情况</w:t>
            </w:r>
          </w:p>
        </w:tc>
        <w:tc>
          <w:tcPr>
            <w:tcW w:w="418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5D76E1">
            <w:pPr>
              <w:jc w:val="center"/>
            </w:pPr>
            <w:r>
              <w:rPr>
                <w:rFonts w:ascii="宋体" w:hAnsi="宋体" w:eastAsia="宋体"/>
                <w:sz w:val="16"/>
              </w:rPr>
              <w:t>预期目标</w:t>
            </w:r>
          </w:p>
        </w:tc>
        <w:tc>
          <w:tcPr>
            <w:tcW w:w="409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45AB3">
            <w:pPr>
              <w:jc w:val="center"/>
            </w:pPr>
            <w:r>
              <w:rPr>
                <w:rFonts w:ascii="宋体" w:hAnsi="宋体" w:eastAsia="宋体"/>
                <w:sz w:val="16"/>
              </w:rPr>
              <w:t>实际完成情况</w:t>
            </w:r>
          </w:p>
        </w:tc>
      </w:tr>
      <w:tr w14:paraId="6F907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08A0"/>
        </w:tc>
        <w:tc>
          <w:tcPr>
            <w:tcW w:w="418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F82820">
            <w:pPr>
              <w:jc w:val="both"/>
            </w:pPr>
            <w:r>
              <w:rPr>
                <w:rFonts w:ascii="宋体" w:hAnsi="宋体" w:eastAsia="宋体"/>
                <w:sz w:val="16"/>
              </w:rPr>
              <w:t>2024年为民办实事工作经费用于访贫问苦、改善民生、支持村级产业发展、开展农牧民就业培训、补充村级组织工作经费等。</w:t>
            </w:r>
          </w:p>
        </w:tc>
        <w:tc>
          <w:tcPr>
            <w:tcW w:w="409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BD1C1">
            <w:pPr>
              <w:jc w:val="both"/>
            </w:pPr>
            <w:r>
              <w:rPr>
                <w:rFonts w:ascii="宋体" w:hAnsi="宋体" w:eastAsia="宋体"/>
                <w:sz w:val="16"/>
              </w:rPr>
              <w:t>本项目实际完成投资10万元，主要用于为</w:t>
            </w:r>
            <w:r>
              <w:rPr>
                <w:rFonts w:hint="eastAsia" w:ascii="宋体" w:hAnsi="宋体"/>
                <w:sz w:val="16"/>
                <w:lang w:eastAsia="zh-CN"/>
              </w:rPr>
              <w:t>塔什库尔干塔吉克自治县</w:t>
            </w:r>
            <w:r>
              <w:rPr>
                <w:rFonts w:ascii="宋体" w:hAnsi="宋体" w:eastAsia="宋体"/>
                <w:sz w:val="16"/>
              </w:rPr>
              <w:t>委统战部包联的塔合曼乡拜什库尔干村</w:t>
            </w:r>
            <w:r>
              <w:rPr>
                <w:rFonts w:hint="eastAsia" w:ascii="宋体" w:hAnsi="宋体"/>
                <w:sz w:val="16"/>
                <w:lang w:eastAsia="zh-CN"/>
              </w:rPr>
              <w:t>为民办实事</w:t>
            </w:r>
            <w:r>
              <w:rPr>
                <w:rFonts w:ascii="宋体" w:hAnsi="宋体" w:eastAsia="宋体"/>
                <w:sz w:val="16"/>
              </w:rPr>
              <w:t>工作队为民办实事访贫问苦、改善民生、支持村级产业发展、</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提供保障和用于开展村民自治活动、群众性文化演出活动和群众表彰活动等村级组织工作经费。经费支付合规率达100%，经费支出及时率达100%，项目的实施有效解决了民生问题，缩小了贫富差距，促进了社会资源的公平分配；通过积极主动地为民众解决问题，展现了政府的责任担当和高效服务，提升了政府在民众心中的形象和公信力。使</w:t>
            </w:r>
            <w:r>
              <w:rPr>
                <w:rFonts w:hint="eastAsia" w:ascii="宋体" w:hAnsi="宋体"/>
                <w:sz w:val="16"/>
                <w:lang w:eastAsia="zh-CN"/>
              </w:rPr>
              <w:t>为民办实事</w:t>
            </w:r>
            <w:r>
              <w:rPr>
                <w:rFonts w:ascii="宋体" w:hAnsi="宋体" w:eastAsia="宋体"/>
                <w:sz w:val="16"/>
              </w:rPr>
              <w:t>工作队人员满意度达到了100%，受益群众满意度达到了100%。</w:t>
            </w:r>
          </w:p>
        </w:tc>
      </w:tr>
      <w:tr w14:paraId="5DFC0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7F5A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24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1CC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4B0C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A10A">
            <w:pPr>
              <w:jc w:val="center"/>
            </w:pPr>
            <w:r>
              <w:rPr>
                <w:rFonts w:ascii="宋体" w:hAnsi="宋体" w:eastAsia="宋体"/>
                <w:sz w:val="16"/>
              </w:rPr>
              <w:t>年度指标值</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28A14336">
            <w:pPr>
              <w:jc w:val="center"/>
            </w:pPr>
            <w:r>
              <w:rPr>
                <w:rFonts w:ascii="宋体" w:hAnsi="宋体" w:eastAsia="宋体"/>
                <w:sz w:val="16"/>
              </w:rPr>
              <w:t>指标值设定依据</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9302">
            <w:pPr>
              <w:jc w:val="center"/>
            </w:pPr>
            <w:r>
              <w:rPr>
                <w:rFonts w:ascii="宋体" w:hAnsi="宋体" w:eastAsia="宋体"/>
                <w:sz w:val="16"/>
              </w:rPr>
              <w:t>上年完成情况</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4F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9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8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1095">
            <w:pPr>
              <w:jc w:val="center"/>
            </w:pPr>
            <w:r>
              <w:rPr>
                <w:rFonts w:ascii="宋体" w:hAnsi="宋体" w:eastAsia="宋体"/>
                <w:sz w:val="16"/>
              </w:rPr>
              <w:t>实际完成值</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1E3D8627">
            <w:pPr>
              <w:jc w:val="center"/>
            </w:pPr>
            <w:r>
              <w:rPr>
                <w:rFonts w:ascii="宋体" w:hAnsi="宋体" w:eastAsia="宋体"/>
                <w:sz w:val="16"/>
              </w:rPr>
              <w:t>得分</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F4AA">
            <w:pPr>
              <w:jc w:val="center"/>
            </w:pPr>
            <w:r>
              <w:rPr>
                <w:rFonts w:ascii="宋体" w:hAnsi="宋体" w:eastAsia="宋体"/>
                <w:sz w:val="16"/>
              </w:rPr>
              <w:t>偏差原因分析及改进措施</w:t>
            </w:r>
          </w:p>
        </w:tc>
      </w:tr>
      <w:tr w14:paraId="5183B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66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F27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1D8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FEEFC9">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977">
            <w:pPr>
              <w:jc w:val="center"/>
            </w:pPr>
            <w:r>
              <w:rPr>
                <w:rFonts w:ascii="宋体" w:hAnsi="宋体" w:eastAsia="宋体"/>
                <w:sz w:val="16"/>
              </w:rPr>
              <w:t>&gt;=1个</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9E8A80B">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F764">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F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D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B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0189">
            <w:pPr>
              <w:jc w:val="center"/>
            </w:pPr>
            <w:r>
              <w:rPr>
                <w:rFonts w:ascii="宋体" w:hAnsi="宋体" w:eastAsia="宋体"/>
                <w:sz w:val="16"/>
              </w:rPr>
              <w:t>=1个</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6608CE89">
            <w:pPr>
              <w:jc w:val="center"/>
            </w:pPr>
            <w:r>
              <w:rPr>
                <w:rFonts w:ascii="宋体" w:hAnsi="宋体" w:eastAsia="宋体"/>
                <w:sz w:val="16"/>
              </w:rPr>
              <w:t>10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A1F5">
            <w:pPr>
              <w:jc w:val="center"/>
            </w:pPr>
          </w:p>
        </w:tc>
      </w:tr>
      <w:tr w14:paraId="66D53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C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E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208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B4C43A">
            <w:pPr>
              <w:jc w:val="center"/>
            </w:pPr>
            <w:r>
              <w:rPr>
                <w:rFonts w:ascii="宋体" w:hAnsi="宋体" w:eastAsia="宋体"/>
                <w:sz w:val="16"/>
              </w:rPr>
              <w:t>经费支付合规率（%）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5559">
            <w:pPr>
              <w:jc w:val="center"/>
            </w:pPr>
            <w:r>
              <w:rPr>
                <w:rFonts w:ascii="宋体" w:hAnsi="宋体" w:eastAsia="宋体"/>
                <w:sz w:val="16"/>
              </w:rPr>
              <w:t>=100%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323B4D4">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E450">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7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ED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5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0366">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9E653EC">
            <w:pPr>
              <w:jc w:val="center"/>
            </w:pPr>
            <w:r>
              <w:rPr>
                <w:rFonts w:ascii="宋体" w:hAnsi="宋体" w:eastAsia="宋体"/>
                <w:sz w:val="16"/>
              </w:rPr>
              <w:t>10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7E43">
            <w:pPr>
              <w:jc w:val="center"/>
            </w:pPr>
          </w:p>
        </w:tc>
      </w:tr>
      <w:tr w14:paraId="46814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7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A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238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0863D6">
            <w:pPr>
              <w:jc w:val="center"/>
            </w:pPr>
            <w:r>
              <w:rPr>
                <w:rFonts w:ascii="宋体" w:hAnsi="宋体" w:eastAsia="宋体"/>
                <w:sz w:val="16"/>
              </w:rPr>
              <w:t>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1379">
            <w:pPr>
              <w:jc w:val="center"/>
            </w:pPr>
            <w:r>
              <w:rPr>
                <w:rFonts w:ascii="宋体" w:hAnsi="宋体" w:eastAsia="宋体"/>
                <w:sz w:val="16"/>
              </w:rPr>
              <w:t>=100%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4019190">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467C">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AF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1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4E22">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7B3495D6">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A2D0">
            <w:pPr>
              <w:jc w:val="center"/>
            </w:pPr>
          </w:p>
        </w:tc>
      </w:tr>
      <w:tr w14:paraId="66537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1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B9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014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BA9A3C">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8C43">
            <w:pPr>
              <w:jc w:val="center"/>
            </w:pPr>
            <w:r>
              <w:rPr>
                <w:rFonts w:ascii="宋体" w:hAnsi="宋体" w:eastAsia="宋体"/>
                <w:sz w:val="16"/>
              </w:rPr>
              <w:t>&lt;=10万元</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44E9B13">
            <w:pPr>
              <w:jc w:val="center"/>
            </w:pPr>
            <w:r>
              <w:rPr>
                <w:rFonts w:ascii="宋体" w:hAnsi="宋体" w:eastAsia="宋体"/>
                <w:sz w:val="16"/>
              </w:rPr>
              <w:t>预算支出标准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16A08">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DBD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2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6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A01F">
            <w:pPr>
              <w:jc w:val="center"/>
            </w:pPr>
            <w:r>
              <w:rPr>
                <w:rFonts w:ascii="宋体" w:hAnsi="宋体" w:eastAsia="宋体"/>
                <w:sz w:val="16"/>
              </w:rPr>
              <w:t>=10万元</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3BC1602">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39907">
            <w:pPr>
              <w:jc w:val="center"/>
            </w:pPr>
          </w:p>
        </w:tc>
      </w:tr>
      <w:tr w14:paraId="3FC24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5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BF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81A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423D29">
            <w:pPr>
              <w:jc w:val="center"/>
            </w:pPr>
            <w:r>
              <w:rPr>
                <w:rFonts w:ascii="宋体" w:hAnsi="宋体" w:eastAsia="宋体"/>
                <w:sz w:val="16"/>
              </w:rPr>
              <w:t>有效解决民生问题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0303">
            <w:pPr>
              <w:jc w:val="center"/>
            </w:pPr>
            <w:r>
              <w:rPr>
                <w:rFonts w:ascii="宋体" w:hAnsi="宋体" w:eastAsia="宋体"/>
                <w:sz w:val="16"/>
              </w:rPr>
              <w:t>有效解决</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3704112C">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C765">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4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EF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B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C47">
            <w:pPr>
              <w:jc w:val="center"/>
            </w:pPr>
            <w:r>
              <w:rPr>
                <w:rFonts w:ascii="宋体" w:hAnsi="宋体" w:eastAsia="宋体"/>
                <w:sz w:val="16"/>
              </w:rPr>
              <w:t>有效解决</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52735CFB">
            <w:pPr>
              <w:jc w:val="center"/>
            </w:pPr>
            <w:r>
              <w:rPr>
                <w:rFonts w:ascii="宋体" w:hAnsi="宋体" w:eastAsia="宋体"/>
                <w:sz w:val="16"/>
              </w:rPr>
              <w:t>20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2972">
            <w:pPr>
              <w:jc w:val="center"/>
            </w:pPr>
          </w:p>
        </w:tc>
      </w:tr>
      <w:tr w14:paraId="2B22B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2E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7175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0C24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2E041B">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BBF6">
            <w:pPr>
              <w:jc w:val="center"/>
            </w:pPr>
            <w:r>
              <w:rPr>
                <w:rFonts w:ascii="宋体" w:hAnsi="宋体" w:eastAsia="宋体"/>
                <w:sz w:val="16"/>
              </w:rPr>
              <w:t>&gt;=98%</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98850D4">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F0A35">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F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3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A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8141">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2B6389BF">
            <w:pPr>
              <w:jc w:val="center"/>
            </w:pPr>
            <w:r>
              <w:rPr>
                <w:rFonts w:ascii="宋体" w:hAnsi="宋体" w:eastAsia="宋体"/>
                <w:sz w:val="16"/>
              </w:rPr>
              <w:t>5</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E7BF">
            <w:pPr>
              <w:jc w:val="center"/>
            </w:pPr>
            <w:r>
              <w:rPr>
                <w:rFonts w:ascii="宋体" w:hAnsi="宋体" w:eastAsia="宋体"/>
                <w:sz w:val="16"/>
              </w:rPr>
              <w:t>偏差原因分析：项目完成情况较好，实际</w:t>
            </w:r>
            <w:r>
              <w:rPr>
                <w:rFonts w:hint="eastAsia" w:ascii="宋体" w:hAnsi="宋体"/>
                <w:sz w:val="16"/>
                <w:lang w:eastAsia="zh-CN"/>
              </w:rPr>
              <w:t>为民办实事</w:t>
            </w:r>
            <w:r>
              <w:rPr>
                <w:rFonts w:ascii="宋体" w:hAnsi="宋体" w:eastAsia="宋体"/>
                <w:sz w:val="16"/>
              </w:rPr>
              <w:t>工作队人员满意度较高，所以指标</w:t>
            </w:r>
            <w:r>
              <w:rPr>
                <w:rFonts w:hint="eastAsia" w:ascii="宋体" w:hAnsi="宋体"/>
                <w:sz w:val="16"/>
                <w:lang w:eastAsia="zh-CN"/>
              </w:rPr>
              <w:t>出现</w:t>
            </w:r>
            <w:r>
              <w:rPr>
                <w:rFonts w:ascii="宋体" w:hAnsi="宋体" w:eastAsia="宋体"/>
                <w:sz w:val="16"/>
              </w:rPr>
              <w:t>偏差。改进措施：基于当前良好表现，重新审视绩效目标，在以后绩效目标设置时设置更具挑战性的目标，以推动业务持续发展。</w:t>
            </w:r>
          </w:p>
        </w:tc>
      </w:tr>
      <w:tr w14:paraId="29D96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EA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3B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AE84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3DA6F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6C1B">
            <w:pPr>
              <w:jc w:val="center"/>
            </w:pPr>
            <w:r>
              <w:rPr>
                <w:rFonts w:ascii="宋体" w:hAnsi="宋体" w:eastAsia="宋体"/>
                <w:sz w:val="16"/>
              </w:rPr>
              <w:t>&gt;=98%</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4C614BCE">
            <w:pPr>
              <w:jc w:val="center"/>
            </w:pPr>
            <w:r>
              <w:rPr>
                <w:rFonts w:ascii="宋体" w:hAnsi="宋体" w:eastAsia="宋体"/>
                <w:sz w:val="16"/>
              </w:rPr>
              <w:t>计划标准</w:t>
            </w:r>
          </w:p>
        </w:tc>
        <w:tc>
          <w:tcPr>
            <w:tcW w:w="6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478A">
            <w:pPr>
              <w:jc w:val="center"/>
            </w:pPr>
            <w:r>
              <w:rPr>
                <w:rFonts w:ascii="宋体" w:hAnsi="宋体" w:eastAsia="宋体"/>
                <w:sz w:val="16"/>
              </w:rPr>
              <w:t>新增项目</w:t>
            </w:r>
          </w:p>
        </w:tc>
        <w:tc>
          <w:tcPr>
            <w:tcW w:w="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CC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96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B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826">
            <w:pPr>
              <w:jc w:val="center"/>
            </w:pPr>
            <w:r>
              <w:rPr>
                <w:rFonts w:ascii="宋体" w:hAnsi="宋体" w:eastAsia="宋体"/>
                <w:sz w:val="16"/>
              </w:rPr>
              <w:t>=100%</w:t>
            </w:r>
          </w:p>
        </w:tc>
        <w:tc>
          <w:tcPr>
            <w:tcW w:w="563" w:type="dxa"/>
            <w:tcBorders>
              <w:top w:val="single" w:color="auto" w:sz="10" w:space="0"/>
              <w:left w:val="single" w:color="auto" w:sz="10" w:space="0"/>
              <w:bottom w:val="single" w:color="auto" w:sz="10" w:space="0"/>
              <w:right w:val="single" w:color="auto" w:sz="10" w:space="0"/>
              <w:insideV w:val="single" w:sz="10" w:space="0"/>
            </w:tcBorders>
            <w:vAlign w:val="center"/>
          </w:tcPr>
          <w:p w14:paraId="32DC01DA">
            <w:pPr>
              <w:jc w:val="center"/>
            </w:pPr>
            <w:r>
              <w:rPr>
                <w:rFonts w:ascii="宋体" w:hAnsi="宋体" w:eastAsia="宋体"/>
                <w:sz w:val="16"/>
              </w:rPr>
              <w:t>5</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71D5">
            <w:pPr>
              <w:jc w:val="center"/>
            </w:pPr>
            <w:r>
              <w:rPr>
                <w:rFonts w:ascii="宋体" w:hAnsi="宋体" w:eastAsia="宋体"/>
                <w:sz w:val="16"/>
              </w:rPr>
              <w:t>偏差原因分析：项目完成情况较好，受益群众满意度较高，所以指标出现正偏差。改进措施：基于当前良好表现，重新审视绩效目标，在以后绩效目标设置时设置更具挑战性的目标，以推动业务持续发展。</w:t>
            </w:r>
          </w:p>
        </w:tc>
      </w:tr>
      <w:tr w14:paraId="78C42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45AD">
            <w:pPr>
              <w:jc w:val="center"/>
            </w:pPr>
            <w:r>
              <w:rPr>
                <w:rFonts w:ascii="宋体" w:hAnsi="宋体" w:eastAsia="宋体"/>
                <w:sz w:val="16"/>
              </w:rPr>
              <w:t>总分</w:t>
            </w:r>
          </w:p>
        </w:tc>
        <w:tc>
          <w:tcPr>
            <w:tcW w:w="44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B847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D8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A59B2">
            <w:pPr>
              <w:jc w:val="center"/>
            </w:pPr>
            <w:r>
              <w:rPr>
                <w:rFonts w:ascii="宋体" w:hAnsi="宋体" w:eastAsia="宋体"/>
                <w:sz w:val="16"/>
              </w:rPr>
              <w:t>100分</w:t>
            </w:r>
          </w:p>
        </w:tc>
      </w:tr>
    </w:tbl>
    <w:p w14:paraId="1737D5E4">
      <w:r>
        <w:br w:type="page"/>
      </w:r>
    </w:p>
    <w:p w14:paraId="24DEDE32">
      <w:pPr>
        <w:spacing w:line="640" w:lineRule="exact"/>
        <w:ind w:firstLine="640"/>
        <w:jc w:val="both"/>
        <w:outlineLvl w:val="2"/>
      </w:pPr>
      <w:r>
        <w:rPr>
          <w:rFonts w:ascii="黑体" w:hAnsi="黑体" w:eastAsia="黑体"/>
          <w:sz w:val="32"/>
        </w:rPr>
        <w:t>十二、其他需说明的事项</w:t>
      </w:r>
    </w:p>
    <w:p w14:paraId="0E96EEA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D148190">
      <w:r>
        <w:br w:type="page"/>
      </w:r>
    </w:p>
    <w:p w14:paraId="73A0FBAF">
      <w:pPr>
        <w:spacing w:line="240" w:lineRule="auto"/>
        <w:jc w:val="center"/>
        <w:outlineLvl w:val="1"/>
      </w:pPr>
      <w:r>
        <w:rPr>
          <w:rFonts w:ascii="黑体" w:hAnsi="黑体" w:eastAsia="黑体"/>
          <w:sz w:val="32"/>
        </w:rPr>
        <w:t>第三部分 专业名词解释</w:t>
      </w:r>
    </w:p>
    <w:p w14:paraId="226E7B4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2EE6D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5DE10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D92A3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F9B0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291D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DFB7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08F1A0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30CAD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E70F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95A7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034F1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4D98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57D4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C66B10">
      <w:r>
        <w:br w:type="page"/>
      </w:r>
    </w:p>
    <w:p w14:paraId="62695528">
      <w:pPr>
        <w:spacing w:line="240" w:lineRule="auto"/>
        <w:jc w:val="center"/>
        <w:outlineLvl w:val="1"/>
      </w:pPr>
      <w:r>
        <w:rPr>
          <w:rFonts w:ascii="黑体" w:hAnsi="黑体" w:eastAsia="黑体"/>
          <w:sz w:val="32"/>
        </w:rPr>
        <w:t>第四部分 部门决算报表（见附表）</w:t>
      </w:r>
    </w:p>
    <w:p w14:paraId="3ECE4B1B">
      <w:pPr>
        <w:spacing w:line="240" w:lineRule="auto"/>
        <w:ind w:firstLine="640"/>
        <w:jc w:val="both"/>
      </w:pPr>
      <w:r>
        <w:rPr>
          <w:rFonts w:ascii="仿宋_GB2312" w:hAnsi="仿宋_GB2312" w:eastAsia="仿宋_GB2312"/>
          <w:b w:val="0"/>
          <w:sz w:val="32"/>
        </w:rPr>
        <w:t>一、《收入支出决算总表》</w:t>
      </w:r>
    </w:p>
    <w:p w14:paraId="4A38C2AE">
      <w:pPr>
        <w:spacing w:line="240" w:lineRule="auto"/>
        <w:ind w:firstLine="640"/>
        <w:jc w:val="both"/>
      </w:pPr>
      <w:r>
        <w:rPr>
          <w:rFonts w:ascii="仿宋_GB2312" w:hAnsi="仿宋_GB2312" w:eastAsia="仿宋_GB2312"/>
          <w:b w:val="0"/>
          <w:sz w:val="32"/>
        </w:rPr>
        <w:t>二、《收入决算表》</w:t>
      </w:r>
    </w:p>
    <w:p w14:paraId="02E60C30">
      <w:pPr>
        <w:spacing w:line="240" w:lineRule="auto"/>
        <w:ind w:firstLine="640"/>
        <w:jc w:val="both"/>
      </w:pPr>
      <w:r>
        <w:rPr>
          <w:rFonts w:ascii="仿宋_GB2312" w:hAnsi="仿宋_GB2312" w:eastAsia="仿宋_GB2312"/>
          <w:b w:val="0"/>
          <w:sz w:val="32"/>
        </w:rPr>
        <w:t>三、《支出决算表》</w:t>
      </w:r>
    </w:p>
    <w:p w14:paraId="36809CD4">
      <w:pPr>
        <w:spacing w:line="240" w:lineRule="auto"/>
        <w:ind w:firstLine="640"/>
        <w:jc w:val="both"/>
      </w:pPr>
      <w:r>
        <w:rPr>
          <w:rFonts w:ascii="仿宋_GB2312" w:hAnsi="仿宋_GB2312" w:eastAsia="仿宋_GB2312"/>
          <w:b w:val="0"/>
          <w:sz w:val="32"/>
        </w:rPr>
        <w:t>四、《财政拨款收入支出决算总表》</w:t>
      </w:r>
    </w:p>
    <w:p w14:paraId="78922EDB">
      <w:pPr>
        <w:spacing w:line="240" w:lineRule="auto"/>
        <w:ind w:firstLine="640"/>
        <w:jc w:val="both"/>
      </w:pPr>
      <w:r>
        <w:rPr>
          <w:rFonts w:ascii="仿宋_GB2312" w:hAnsi="仿宋_GB2312" w:eastAsia="仿宋_GB2312"/>
          <w:b w:val="0"/>
          <w:sz w:val="32"/>
        </w:rPr>
        <w:t>五、《一般公共预算财政拨款支出决算表》</w:t>
      </w:r>
    </w:p>
    <w:p w14:paraId="7CC567CE">
      <w:pPr>
        <w:spacing w:line="240" w:lineRule="auto"/>
        <w:ind w:firstLine="640"/>
        <w:jc w:val="both"/>
      </w:pPr>
      <w:r>
        <w:rPr>
          <w:rFonts w:ascii="仿宋_GB2312" w:hAnsi="仿宋_GB2312" w:eastAsia="仿宋_GB2312"/>
          <w:b w:val="0"/>
          <w:sz w:val="32"/>
        </w:rPr>
        <w:t>六、《一般公共预算财政拨款基本支出决算表》</w:t>
      </w:r>
    </w:p>
    <w:p w14:paraId="358E79EB">
      <w:pPr>
        <w:spacing w:line="240" w:lineRule="auto"/>
        <w:ind w:firstLine="640"/>
        <w:jc w:val="both"/>
      </w:pPr>
      <w:r>
        <w:rPr>
          <w:rFonts w:ascii="仿宋_GB2312" w:hAnsi="仿宋_GB2312" w:eastAsia="仿宋_GB2312"/>
          <w:b w:val="0"/>
          <w:sz w:val="32"/>
        </w:rPr>
        <w:t>七、《政府性基金预算财政拨款收入支出决算表》</w:t>
      </w:r>
    </w:p>
    <w:p w14:paraId="4672D1B2">
      <w:pPr>
        <w:spacing w:line="240" w:lineRule="auto"/>
        <w:ind w:firstLine="640"/>
        <w:jc w:val="both"/>
      </w:pPr>
      <w:r>
        <w:rPr>
          <w:rFonts w:ascii="仿宋_GB2312" w:hAnsi="仿宋_GB2312" w:eastAsia="仿宋_GB2312"/>
          <w:b w:val="0"/>
          <w:sz w:val="32"/>
        </w:rPr>
        <w:t>八、《国有资本经营预算财政拨款收入支出决算表》</w:t>
      </w:r>
    </w:p>
    <w:p w14:paraId="731940EF">
      <w:pPr>
        <w:spacing w:line="240" w:lineRule="auto"/>
        <w:ind w:firstLine="640"/>
        <w:jc w:val="both"/>
      </w:pPr>
      <w:r>
        <w:rPr>
          <w:rFonts w:ascii="仿宋_GB2312" w:hAnsi="仿宋_GB2312" w:eastAsia="仿宋_GB2312"/>
          <w:b w:val="0"/>
          <w:sz w:val="32"/>
        </w:rPr>
        <w:t>九、《财政拨款“三公”经费支出决算表》</w:t>
      </w:r>
    </w:p>
    <w:p w14:paraId="67F1B925">
      <w:pPr>
        <w:spacing w:line="240" w:lineRule="auto"/>
        <w:ind w:firstLine="640"/>
        <w:jc w:val="both"/>
      </w:pPr>
    </w:p>
    <w:p w14:paraId="50E7D4BE">
      <w:pPr>
        <w:spacing w:line="240" w:lineRule="auto"/>
        <w:ind w:firstLine="640"/>
        <w:jc w:val="both"/>
      </w:pPr>
    </w:p>
    <w:p w14:paraId="464D1694">
      <w:pPr>
        <w:spacing w:line="240" w:lineRule="auto"/>
        <w:ind w:firstLine="640"/>
        <w:jc w:val="both"/>
      </w:pPr>
    </w:p>
    <w:p w14:paraId="1364C447">
      <w:pPr>
        <w:spacing w:line="240" w:lineRule="auto"/>
        <w:ind w:firstLine="640"/>
        <w:jc w:val="both"/>
      </w:pPr>
    </w:p>
    <w:p w14:paraId="7A1F2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4D86CE-1115-42C4-ABEE-9C2706603D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FC2F8AD-77EC-4BB9-986A-C65120A887EC}"/>
  </w:font>
  <w:font w:name="仿宋_GB2312">
    <w:panose1 w:val="02010609030101010101"/>
    <w:charset w:val="86"/>
    <w:family w:val="auto"/>
    <w:pitch w:val="default"/>
    <w:sig w:usb0="00000001" w:usb1="080E0000" w:usb2="00000000" w:usb3="00000000" w:csb0="00040000" w:csb1="00000000"/>
    <w:embedRegular r:id="rId3" w:fontKey="{C45E6576-4278-4708-93FC-99A36096CB18}"/>
  </w:font>
  <w:font w:name="楷体_GB2312">
    <w:panose1 w:val="02010609030101010101"/>
    <w:charset w:val="86"/>
    <w:family w:val="auto"/>
    <w:pitch w:val="default"/>
    <w:sig w:usb0="00000001" w:usb1="080E0000" w:usb2="00000000" w:usb3="00000000" w:csb0="00040000" w:csb1="00000000"/>
    <w:embedRegular r:id="rId4" w:fontKey="{822AD6C2-0F50-4467-AE76-7CE1A7E5AA3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8053D5"/>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AD662B"/>
    <w:rsid w:val="2FD27414"/>
    <w:rsid w:val="313F1D52"/>
    <w:rsid w:val="318029AB"/>
    <w:rsid w:val="31C63837"/>
    <w:rsid w:val="326F0A17"/>
    <w:rsid w:val="3277581B"/>
    <w:rsid w:val="37E365DB"/>
    <w:rsid w:val="38006E2C"/>
    <w:rsid w:val="3914510A"/>
    <w:rsid w:val="3B1220C9"/>
    <w:rsid w:val="3D5275AC"/>
    <w:rsid w:val="3EA7725F"/>
    <w:rsid w:val="3EC014A1"/>
    <w:rsid w:val="40834692"/>
    <w:rsid w:val="40BC44A9"/>
    <w:rsid w:val="41242A90"/>
    <w:rsid w:val="42186000"/>
    <w:rsid w:val="423A32B2"/>
    <w:rsid w:val="423C0CB4"/>
    <w:rsid w:val="427B5743"/>
    <w:rsid w:val="42E64542"/>
    <w:rsid w:val="464B7E04"/>
    <w:rsid w:val="464F7E64"/>
    <w:rsid w:val="46901EEE"/>
    <w:rsid w:val="469C74D2"/>
    <w:rsid w:val="47445515"/>
    <w:rsid w:val="48A621C0"/>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8C03E8"/>
    <w:rsid w:val="71473612"/>
    <w:rsid w:val="718F7F65"/>
    <w:rsid w:val="73423603"/>
    <w:rsid w:val="737A5923"/>
    <w:rsid w:val="73DE4104"/>
    <w:rsid w:val="73FB6630"/>
    <w:rsid w:val="74CE04EC"/>
    <w:rsid w:val="74E76DCD"/>
    <w:rsid w:val="76660D7C"/>
    <w:rsid w:val="77ED6F44"/>
    <w:rsid w:val="79531961"/>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6200</Words>
  <Characters>6952</Characters>
  <Lines>0</Lines>
  <Paragraphs>0</Paragraphs>
  <TotalTime>5</TotalTime>
  <ScaleCrop>false</ScaleCrop>
  <LinksUpToDate>false</LinksUpToDate>
  <CharactersWithSpaces>6960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